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FF86" w14:textId="16DF32D4" w:rsidR="00744C71" w:rsidRDefault="001170C7" w:rsidP="001170C7">
      <w:pPr>
        <w:jc w:val="center"/>
      </w:pPr>
      <w:bookmarkStart w:id="0" w:name="_Hlk128594482"/>
      <w:bookmarkEnd w:id="0"/>
      <w:r w:rsidRPr="001170C7">
        <w:rPr>
          <w:rFonts w:ascii="Times New Roman" w:hAnsi="Times New Roman" w:cs="Times New Roman"/>
          <w:noProof/>
          <w:sz w:val="24"/>
          <w:szCs w:val="24"/>
        </w:rPr>
        <w:drawing>
          <wp:inline distT="0" distB="0" distL="0" distR="0" wp14:anchorId="04E49C10" wp14:editId="14E25964">
            <wp:extent cx="2051437" cy="705185"/>
            <wp:effectExtent l="0" t="0" r="635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766" cy="728673"/>
                    </a:xfrm>
                    <a:prstGeom prst="rect">
                      <a:avLst/>
                    </a:prstGeom>
                    <a:noFill/>
                    <a:ln>
                      <a:noFill/>
                    </a:ln>
                  </pic:spPr>
                </pic:pic>
              </a:graphicData>
            </a:graphic>
          </wp:inline>
        </w:drawing>
      </w:r>
    </w:p>
    <w:p w14:paraId="48F04AE8" w14:textId="77777777" w:rsidR="00DD6A38" w:rsidRDefault="00DD6A38"/>
    <w:p w14:paraId="6DD05A6C" w14:textId="77777777" w:rsidR="00DD6A38" w:rsidRDefault="00DD6A38"/>
    <w:p w14:paraId="4F8C6B28" w14:textId="542FFC47" w:rsidR="00DD6A38" w:rsidRPr="00DD6A38" w:rsidRDefault="00DD6A38" w:rsidP="00DD6A38">
      <w:pPr>
        <w:jc w:val="center"/>
        <w:rPr>
          <w:rFonts w:ascii="Times New Roman" w:hAnsi="Times New Roman" w:cs="Times New Roman"/>
          <w:b/>
          <w:bCs/>
          <w:sz w:val="32"/>
          <w:szCs w:val="32"/>
        </w:rPr>
      </w:pPr>
      <w:r w:rsidRPr="00DD6A38">
        <w:rPr>
          <w:rFonts w:ascii="Times New Roman" w:hAnsi="Times New Roman" w:cs="Times New Roman"/>
          <w:b/>
          <w:bCs/>
          <w:sz w:val="32"/>
          <w:szCs w:val="32"/>
        </w:rPr>
        <w:t>Essay</w:t>
      </w:r>
      <w:r w:rsidR="004D46DA">
        <w:rPr>
          <w:rFonts w:ascii="Times New Roman" w:hAnsi="Times New Roman" w:cs="Times New Roman"/>
          <w:b/>
          <w:bCs/>
          <w:sz w:val="32"/>
          <w:szCs w:val="32"/>
        </w:rPr>
        <w:t>s</w:t>
      </w:r>
      <w:r w:rsidRPr="00DD6A38">
        <w:rPr>
          <w:rFonts w:ascii="Times New Roman" w:hAnsi="Times New Roman" w:cs="Times New Roman"/>
          <w:b/>
          <w:bCs/>
          <w:sz w:val="32"/>
          <w:szCs w:val="32"/>
        </w:rPr>
        <w:t xml:space="preserve"> on Bank Risk Governance</w:t>
      </w:r>
    </w:p>
    <w:p w14:paraId="76B464DE" w14:textId="018E9675" w:rsidR="00DD6A38" w:rsidRDefault="00DD6A38">
      <w:pPr>
        <w:rPr>
          <w:rFonts w:ascii="Times New Roman" w:hAnsi="Times New Roman" w:cs="Times New Roman"/>
          <w:b/>
          <w:bCs/>
          <w:sz w:val="28"/>
          <w:szCs w:val="28"/>
        </w:rPr>
      </w:pPr>
    </w:p>
    <w:p w14:paraId="562EB914" w14:textId="5B88D7FC"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Ramshah Rashid Lone</w:t>
      </w:r>
    </w:p>
    <w:p w14:paraId="2BD2D6CF" w14:textId="3A250A26"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Registration Number: 180325089</w:t>
      </w:r>
    </w:p>
    <w:p w14:paraId="3A0325C7" w14:textId="77777777" w:rsidR="00DD6A38" w:rsidRPr="00DD6A38" w:rsidRDefault="00DD6A38" w:rsidP="00DD6A38">
      <w:pPr>
        <w:spacing w:line="480" w:lineRule="auto"/>
        <w:jc w:val="center"/>
        <w:rPr>
          <w:rFonts w:ascii="Times New Roman" w:hAnsi="Times New Roman" w:cs="Times New Roman"/>
          <w:sz w:val="24"/>
          <w:szCs w:val="24"/>
        </w:rPr>
      </w:pPr>
    </w:p>
    <w:p w14:paraId="21883EB3" w14:textId="12C44117"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Supervised by:</w:t>
      </w:r>
    </w:p>
    <w:p w14:paraId="0E01D711" w14:textId="0AEE23A0"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Prof. Sabur Mollah</w:t>
      </w:r>
    </w:p>
    <w:p w14:paraId="6CD97A1A" w14:textId="25CD1232"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Prof. Shuxing Yin</w:t>
      </w:r>
    </w:p>
    <w:p w14:paraId="473FC5E8" w14:textId="457F2111" w:rsidR="00DD6A38" w:rsidRDefault="00DD6A38" w:rsidP="00DD6A38">
      <w:pPr>
        <w:spacing w:line="480" w:lineRule="auto"/>
        <w:jc w:val="center"/>
        <w:rPr>
          <w:rFonts w:ascii="Times New Roman" w:hAnsi="Times New Roman" w:cs="Times New Roman"/>
        </w:rPr>
      </w:pPr>
    </w:p>
    <w:p w14:paraId="392452AE" w14:textId="77777777" w:rsidR="00DD6A38" w:rsidRPr="00DD6A38" w:rsidRDefault="00DD6A38" w:rsidP="00DD6A38">
      <w:pPr>
        <w:spacing w:line="480" w:lineRule="auto"/>
        <w:jc w:val="center"/>
        <w:rPr>
          <w:rFonts w:ascii="Times New Roman" w:hAnsi="Times New Roman" w:cs="Times New Roman"/>
        </w:rPr>
      </w:pPr>
    </w:p>
    <w:p w14:paraId="6C00D73A" w14:textId="74982288"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A thesis submitted in partial fulfilment of the requirements for the degree of</w:t>
      </w:r>
    </w:p>
    <w:p w14:paraId="7DFBB2AD" w14:textId="69E7BDCB"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Doctor of Philosophy in Finance</w:t>
      </w:r>
    </w:p>
    <w:p w14:paraId="7A6910D3" w14:textId="2BB76710" w:rsidR="00DD6A38" w:rsidRPr="00DD6A38" w:rsidRDefault="00DD6A38" w:rsidP="00DD6A38">
      <w:pPr>
        <w:spacing w:line="480" w:lineRule="auto"/>
        <w:jc w:val="center"/>
        <w:rPr>
          <w:rFonts w:ascii="Times New Roman" w:hAnsi="Times New Roman" w:cs="Times New Roman"/>
          <w:sz w:val="24"/>
          <w:szCs w:val="24"/>
        </w:rPr>
      </w:pPr>
    </w:p>
    <w:p w14:paraId="35F9A6C2" w14:textId="77777777" w:rsidR="00DD6A38" w:rsidRPr="00DD6A38" w:rsidRDefault="00DD6A38" w:rsidP="00DD6A38">
      <w:pPr>
        <w:spacing w:line="480" w:lineRule="auto"/>
        <w:jc w:val="center"/>
        <w:rPr>
          <w:rFonts w:ascii="Times New Roman" w:hAnsi="Times New Roman" w:cs="Times New Roman"/>
          <w:sz w:val="24"/>
          <w:szCs w:val="24"/>
        </w:rPr>
      </w:pPr>
    </w:p>
    <w:p w14:paraId="46FA070B" w14:textId="2106F1BC"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Sheffield University Management School</w:t>
      </w:r>
    </w:p>
    <w:p w14:paraId="2101E2B3" w14:textId="22747CE2" w:rsidR="00DD6A38" w:rsidRPr="00DD6A38" w:rsidRDefault="00DD6A38" w:rsidP="00DD6A38">
      <w:pPr>
        <w:spacing w:line="480" w:lineRule="auto"/>
        <w:jc w:val="center"/>
        <w:rPr>
          <w:rFonts w:ascii="Times New Roman" w:hAnsi="Times New Roman" w:cs="Times New Roman"/>
          <w:sz w:val="24"/>
          <w:szCs w:val="24"/>
        </w:rPr>
      </w:pPr>
      <w:r w:rsidRPr="00DD6A38">
        <w:rPr>
          <w:rFonts w:ascii="Times New Roman" w:hAnsi="Times New Roman" w:cs="Times New Roman"/>
          <w:sz w:val="24"/>
          <w:szCs w:val="24"/>
        </w:rPr>
        <w:t>University of Sheffield</w:t>
      </w:r>
    </w:p>
    <w:p w14:paraId="2192454D" w14:textId="3E4A1B84" w:rsidR="00DD6A38" w:rsidRDefault="00A0792C" w:rsidP="00DD6A3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April </w:t>
      </w:r>
      <w:r w:rsidR="00DD6A38" w:rsidRPr="00DD6A38">
        <w:rPr>
          <w:rFonts w:ascii="Times New Roman" w:hAnsi="Times New Roman" w:cs="Times New Roman"/>
          <w:sz w:val="24"/>
          <w:szCs w:val="24"/>
        </w:rPr>
        <w:t>2023</w:t>
      </w:r>
    </w:p>
    <w:p w14:paraId="50639E92" w14:textId="186D2BF9" w:rsidR="00DD6A38" w:rsidRPr="00C80A9C" w:rsidRDefault="00DD6A38" w:rsidP="00CC629E">
      <w:pPr>
        <w:pStyle w:val="Heading1"/>
        <w:jc w:val="left"/>
      </w:pPr>
      <w:r>
        <w:rPr>
          <w:sz w:val="24"/>
          <w:szCs w:val="24"/>
        </w:rPr>
        <w:br w:type="page"/>
      </w:r>
      <w:bookmarkStart w:id="1" w:name="_Toc145616154"/>
      <w:r w:rsidRPr="00C80A9C">
        <w:lastRenderedPageBreak/>
        <w:t>Declaration</w:t>
      </w:r>
      <w:bookmarkEnd w:id="1"/>
    </w:p>
    <w:p w14:paraId="6A9A1AA3" w14:textId="68FBAA64" w:rsidR="00DD6A38" w:rsidRPr="00DD6A38" w:rsidRDefault="00DD6A38" w:rsidP="00DD6A38">
      <w:pPr>
        <w:spacing w:line="480" w:lineRule="auto"/>
        <w:jc w:val="both"/>
        <w:rPr>
          <w:rFonts w:ascii="Times New Roman" w:hAnsi="Times New Roman" w:cs="Times New Roman"/>
          <w:sz w:val="24"/>
          <w:szCs w:val="24"/>
        </w:rPr>
      </w:pPr>
      <w:r w:rsidRPr="00DD6A38">
        <w:rPr>
          <w:rFonts w:ascii="Times New Roman" w:hAnsi="Times New Roman" w:cs="Times New Roman"/>
          <w:sz w:val="24"/>
          <w:szCs w:val="24"/>
        </w:rPr>
        <w:t xml:space="preserve">I confirm that this thesis is my </w:t>
      </w:r>
      <w:r w:rsidR="00C80A9C" w:rsidRPr="00DD6A38">
        <w:rPr>
          <w:rFonts w:ascii="Times New Roman" w:hAnsi="Times New Roman" w:cs="Times New Roman"/>
          <w:sz w:val="24"/>
          <w:szCs w:val="24"/>
        </w:rPr>
        <w:t>effort</w:t>
      </w:r>
      <w:r w:rsidR="00071AF6">
        <w:rPr>
          <w:rFonts w:ascii="Times New Roman" w:hAnsi="Times New Roman" w:cs="Times New Roman"/>
          <w:sz w:val="24"/>
          <w:szCs w:val="24"/>
        </w:rPr>
        <w:t xml:space="preserve"> and results from my</w:t>
      </w:r>
      <w:r w:rsidRPr="00DD6A38">
        <w:rPr>
          <w:rFonts w:ascii="Times New Roman" w:hAnsi="Times New Roman" w:cs="Times New Roman"/>
          <w:sz w:val="24"/>
          <w:szCs w:val="24"/>
        </w:rPr>
        <w:t xml:space="preserve"> </w:t>
      </w:r>
      <w:r w:rsidR="00C80A9C" w:rsidRPr="00DD6A38">
        <w:rPr>
          <w:rFonts w:ascii="Times New Roman" w:hAnsi="Times New Roman" w:cs="Times New Roman"/>
          <w:sz w:val="24"/>
          <w:szCs w:val="24"/>
        </w:rPr>
        <w:t>accomplishments</w:t>
      </w:r>
      <w:r>
        <w:rPr>
          <w:rFonts w:ascii="Times New Roman" w:hAnsi="Times New Roman" w:cs="Times New Roman"/>
          <w:sz w:val="24"/>
          <w:szCs w:val="24"/>
        </w:rPr>
        <w:t xml:space="preserve"> </w:t>
      </w:r>
      <w:r w:rsidRPr="00DD6A38">
        <w:rPr>
          <w:rFonts w:ascii="Times New Roman" w:hAnsi="Times New Roman" w:cs="Times New Roman"/>
          <w:sz w:val="24"/>
          <w:szCs w:val="24"/>
        </w:rPr>
        <w:t>unless</w:t>
      </w:r>
      <w:r>
        <w:rPr>
          <w:rFonts w:ascii="Times New Roman" w:hAnsi="Times New Roman" w:cs="Times New Roman"/>
          <w:sz w:val="24"/>
          <w:szCs w:val="24"/>
        </w:rPr>
        <w:t xml:space="preserve"> </w:t>
      </w:r>
      <w:r w:rsidRPr="00DD6A38">
        <w:rPr>
          <w:rFonts w:ascii="Times New Roman" w:hAnsi="Times New Roman" w:cs="Times New Roman"/>
          <w:sz w:val="24"/>
          <w:szCs w:val="24"/>
        </w:rPr>
        <w:t xml:space="preserve">the contents </w:t>
      </w:r>
      <w:r w:rsidR="00071AF6">
        <w:rPr>
          <w:rFonts w:ascii="Times New Roman" w:hAnsi="Times New Roman" w:cs="Times New Roman"/>
          <w:sz w:val="24"/>
          <w:szCs w:val="24"/>
        </w:rPr>
        <w:t xml:space="preserve">are </w:t>
      </w:r>
      <w:r w:rsidRPr="00DD6A38">
        <w:rPr>
          <w:rFonts w:ascii="Times New Roman" w:hAnsi="Times New Roman" w:cs="Times New Roman"/>
          <w:sz w:val="24"/>
          <w:szCs w:val="24"/>
        </w:rPr>
        <w:t>referenced in the text. I am aware of the University</w:t>
      </w:r>
      <w:r w:rsidR="00624886">
        <w:rPr>
          <w:rFonts w:ascii="Times New Roman" w:hAnsi="Times New Roman" w:cs="Times New Roman"/>
          <w:sz w:val="24"/>
          <w:szCs w:val="24"/>
        </w:rPr>
        <w:t>'</w:t>
      </w:r>
      <w:r w:rsidRPr="00DD6A38">
        <w:rPr>
          <w:rFonts w:ascii="Times New Roman" w:hAnsi="Times New Roman" w:cs="Times New Roman"/>
          <w:sz w:val="24"/>
          <w:szCs w:val="24"/>
        </w:rPr>
        <w:t>s Guidance on the</w:t>
      </w:r>
      <w:r>
        <w:rPr>
          <w:rFonts w:ascii="Times New Roman" w:hAnsi="Times New Roman" w:cs="Times New Roman"/>
          <w:sz w:val="24"/>
          <w:szCs w:val="24"/>
        </w:rPr>
        <w:t xml:space="preserve"> </w:t>
      </w:r>
      <w:r w:rsidRPr="00DD6A38">
        <w:rPr>
          <w:rFonts w:ascii="Times New Roman" w:hAnsi="Times New Roman" w:cs="Times New Roman"/>
          <w:sz w:val="24"/>
          <w:szCs w:val="24"/>
        </w:rPr>
        <w:t>Use of Unfair Means (</w:t>
      </w:r>
      <w:r w:rsidRPr="00C80A9C">
        <w:rPr>
          <w:rFonts w:ascii="Times New Roman" w:hAnsi="Times New Roman" w:cs="Times New Roman"/>
          <w:color w:val="0070C0"/>
          <w:sz w:val="24"/>
          <w:szCs w:val="24"/>
        </w:rPr>
        <w:t>www.sheffield.ac.uk/ssid/unfair-means</w:t>
      </w:r>
      <w:r w:rsidRPr="00DD6A38">
        <w:rPr>
          <w:rFonts w:ascii="Times New Roman" w:hAnsi="Times New Roman" w:cs="Times New Roman"/>
          <w:sz w:val="24"/>
          <w:szCs w:val="24"/>
        </w:rPr>
        <w:t>). The material contained in the</w:t>
      </w:r>
      <w:r>
        <w:rPr>
          <w:rFonts w:ascii="Times New Roman" w:hAnsi="Times New Roman" w:cs="Times New Roman"/>
          <w:sz w:val="24"/>
          <w:szCs w:val="24"/>
        </w:rPr>
        <w:t xml:space="preserve"> </w:t>
      </w:r>
      <w:r w:rsidRPr="00DD6A38">
        <w:rPr>
          <w:rFonts w:ascii="Times New Roman" w:hAnsi="Times New Roman" w:cs="Times New Roman"/>
          <w:sz w:val="24"/>
          <w:szCs w:val="24"/>
        </w:rPr>
        <w:t>thesis has not been submitted elsewhere for any other degree or qualification in this or any</w:t>
      </w:r>
      <w:r>
        <w:rPr>
          <w:rFonts w:ascii="Times New Roman" w:hAnsi="Times New Roman" w:cs="Times New Roman"/>
          <w:sz w:val="24"/>
          <w:szCs w:val="24"/>
        </w:rPr>
        <w:t xml:space="preserve"> </w:t>
      </w:r>
      <w:r w:rsidRPr="00DD6A38">
        <w:rPr>
          <w:rFonts w:ascii="Times New Roman" w:hAnsi="Times New Roman" w:cs="Times New Roman"/>
          <w:sz w:val="24"/>
          <w:szCs w:val="24"/>
        </w:rPr>
        <w:t xml:space="preserve">other institution. However, parts of the thesis have been submitted </w:t>
      </w:r>
      <w:r w:rsidR="00071AF6">
        <w:rPr>
          <w:rFonts w:ascii="Times New Roman" w:hAnsi="Times New Roman" w:cs="Times New Roman"/>
          <w:sz w:val="24"/>
          <w:szCs w:val="24"/>
        </w:rPr>
        <w:t>to</w:t>
      </w:r>
      <w:r w:rsidRPr="00DD6A38">
        <w:rPr>
          <w:rFonts w:ascii="Times New Roman" w:hAnsi="Times New Roman" w:cs="Times New Roman"/>
          <w:sz w:val="24"/>
          <w:szCs w:val="24"/>
        </w:rPr>
        <w:t xml:space="preserve"> various workshops and</w:t>
      </w:r>
      <w:r>
        <w:rPr>
          <w:rFonts w:ascii="Times New Roman" w:hAnsi="Times New Roman" w:cs="Times New Roman"/>
          <w:sz w:val="24"/>
          <w:szCs w:val="24"/>
        </w:rPr>
        <w:t xml:space="preserve"> </w:t>
      </w:r>
      <w:r w:rsidRPr="00DD6A38">
        <w:rPr>
          <w:rFonts w:ascii="Times New Roman" w:hAnsi="Times New Roman" w:cs="Times New Roman"/>
          <w:sz w:val="24"/>
          <w:szCs w:val="24"/>
        </w:rPr>
        <w:t>conferences.</w:t>
      </w:r>
    </w:p>
    <w:p w14:paraId="6367654D" w14:textId="543287F4" w:rsidR="00DD6A38" w:rsidRDefault="00C80A9C" w:rsidP="00C80A9C">
      <w:pPr>
        <w:spacing w:line="480" w:lineRule="auto"/>
        <w:jc w:val="right"/>
        <w:rPr>
          <w:rFonts w:ascii="Times New Roman" w:hAnsi="Times New Roman" w:cs="Times New Roman"/>
          <w:sz w:val="24"/>
          <w:szCs w:val="24"/>
        </w:rPr>
      </w:pPr>
      <w:r>
        <w:rPr>
          <w:rFonts w:ascii="Times New Roman" w:hAnsi="Times New Roman" w:cs="Times New Roman"/>
          <w:sz w:val="24"/>
          <w:szCs w:val="24"/>
        </w:rPr>
        <w:t>Ramshah Rashid Lone</w:t>
      </w:r>
    </w:p>
    <w:p w14:paraId="31968418" w14:textId="3C0E73CA" w:rsidR="00C80A9C" w:rsidRDefault="00A0792C" w:rsidP="00C80A9C">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April </w:t>
      </w:r>
      <w:r w:rsidR="00C80A9C">
        <w:rPr>
          <w:rFonts w:ascii="Times New Roman" w:hAnsi="Times New Roman" w:cs="Times New Roman"/>
          <w:sz w:val="24"/>
          <w:szCs w:val="24"/>
        </w:rPr>
        <w:t>2023</w:t>
      </w:r>
    </w:p>
    <w:p w14:paraId="40016509" w14:textId="0D1F6EDA" w:rsidR="00C80A9C" w:rsidRDefault="00C80A9C">
      <w:pPr>
        <w:rPr>
          <w:rFonts w:ascii="Times New Roman" w:hAnsi="Times New Roman" w:cs="Times New Roman"/>
          <w:sz w:val="24"/>
          <w:szCs w:val="24"/>
        </w:rPr>
      </w:pPr>
      <w:r>
        <w:rPr>
          <w:rFonts w:ascii="Times New Roman" w:hAnsi="Times New Roman" w:cs="Times New Roman"/>
          <w:sz w:val="24"/>
          <w:szCs w:val="24"/>
        </w:rPr>
        <w:br w:type="page"/>
      </w:r>
    </w:p>
    <w:p w14:paraId="7AF43E5F" w14:textId="77777777" w:rsidR="00C80A9C" w:rsidRPr="00C80A9C" w:rsidRDefault="00C80A9C" w:rsidP="00CC629E">
      <w:pPr>
        <w:pStyle w:val="Heading1"/>
        <w:jc w:val="left"/>
      </w:pPr>
      <w:bookmarkStart w:id="2" w:name="_Toc145616155"/>
      <w:r w:rsidRPr="00C80A9C">
        <w:t>Statement of Copyright</w:t>
      </w:r>
      <w:bookmarkEnd w:id="2"/>
    </w:p>
    <w:p w14:paraId="19215F07" w14:textId="3DBC4216" w:rsidR="00C80A9C" w:rsidRDefault="00C80A9C" w:rsidP="00C80A9C">
      <w:pPr>
        <w:spacing w:line="480" w:lineRule="auto"/>
        <w:rPr>
          <w:rFonts w:ascii="Times New Roman" w:hAnsi="Times New Roman" w:cs="Times New Roman"/>
          <w:sz w:val="24"/>
          <w:szCs w:val="24"/>
        </w:rPr>
      </w:pPr>
      <w:r w:rsidRPr="00C80A9C">
        <w:rPr>
          <w:rFonts w:ascii="Times New Roman" w:hAnsi="Times New Roman" w:cs="Times New Roman"/>
          <w:sz w:val="24"/>
          <w:szCs w:val="24"/>
        </w:rPr>
        <w:t xml:space="preserve"> Copyright © 202</w:t>
      </w:r>
      <w:r>
        <w:rPr>
          <w:rFonts w:ascii="Times New Roman" w:hAnsi="Times New Roman" w:cs="Times New Roman"/>
          <w:sz w:val="24"/>
          <w:szCs w:val="24"/>
        </w:rPr>
        <w:t>3</w:t>
      </w:r>
      <w:r w:rsidRPr="00C80A9C">
        <w:rPr>
          <w:rFonts w:ascii="Times New Roman" w:hAnsi="Times New Roman" w:cs="Times New Roman"/>
          <w:sz w:val="24"/>
          <w:szCs w:val="24"/>
        </w:rPr>
        <w:t xml:space="preserve"> by </w:t>
      </w:r>
      <w:r>
        <w:rPr>
          <w:rFonts w:ascii="Times New Roman" w:hAnsi="Times New Roman" w:cs="Times New Roman"/>
          <w:sz w:val="24"/>
          <w:szCs w:val="24"/>
        </w:rPr>
        <w:t>Ramshah Rashid Lone</w:t>
      </w:r>
      <w:r w:rsidRPr="00C80A9C">
        <w:rPr>
          <w:rFonts w:ascii="Times New Roman" w:hAnsi="Times New Roman" w:cs="Times New Roman"/>
          <w:sz w:val="24"/>
          <w:szCs w:val="24"/>
        </w:rPr>
        <w:t xml:space="preserve"> </w:t>
      </w:r>
    </w:p>
    <w:p w14:paraId="7A402394" w14:textId="77777777" w:rsidR="00C80A9C" w:rsidRDefault="00C80A9C" w:rsidP="00C80A9C">
      <w:pPr>
        <w:spacing w:line="480" w:lineRule="auto"/>
        <w:rPr>
          <w:rFonts w:ascii="Times New Roman" w:hAnsi="Times New Roman" w:cs="Times New Roman"/>
          <w:sz w:val="24"/>
          <w:szCs w:val="24"/>
        </w:rPr>
      </w:pPr>
    </w:p>
    <w:p w14:paraId="09EC5C3E" w14:textId="79742AF7" w:rsidR="00C80A9C" w:rsidRDefault="00C80A9C" w:rsidP="00C80A9C">
      <w:pPr>
        <w:spacing w:line="480" w:lineRule="auto"/>
        <w:jc w:val="both"/>
        <w:rPr>
          <w:rFonts w:ascii="Times New Roman" w:hAnsi="Times New Roman" w:cs="Times New Roman"/>
          <w:sz w:val="24"/>
          <w:szCs w:val="24"/>
        </w:rPr>
      </w:pPr>
      <w:r w:rsidRPr="00C80A9C">
        <w:rPr>
          <w:rFonts w:ascii="Times New Roman" w:hAnsi="Times New Roman" w:cs="Times New Roman"/>
          <w:i/>
          <w:iCs/>
          <w:sz w:val="24"/>
          <w:szCs w:val="24"/>
        </w:rPr>
        <w:t>The copyright of this thesis rests with the author. No quotations from it should be published without the author</w:t>
      </w:r>
      <w:r w:rsidR="00624886">
        <w:rPr>
          <w:rFonts w:ascii="Times New Roman" w:hAnsi="Times New Roman" w:cs="Times New Roman"/>
          <w:i/>
          <w:iCs/>
          <w:sz w:val="24"/>
          <w:szCs w:val="24"/>
        </w:rPr>
        <w:t>'</w:t>
      </w:r>
      <w:r w:rsidRPr="00C80A9C">
        <w:rPr>
          <w:rFonts w:ascii="Times New Roman" w:hAnsi="Times New Roman" w:cs="Times New Roman"/>
          <w:i/>
          <w:iCs/>
          <w:sz w:val="24"/>
          <w:szCs w:val="24"/>
        </w:rPr>
        <w:t>s prior written consent</w:t>
      </w:r>
      <w:r w:rsidR="00D32A9F">
        <w:rPr>
          <w:rFonts w:ascii="Times New Roman" w:hAnsi="Times New Roman" w:cs="Times New Roman"/>
          <w:i/>
          <w:iCs/>
          <w:sz w:val="24"/>
          <w:szCs w:val="24"/>
        </w:rPr>
        <w:t>,</w:t>
      </w:r>
      <w:r w:rsidRPr="00C80A9C">
        <w:rPr>
          <w:rFonts w:ascii="Times New Roman" w:hAnsi="Times New Roman" w:cs="Times New Roman"/>
          <w:i/>
          <w:iCs/>
          <w:sz w:val="24"/>
          <w:szCs w:val="24"/>
        </w:rPr>
        <w:t xml:space="preserve"> and information derived from it should be acknowledged.</w:t>
      </w:r>
    </w:p>
    <w:p w14:paraId="46D1A72F" w14:textId="77777777" w:rsidR="00C80A9C" w:rsidRDefault="00C80A9C">
      <w:pPr>
        <w:rPr>
          <w:rFonts w:ascii="Times New Roman" w:hAnsi="Times New Roman" w:cs="Times New Roman"/>
          <w:sz w:val="24"/>
          <w:szCs w:val="24"/>
        </w:rPr>
      </w:pPr>
      <w:r>
        <w:rPr>
          <w:rFonts w:ascii="Times New Roman" w:hAnsi="Times New Roman" w:cs="Times New Roman"/>
          <w:sz w:val="24"/>
          <w:szCs w:val="24"/>
        </w:rPr>
        <w:br w:type="page"/>
      </w:r>
    </w:p>
    <w:p w14:paraId="4FD063CD" w14:textId="6545CE61" w:rsidR="00C80A9C" w:rsidRPr="00C80A9C" w:rsidRDefault="00C80A9C" w:rsidP="00CC629E">
      <w:pPr>
        <w:pStyle w:val="Heading1"/>
      </w:pPr>
      <w:bookmarkStart w:id="3" w:name="_Toc145616156"/>
      <w:bookmarkStart w:id="4" w:name="_Hlk128590767"/>
      <w:r w:rsidRPr="00C80A9C">
        <w:t>Acknowledgements</w:t>
      </w:r>
      <w:bookmarkEnd w:id="3"/>
    </w:p>
    <w:p w14:paraId="5497F95A" w14:textId="77777777" w:rsidR="00C80A9C" w:rsidRDefault="00C80A9C" w:rsidP="00C80A9C">
      <w:pPr>
        <w:spacing w:line="480" w:lineRule="auto"/>
        <w:jc w:val="both"/>
        <w:rPr>
          <w:rFonts w:ascii="Times New Roman" w:hAnsi="Times New Roman" w:cs="Times New Roman"/>
          <w:sz w:val="24"/>
          <w:szCs w:val="24"/>
        </w:rPr>
      </w:pPr>
    </w:p>
    <w:p w14:paraId="72CD1241" w14:textId="0A1004FD" w:rsidR="00D32A9F" w:rsidRDefault="00C80A9C" w:rsidP="00C80A9C">
      <w:pPr>
        <w:spacing w:line="480" w:lineRule="auto"/>
        <w:jc w:val="both"/>
        <w:rPr>
          <w:rFonts w:ascii="Times New Roman" w:hAnsi="Times New Roman" w:cs="Times New Roman"/>
          <w:sz w:val="24"/>
          <w:szCs w:val="24"/>
        </w:rPr>
      </w:pPr>
      <w:r w:rsidRPr="00C80A9C">
        <w:rPr>
          <w:rFonts w:ascii="Times New Roman" w:hAnsi="Times New Roman" w:cs="Times New Roman"/>
          <w:sz w:val="24"/>
          <w:szCs w:val="24"/>
        </w:rPr>
        <w:t xml:space="preserve">I would </w:t>
      </w:r>
      <w:r>
        <w:rPr>
          <w:rFonts w:ascii="Times New Roman" w:hAnsi="Times New Roman" w:cs="Times New Roman"/>
          <w:sz w:val="24"/>
          <w:szCs w:val="24"/>
        </w:rPr>
        <w:t xml:space="preserve">first </w:t>
      </w:r>
      <w:r w:rsidRPr="00C80A9C">
        <w:rPr>
          <w:rFonts w:ascii="Times New Roman" w:hAnsi="Times New Roman" w:cs="Times New Roman"/>
          <w:sz w:val="24"/>
          <w:szCs w:val="24"/>
        </w:rPr>
        <w:t xml:space="preserve">like to thank my supervisor, </w:t>
      </w:r>
      <w:r>
        <w:rPr>
          <w:rFonts w:ascii="Times New Roman" w:hAnsi="Times New Roman" w:cs="Times New Roman"/>
          <w:sz w:val="24"/>
          <w:szCs w:val="24"/>
        </w:rPr>
        <w:t>Prof. Sabur Mollah</w:t>
      </w:r>
      <w:r w:rsidRPr="00C80A9C">
        <w:rPr>
          <w:rFonts w:ascii="Times New Roman" w:hAnsi="Times New Roman" w:cs="Times New Roman"/>
          <w:sz w:val="24"/>
          <w:szCs w:val="24"/>
        </w:rPr>
        <w:t xml:space="preserve">, for his invaluable guidance throughout </w:t>
      </w:r>
      <w:r>
        <w:rPr>
          <w:rFonts w:ascii="Times New Roman" w:hAnsi="Times New Roman" w:cs="Times New Roman"/>
          <w:sz w:val="24"/>
          <w:szCs w:val="24"/>
        </w:rPr>
        <w:t>my PhD journey</w:t>
      </w:r>
      <w:r w:rsidRPr="00C80A9C">
        <w:rPr>
          <w:rFonts w:ascii="Times New Roman" w:hAnsi="Times New Roman" w:cs="Times New Roman"/>
          <w:sz w:val="24"/>
          <w:szCs w:val="24"/>
        </w:rPr>
        <w:t xml:space="preserve">. </w:t>
      </w:r>
      <w:r w:rsidR="00D32A9F">
        <w:rPr>
          <w:rFonts w:ascii="Times New Roman" w:hAnsi="Times New Roman" w:cs="Times New Roman"/>
          <w:sz w:val="24"/>
          <w:szCs w:val="24"/>
        </w:rPr>
        <w:t xml:space="preserve">It is my honour that I got the opportunity to work under his supervision as he developed my enthusiasm for quantitative research and critical thinking. His patience has been commendable as he guided me from taking the first step in doing research to developing expertise. </w:t>
      </w:r>
      <w:r w:rsidRPr="00C80A9C">
        <w:rPr>
          <w:rFonts w:ascii="Times New Roman" w:hAnsi="Times New Roman" w:cs="Times New Roman"/>
          <w:sz w:val="24"/>
          <w:szCs w:val="24"/>
        </w:rPr>
        <w:t xml:space="preserve">His encouragement and help made me feel more confident to fulfil my PhD research and overcome every obstacle I encountered. </w:t>
      </w:r>
      <w:r w:rsidR="00D32A9F">
        <w:rPr>
          <w:rFonts w:ascii="Times New Roman" w:hAnsi="Times New Roman" w:cs="Times New Roman"/>
          <w:sz w:val="24"/>
          <w:szCs w:val="24"/>
        </w:rPr>
        <w:t xml:space="preserve">I will always be grateful to him for considering my family commitments and accommodating me accordingly. </w:t>
      </w:r>
      <w:r w:rsidRPr="00C80A9C">
        <w:rPr>
          <w:rFonts w:ascii="Times New Roman" w:hAnsi="Times New Roman" w:cs="Times New Roman"/>
          <w:sz w:val="24"/>
          <w:szCs w:val="24"/>
        </w:rPr>
        <w:t>Thank you so much for forcing me, sometimes pushing</w:t>
      </w:r>
      <w:r w:rsidR="00D32A9F">
        <w:rPr>
          <w:rFonts w:ascii="Times New Roman" w:hAnsi="Times New Roman" w:cs="Times New Roman"/>
          <w:sz w:val="24"/>
          <w:szCs w:val="24"/>
        </w:rPr>
        <w:t>, and for your</w:t>
      </w:r>
      <w:r w:rsidRPr="00C80A9C">
        <w:rPr>
          <w:rFonts w:ascii="Times New Roman" w:hAnsi="Times New Roman" w:cs="Times New Roman"/>
          <w:sz w:val="24"/>
          <w:szCs w:val="24"/>
        </w:rPr>
        <w:t xml:space="preserve"> </w:t>
      </w:r>
      <w:r w:rsidR="00D32A9F" w:rsidRPr="00C80A9C">
        <w:rPr>
          <w:rFonts w:ascii="Times New Roman" w:hAnsi="Times New Roman" w:cs="Times New Roman"/>
          <w:sz w:val="24"/>
          <w:szCs w:val="24"/>
        </w:rPr>
        <w:t>perseverance</w:t>
      </w:r>
      <w:r w:rsidRPr="00C80A9C">
        <w:rPr>
          <w:rFonts w:ascii="Times New Roman" w:hAnsi="Times New Roman" w:cs="Times New Roman"/>
          <w:sz w:val="24"/>
          <w:szCs w:val="24"/>
        </w:rPr>
        <w:t xml:space="preserve"> in supervising me over the past four years. This thesis process </w:t>
      </w:r>
      <w:r w:rsidR="00D32A9F">
        <w:rPr>
          <w:rFonts w:ascii="Times New Roman" w:hAnsi="Times New Roman" w:cs="Times New Roman"/>
          <w:sz w:val="24"/>
          <w:szCs w:val="24"/>
        </w:rPr>
        <w:t xml:space="preserve">and research experience at the University of Sheffield </w:t>
      </w:r>
      <w:r w:rsidRPr="00C80A9C">
        <w:rPr>
          <w:rFonts w:ascii="Times New Roman" w:hAnsi="Times New Roman" w:cs="Times New Roman"/>
          <w:sz w:val="24"/>
          <w:szCs w:val="24"/>
        </w:rPr>
        <w:t xml:space="preserve">would not have been possible without </w:t>
      </w:r>
      <w:r w:rsidR="00D32A9F">
        <w:rPr>
          <w:rFonts w:ascii="Times New Roman" w:hAnsi="Times New Roman" w:cs="Times New Roman"/>
          <w:sz w:val="24"/>
          <w:szCs w:val="24"/>
        </w:rPr>
        <w:t xml:space="preserve">your </w:t>
      </w:r>
      <w:r w:rsidRPr="00C80A9C">
        <w:rPr>
          <w:rFonts w:ascii="Times New Roman" w:hAnsi="Times New Roman" w:cs="Times New Roman"/>
          <w:sz w:val="24"/>
          <w:szCs w:val="24"/>
        </w:rPr>
        <w:t xml:space="preserve">support. </w:t>
      </w:r>
    </w:p>
    <w:p w14:paraId="69AE36D4" w14:textId="67CC57A5" w:rsidR="00D32A9F" w:rsidRDefault="00C80A9C" w:rsidP="00C80A9C">
      <w:pPr>
        <w:spacing w:line="480" w:lineRule="auto"/>
        <w:jc w:val="both"/>
        <w:rPr>
          <w:rFonts w:ascii="Times New Roman" w:hAnsi="Times New Roman" w:cs="Times New Roman"/>
          <w:sz w:val="24"/>
          <w:szCs w:val="24"/>
        </w:rPr>
      </w:pPr>
      <w:r w:rsidRPr="00C80A9C">
        <w:rPr>
          <w:rFonts w:ascii="Times New Roman" w:hAnsi="Times New Roman" w:cs="Times New Roman"/>
          <w:sz w:val="24"/>
          <w:szCs w:val="24"/>
        </w:rPr>
        <w:t>I w</w:t>
      </w:r>
      <w:r w:rsidR="00D32A9F">
        <w:rPr>
          <w:rFonts w:ascii="Times New Roman" w:hAnsi="Times New Roman" w:cs="Times New Roman"/>
          <w:sz w:val="24"/>
          <w:szCs w:val="24"/>
        </w:rPr>
        <w:t>ant</w:t>
      </w:r>
      <w:r w:rsidRPr="00C80A9C">
        <w:rPr>
          <w:rFonts w:ascii="Times New Roman" w:hAnsi="Times New Roman" w:cs="Times New Roman"/>
          <w:sz w:val="24"/>
          <w:szCs w:val="24"/>
        </w:rPr>
        <w:t xml:space="preserve"> to thank my supervisor, Prof. Shuxing Yin, for </w:t>
      </w:r>
      <w:r w:rsidR="00D32A9F">
        <w:rPr>
          <w:rFonts w:ascii="Times New Roman" w:hAnsi="Times New Roman" w:cs="Times New Roman"/>
          <w:sz w:val="24"/>
          <w:szCs w:val="24"/>
        </w:rPr>
        <w:t>her valuable comments and advice throughout my thesis. Prof Shuxing</w:t>
      </w:r>
      <w:r w:rsidR="00624886">
        <w:rPr>
          <w:rFonts w:ascii="Times New Roman" w:hAnsi="Times New Roman" w:cs="Times New Roman"/>
          <w:sz w:val="24"/>
          <w:szCs w:val="24"/>
        </w:rPr>
        <w:t>'</w:t>
      </w:r>
      <w:r w:rsidR="00D32A9F">
        <w:rPr>
          <w:rFonts w:ascii="Times New Roman" w:hAnsi="Times New Roman" w:cs="Times New Roman"/>
          <w:sz w:val="24"/>
          <w:szCs w:val="24"/>
        </w:rPr>
        <w:t xml:space="preserve">s support, detailed analyses, </w:t>
      </w:r>
      <w:r w:rsidR="001278ED">
        <w:rPr>
          <w:rFonts w:ascii="Times New Roman" w:hAnsi="Times New Roman" w:cs="Times New Roman"/>
          <w:sz w:val="24"/>
          <w:szCs w:val="24"/>
        </w:rPr>
        <w:t>feedback,</w:t>
      </w:r>
      <w:r w:rsidR="00D32A9F">
        <w:rPr>
          <w:rFonts w:ascii="Times New Roman" w:hAnsi="Times New Roman" w:cs="Times New Roman"/>
          <w:sz w:val="24"/>
          <w:szCs w:val="24"/>
        </w:rPr>
        <w:t xml:space="preserve"> and guidance have immensely improved this thesis. She has been more of a mentor in my PhD journey by shaping my academic and critical thinking and guiding me with research activities like teaching, research conference and target journals. She made me so comfortable that I never hesitated to ask for her advice on issues unrelated to my research project. I greatly respect her and do not have enough words to thank her for all her support.</w:t>
      </w:r>
    </w:p>
    <w:p w14:paraId="523CEA15" w14:textId="77777777" w:rsidR="001278ED" w:rsidRDefault="00C80A9C" w:rsidP="00C80A9C">
      <w:pPr>
        <w:spacing w:line="480" w:lineRule="auto"/>
        <w:jc w:val="both"/>
        <w:rPr>
          <w:rFonts w:ascii="Times New Roman" w:hAnsi="Times New Roman" w:cs="Times New Roman"/>
          <w:sz w:val="24"/>
          <w:szCs w:val="24"/>
        </w:rPr>
      </w:pPr>
      <w:r w:rsidRPr="00C80A9C">
        <w:rPr>
          <w:rFonts w:ascii="Times New Roman" w:hAnsi="Times New Roman" w:cs="Times New Roman"/>
          <w:sz w:val="24"/>
          <w:szCs w:val="24"/>
        </w:rPr>
        <w:t>I w</w:t>
      </w:r>
      <w:r w:rsidR="00D32A9F">
        <w:rPr>
          <w:rFonts w:ascii="Times New Roman" w:hAnsi="Times New Roman" w:cs="Times New Roman"/>
          <w:sz w:val="24"/>
          <w:szCs w:val="24"/>
        </w:rPr>
        <w:t>ant</w:t>
      </w:r>
      <w:r w:rsidRPr="00C80A9C">
        <w:rPr>
          <w:rFonts w:ascii="Times New Roman" w:hAnsi="Times New Roman" w:cs="Times New Roman"/>
          <w:sz w:val="24"/>
          <w:szCs w:val="24"/>
        </w:rPr>
        <w:t xml:space="preserve"> to thank my </w:t>
      </w:r>
      <w:r w:rsidR="00D32A9F">
        <w:rPr>
          <w:rFonts w:ascii="Times New Roman" w:hAnsi="Times New Roman" w:cs="Times New Roman"/>
          <w:sz w:val="24"/>
          <w:szCs w:val="24"/>
        </w:rPr>
        <w:t>father</w:t>
      </w:r>
      <w:r w:rsidRPr="00C80A9C">
        <w:rPr>
          <w:rFonts w:ascii="Times New Roman" w:hAnsi="Times New Roman" w:cs="Times New Roman"/>
          <w:sz w:val="24"/>
          <w:szCs w:val="24"/>
        </w:rPr>
        <w:t xml:space="preserve">, </w:t>
      </w:r>
      <w:r w:rsidR="00D32A9F">
        <w:rPr>
          <w:rFonts w:ascii="Times New Roman" w:hAnsi="Times New Roman" w:cs="Times New Roman"/>
          <w:sz w:val="24"/>
          <w:szCs w:val="24"/>
        </w:rPr>
        <w:t>Rashid Lone</w:t>
      </w:r>
      <w:r w:rsidRPr="00C80A9C">
        <w:rPr>
          <w:rFonts w:ascii="Times New Roman" w:hAnsi="Times New Roman" w:cs="Times New Roman"/>
          <w:sz w:val="24"/>
          <w:szCs w:val="24"/>
        </w:rPr>
        <w:t xml:space="preserve">, </w:t>
      </w:r>
      <w:r w:rsidR="00D32A9F">
        <w:rPr>
          <w:rFonts w:ascii="Times New Roman" w:hAnsi="Times New Roman" w:cs="Times New Roman"/>
          <w:sz w:val="24"/>
          <w:szCs w:val="24"/>
        </w:rPr>
        <w:t>for his vision and support, as my PhD journey would have never been possible without him. He always believed in acquiring knowledge, hard work and having goals in life.</w:t>
      </w:r>
      <w:r w:rsidRPr="00C80A9C">
        <w:rPr>
          <w:rFonts w:ascii="Times New Roman" w:hAnsi="Times New Roman" w:cs="Times New Roman"/>
          <w:sz w:val="24"/>
          <w:szCs w:val="24"/>
        </w:rPr>
        <w:t xml:space="preserve"> </w:t>
      </w:r>
      <w:r w:rsidR="00D32A9F">
        <w:rPr>
          <w:rFonts w:ascii="Times New Roman" w:hAnsi="Times New Roman" w:cs="Times New Roman"/>
          <w:sz w:val="24"/>
          <w:szCs w:val="24"/>
        </w:rPr>
        <w:t>He is my true and practical inspiration for conducting research in corporate governance.</w:t>
      </w:r>
      <w:r w:rsidRPr="00C80A9C">
        <w:rPr>
          <w:rFonts w:ascii="Times New Roman" w:hAnsi="Times New Roman" w:cs="Times New Roman"/>
          <w:sz w:val="24"/>
          <w:szCs w:val="24"/>
        </w:rPr>
        <w:t xml:space="preserve"> </w:t>
      </w:r>
      <w:r w:rsidR="00D32A9F">
        <w:rPr>
          <w:rFonts w:ascii="Times New Roman" w:hAnsi="Times New Roman" w:cs="Times New Roman"/>
          <w:sz w:val="24"/>
          <w:szCs w:val="24"/>
        </w:rPr>
        <w:t>He has been CEO of a publicly listed company for over a decade and has served on the boards of various companies. I consider myself lucky, as I could link theoretical aspects with his practical knowledge.</w:t>
      </w:r>
      <w:r w:rsidR="00D32A9F" w:rsidRPr="00D32A9F">
        <w:rPr>
          <w:rFonts w:ascii="Times New Roman" w:hAnsi="Times New Roman" w:cs="Times New Roman"/>
          <w:sz w:val="24"/>
          <w:szCs w:val="24"/>
        </w:rPr>
        <w:t xml:space="preserve"> </w:t>
      </w:r>
    </w:p>
    <w:p w14:paraId="1703C8BC" w14:textId="71BAA709" w:rsidR="00D32A9F" w:rsidRDefault="00D32A9F" w:rsidP="00C80A9C">
      <w:pPr>
        <w:spacing w:line="480" w:lineRule="auto"/>
        <w:jc w:val="both"/>
        <w:rPr>
          <w:rFonts w:ascii="Times New Roman" w:hAnsi="Times New Roman" w:cs="Times New Roman"/>
          <w:sz w:val="24"/>
          <w:szCs w:val="24"/>
        </w:rPr>
      </w:pPr>
      <w:r w:rsidRPr="00D32A9F">
        <w:rPr>
          <w:rFonts w:ascii="Times New Roman" w:hAnsi="Times New Roman" w:cs="Times New Roman"/>
          <w:sz w:val="24"/>
          <w:szCs w:val="24"/>
        </w:rPr>
        <w:t>I w</w:t>
      </w:r>
      <w:r>
        <w:rPr>
          <w:rFonts w:ascii="Times New Roman" w:hAnsi="Times New Roman" w:cs="Times New Roman"/>
          <w:sz w:val="24"/>
          <w:szCs w:val="24"/>
        </w:rPr>
        <w:t>ant</w:t>
      </w:r>
      <w:r w:rsidRPr="00D32A9F">
        <w:rPr>
          <w:rFonts w:ascii="Times New Roman" w:hAnsi="Times New Roman" w:cs="Times New Roman"/>
          <w:sz w:val="24"/>
          <w:szCs w:val="24"/>
        </w:rPr>
        <w:t xml:space="preserve"> to </w:t>
      </w:r>
      <w:r>
        <w:rPr>
          <w:rFonts w:ascii="Times New Roman" w:hAnsi="Times New Roman" w:cs="Times New Roman"/>
          <w:sz w:val="24"/>
          <w:szCs w:val="24"/>
        </w:rPr>
        <w:t>thank</w:t>
      </w:r>
      <w:r w:rsidRPr="00D32A9F">
        <w:rPr>
          <w:rFonts w:ascii="Times New Roman" w:hAnsi="Times New Roman" w:cs="Times New Roman"/>
          <w:sz w:val="24"/>
          <w:szCs w:val="24"/>
        </w:rPr>
        <w:t xml:space="preserve"> my </w:t>
      </w:r>
      <w:r>
        <w:rPr>
          <w:rFonts w:ascii="Times New Roman" w:hAnsi="Times New Roman" w:cs="Times New Roman"/>
          <w:sz w:val="24"/>
          <w:szCs w:val="24"/>
        </w:rPr>
        <w:t>mother for her prayers and my sister and brother</w:t>
      </w:r>
      <w:r w:rsidRPr="00D32A9F">
        <w:rPr>
          <w:rFonts w:ascii="Times New Roman" w:hAnsi="Times New Roman" w:cs="Times New Roman"/>
          <w:sz w:val="24"/>
          <w:szCs w:val="24"/>
        </w:rPr>
        <w:t xml:space="preserve"> for their faith in me. Your love, caring, </w:t>
      </w:r>
      <w:r w:rsidR="001278ED" w:rsidRPr="00D32A9F">
        <w:rPr>
          <w:rFonts w:ascii="Times New Roman" w:hAnsi="Times New Roman" w:cs="Times New Roman"/>
          <w:sz w:val="24"/>
          <w:szCs w:val="24"/>
        </w:rPr>
        <w:t>understanding,</w:t>
      </w:r>
      <w:r w:rsidRPr="00D32A9F">
        <w:rPr>
          <w:rFonts w:ascii="Times New Roman" w:hAnsi="Times New Roman" w:cs="Times New Roman"/>
          <w:sz w:val="24"/>
          <w:szCs w:val="24"/>
        </w:rPr>
        <w:t xml:space="preserve"> and continuing support </w:t>
      </w:r>
      <w:r>
        <w:rPr>
          <w:rFonts w:ascii="Times New Roman" w:hAnsi="Times New Roman" w:cs="Times New Roman"/>
          <w:sz w:val="24"/>
          <w:szCs w:val="24"/>
        </w:rPr>
        <w:t>have enabled me to</w:t>
      </w:r>
      <w:r w:rsidRPr="00D32A9F">
        <w:rPr>
          <w:rFonts w:ascii="Times New Roman" w:hAnsi="Times New Roman" w:cs="Times New Roman"/>
          <w:sz w:val="24"/>
          <w:szCs w:val="24"/>
        </w:rPr>
        <w:t xml:space="preserve"> survive </w:t>
      </w:r>
      <w:r w:rsidR="001278ED">
        <w:rPr>
          <w:rFonts w:ascii="Times New Roman" w:hAnsi="Times New Roman" w:cs="Times New Roman"/>
          <w:sz w:val="24"/>
          <w:szCs w:val="24"/>
        </w:rPr>
        <w:t>through the difficult time of my PhD</w:t>
      </w:r>
      <w:r w:rsidRPr="00D32A9F">
        <w:rPr>
          <w:rFonts w:ascii="Times New Roman" w:hAnsi="Times New Roman" w:cs="Times New Roman"/>
          <w:sz w:val="24"/>
          <w:szCs w:val="24"/>
        </w:rPr>
        <w:t>.</w:t>
      </w:r>
      <w:r w:rsidR="001278ED">
        <w:rPr>
          <w:rFonts w:ascii="Times New Roman" w:hAnsi="Times New Roman" w:cs="Times New Roman"/>
          <w:sz w:val="24"/>
          <w:szCs w:val="24"/>
        </w:rPr>
        <w:t xml:space="preserve"> </w:t>
      </w:r>
      <w:r>
        <w:rPr>
          <w:rFonts w:ascii="Times New Roman" w:hAnsi="Times New Roman" w:cs="Times New Roman"/>
          <w:sz w:val="24"/>
          <w:szCs w:val="24"/>
        </w:rPr>
        <w:t>I want to thank my colleagues Rasim Sims</w:t>
      </w:r>
      <w:r w:rsidR="001278ED">
        <w:rPr>
          <w:rFonts w:ascii="Times New Roman" w:hAnsi="Times New Roman" w:cs="Times New Roman"/>
          <w:sz w:val="24"/>
          <w:szCs w:val="24"/>
        </w:rPr>
        <w:t>e</w:t>
      </w:r>
      <w:r>
        <w:rPr>
          <w:rFonts w:ascii="Times New Roman" w:hAnsi="Times New Roman" w:cs="Times New Roman"/>
          <w:sz w:val="24"/>
          <w:szCs w:val="24"/>
        </w:rPr>
        <w:t>k and Shakila Halim for their help and support throughout this journey. We all started our journey together in a different university</w:t>
      </w:r>
      <w:r w:rsidR="00847D9A">
        <w:rPr>
          <w:rFonts w:ascii="Times New Roman" w:hAnsi="Times New Roman" w:cs="Times New Roman"/>
          <w:sz w:val="24"/>
          <w:szCs w:val="24"/>
        </w:rPr>
        <w:t xml:space="preserve"> but</w:t>
      </w:r>
      <w:r>
        <w:rPr>
          <w:rFonts w:ascii="Times New Roman" w:hAnsi="Times New Roman" w:cs="Times New Roman"/>
          <w:sz w:val="24"/>
          <w:szCs w:val="24"/>
        </w:rPr>
        <w:t xml:space="preserve"> became very close when we moved to Sheffield. We have learned from each other</w:t>
      </w:r>
      <w:r w:rsidR="00847D9A">
        <w:rPr>
          <w:rFonts w:ascii="Times New Roman" w:hAnsi="Times New Roman" w:cs="Times New Roman"/>
          <w:sz w:val="24"/>
          <w:szCs w:val="24"/>
        </w:rPr>
        <w:t xml:space="preserve"> during our PhD journey</w:t>
      </w:r>
      <w:r>
        <w:rPr>
          <w:rFonts w:ascii="Times New Roman" w:hAnsi="Times New Roman" w:cs="Times New Roman"/>
          <w:sz w:val="24"/>
          <w:szCs w:val="24"/>
        </w:rPr>
        <w:t>, and I will always miss this kind of learning and discussion sessions ( which were more of a laughter session apart from a discussion).</w:t>
      </w:r>
    </w:p>
    <w:p w14:paraId="2CEE59AB" w14:textId="544DAAAF" w:rsidR="00D32A9F" w:rsidRDefault="00D32A9F" w:rsidP="00C80A9C">
      <w:pPr>
        <w:spacing w:line="480" w:lineRule="auto"/>
        <w:jc w:val="both"/>
        <w:rPr>
          <w:rFonts w:ascii="Times New Roman" w:hAnsi="Times New Roman" w:cs="Times New Roman"/>
          <w:sz w:val="24"/>
          <w:szCs w:val="24"/>
        </w:rPr>
      </w:pPr>
      <w:r>
        <w:rPr>
          <w:rFonts w:ascii="Times New Roman" w:hAnsi="Times New Roman" w:cs="Times New Roman"/>
          <w:sz w:val="24"/>
          <w:szCs w:val="24"/>
        </w:rPr>
        <w:t>Finally, I would not have been able to finish my PhD without the support and patience of my husband and daughter. I know we have missed</w:t>
      </w:r>
      <w:r w:rsidR="001278ED">
        <w:rPr>
          <w:rFonts w:ascii="Times New Roman" w:hAnsi="Times New Roman" w:cs="Times New Roman"/>
          <w:sz w:val="24"/>
          <w:szCs w:val="24"/>
        </w:rPr>
        <w:t xml:space="preserve"> </w:t>
      </w:r>
      <w:r w:rsidR="00A54B4F">
        <w:rPr>
          <w:rFonts w:ascii="Times New Roman" w:hAnsi="Times New Roman" w:cs="Times New Roman"/>
          <w:sz w:val="24"/>
          <w:szCs w:val="24"/>
        </w:rPr>
        <w:t>many things because of my research, but finally it has ende</w:t>
      </w:r>
      <w:r w:rsidR="001278ED">
        <w:rPr>
          <w:rFonts w:ascii="Times New Roman" w:hAnsi="Times New Roman" w:cs="Times New Roman"/>
          <w:sz w:val="24"/>
          <w:szCs w:val="24"/>
        </w:rPr>
        <w:t>d.</w:t>
      </w:r>
    </w:p>
    <w:p w14:paraId="0948C945" w14:textId="24FB99E5" w:rsidR="00D32A9F" w:rsidRDefault="00C80A9C" w:rsidP="00C80A9C">
      <w:pPr>
        <w:spacing w:line="480" w:lineRule="auto"/>
        <w:jc w:val="both"/>
        <w:rPr>
          <w:rFonts w:ascii="Times New Roman" w:hAnsi="Times New Roman" w:cs="Times New Roman"/>
          <w:sz w:val="24"/>
          <w:szCs w:val="24"/>
        </w:rPr>
      </w:pPr>
      <w:r w:rsidRPr="00C80A9C">
        <w:rPr>
          <w:rFonts w:ascii="Times New Roman" w:hAnsi="Times New Roman" w:cs="Times New Roman"/>
          <w:sz w:val="24"/>
          <w:szCs w:val="24"/>
        </w:rPr>
        <w:t>I w</w:t>
      </w:r>
      <w:r w:rsidR="00A54B4F">
        <w:rPr>
          <w:rFonts w:ascii="Times New Roman" w:hAnsi="Times New Roman" w:cs="Times New Roman"/>
          <w:sz w:val="24"/>
          <w:szCs w:val="24"/>
        </w:rPr>
        <w:t>ant</w:t>
      </w:r>
      <w:r w:rsidRPr="00C80A9C">
        <w:rPr>
          <w:rFonts w:ascii="Times New Roman" w:hAnsi="Times New Roman" w:cs="Times New Roman"/>
          <w:sz w:val="24"/>
          <w:szCs w:val="24"/>
        </w:rPr>
        <w:t xml:space="preserve"> to thank my other family members and friends who have appeared in my PhD journey. I w</w:t>
      </w:r>
      <w:r w:rsidR="00D32A9F">
        <w:rPr>
          <w:rFonts w:ascii="Times New Roman" w:hAnsi="Times New Roman" w:cs="Times New Roman"/>
          <w:sz w:val="24"/>
          <w:szCs w:val="24"/>
        </w:rPr>
        <w:t>ant</w:t>
      </w:r>
      <w:r w:rsidRPr="00C80A9C">
        <w:rPr>
          <w:rFonts w:ascii="Times New Roman" w:hAnsi="Times New Roman" w:cs="Times New Roman"/>
          <w:sz w:val="24"/>
          <w:szCs w:val="24"/>
        </w:rPr>
        <w:t xml:space="preserve"> to dedicate </w:t>
      </w:r>
      <w:r w:rsidR="00847D9A">
        <w:rPr>
          <w:rFonts w:ascii="Times New Roman" w:hAnsi="Times New Roman" w:cs="Times New Roman"/>
          <w:sz w:val="24"/>
          <w:szCs w:val="24"/>
        </w:rPr>
        <w:t xml:space="preserve">my thesis to </w:t>
      </w:r>
      <w:r w:rsidRPr="00C80A9C">
        <w:rPr>
          <w:rFonts w:ascii="Times New Roman" w:hAnsi="Times New Roman" w:cs="Times New Roman"/>
          <w:sz w:val="24"/>
          <w:szCs w:val="24"/>
        </w:rPr>
        <w:t>all concerned pe</w:t>
      </w:r>
      <w:r w:rsidR="00D32A9F">
        <w:rPr>
          <w:rFonts w:ascii="Times New Roman" w:hAnsi="Times New Roman" w:cs="Times New Roman"/>
          <w:sz w:val="24"/>
          <w:szCs w:val="24"/>
        </w:rPr>
        <w:t>ople</w:t>
      </w:r>
      <w:r w:rsidRPr="00C80A9C">
        <w:rPr>
          <w:rFonts w:ascii="Times New Roman" w:hAnsi="Times New Roman" w:cs="Times New Roman"/>
          <w:sz w:val="24"/>
          <w:szCs w:val="24"/>
        </w:rPr>
        <w:t xml:space="preserve"> </w:t>
      </w:r>
      <w:r w:rsidR="00847D9A">
        <w:rPr>
          <w:rFonts w:ascii="Times New Roman" w:hAnsi="Times New Roman" w:cs="Times New Roman"/>
          <w:sz w:val="24"/>
          <w:szCs w:val="24"/>
        </w:rPr>
        <w:t xml:space="preserve">who have been part of </w:t>
      </w:r>
      <w:r w:rsidR="00057265">
        <w:rPr>
          <w:rFonts w:ascii="Times New Roman" w:hAnsi="Times New Roman" w:cs="Times New Roman"/>
          <w:sz w:val="24"/>
          <w:szCs w:val="24"/>
        </w:rPr>
        <w:t>my research</w:t>
      </w:r>
      <w:r w:rsidR="001278ED">
        <w:rPr>
          <w:rFonts w:ascii="Times New Roman" w:hAnsi="Times New Roman" w:cs="Times New Roman"/>
          <w:sz w:val="24"/>
          <w:szCs w:val="24"/>
        </w:rPr>
        <w:t xml:space="preserve"> life</w:t>
      </w:r>
      <w:r w:rsidRPr="00C80A9C">
        <w:rPr>
          <w:rFonts w:ascii="Times New Roman" w:hAnsi="Times New Roman" w:cs="Times New Roman"/>
          <w:sz w:val="24"/>
          <w:szCs w:val="24"/>
        </w:rPr>
        <w:t xml:space="preserve">. </w:t>
      </w:r>
    </w:p>
    <w:p w14:paraId="3CD6D477" w14:textId="77777777" w:rsidR="00D32A9F" w:rsidRDefault="00D32A9F" w:rsidP="00D32A9F">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Ramshah Rashid </w:t>
      </w:r>
    </w:p>
    <w:p w14:paraId="1FCBF305" w14:textId="1683E933" w:rsidR="00D32A9F" w:rsidRDefault="00A0792C" w:rsidP="00D32A9F">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April </w:t>
      </w:r>
      <w:r w:rsidR="00C80A9C" w:rsidRPr="00C80A9C">
        <w:rPr>
          <w:rFonts w:ascii="Times New Roman" w:hAnsi="Times New Roman" w:cs="Times New Roman"/>
          <w:sz w:val="24"/>
          <w:szCs w:val="24"/>
        </w:rPr>
        <w:t xml:space="preserve"> 202</w:t>
      </w:r>
      <w:r w:rsidR="00D32A9F">
        <w:rPr>
          <w:rFonts w:ascii="Times New Roman" w:hAnsi="Times New Roman" w:cs="Times New Roman"/>
          <w:sz w:val="24"/>
          <w:szCs w:val="24"/>
        </w:rPr>
        <w:t>3</w:t>
      </w:r>
    </w:p>
    <w:p w14:paraId="2FD667EE" w14:textId="77777777" w:rsidR="000E5A33" w:rsidRDefault="00D32A9F">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val="en-GB"/>
        </w:rPr>
        <w:id w:val="-280430808"/>
        <w:docPartObj>
          <w:docPartGallery w:val="Table of Contents"/>
          <w:docPartUnique/>
        </w:docPartObj>
      </w:sdtPr>
      <w:sdtEndPr>
        <w:rPr>
          <w:b/>
          <w:bCs/>
          <w:noProof/>
        </w:rPr>
      </w:sdtEndPr>
      <w:sdtContent>
        <w:p w14:paraId="4F5DE08A" w14:textId="25A4512E" w:rsidR="000E5A33" w:rsidRPr="00CC629E" w:rsidRDefault="00CC629E" w:rsidP="00DE7639">
          <w:pPr>
            <w:pStyle w:val="TOCHeading"/>
            <w:spacing w:line="360" w:lineRule="auto"/>
            <w:jc w:val="center"/>
            <w:rPr>
              <w:rStyle w:val="Heading1Char"/>
              <w:color w:val="000000" w:themeColor="text1"/>
              <w:sz w:val="36"/>
              <w:szCs w:val="36"/>
            </w:rPr>
          </w:pPr>
          <w:r w:rsidRPr="00CC629E">
            <w:rPr>
              <w:rStyle w:val="Heading1Char"/>
              <w:color w:val="000000" w:themeColor="text1"/>
              <w:sz w:val="36"/>
              <w:szCs w:val="36"/>
            </w:rPr>
            <w:t>Table of Content</w:t>
          </w:r>
        </w:p>
        <w:p w14:paraId="00E38737" w14:textId="77777777" w:rsidR="00CC629E" w:rsidRPr="00CC629E" w:rsidRDefault="00CC629E" w:rsidP="00DE7639">
          <w:pPr>
            <w:spacing w:line="360" w:lineRule="auto"/>
            <w:rPr>
              <w:lang w:val="en-US"/>
            </w:rPr>
          </w:pPr>
        </w:p>
        <w:p w14:paraId="75E84BFA" w14:textId="0901EBE3" w:rsidR="00CB0AF9" w:rsidRPr="00CB0AF9" w:rsidRDefault="000E5A33">
          <w:pPr>
            <w:pStyle w:val="TOC1"/>
            <w:rPr>
              <w:rFonts w:asciiTheme="minorHAnsi" w:eastAsiaTheme="minorEastAsia" w:hAnsiTheme="minorHAnsi" w:cstheme="minorBidi"/>
              <w:smallCaps w:val="0"/>
              <w:kern w:val="2"/>
              <w:sz w:val="22"/>
              <w:szCs w:val="22"/>
              <w:lang w:eastAsia="en-GB"/>
              <w14:ligatures w14:val="standardContextual"/>
            </w:rPr>
          </w:pPr>
          <w:r>
            <w:rPr>
              <w:noProof w:val="0"/>
              <w:sz w:val="24"/>
              <w:szCs w:val="24"/>
            </w:rPr>
            <w:fldChar w:fldCharType="begin"/>
          </w:r>
          <w:r>
            <w:instrText xml:space="preserve"> TOC \o "1-3" \h \z \u </w:instrText>
          </w:r>
          <w:r>
            <w:rPr>
              <w:noProof w:val="0"/>
              <w:sz w:val="24"/>
              <w:szCs w:val="24"/>
            </w:rPr>
            <w:fldChar w:fldCharType="separate"/>
          </w:r>
          <w:hyperlink w:anchor="_Toc145616154" w:history="1">
            <w:r w:rsidR="00CB0AF9" w:rsidRPr="00CB0AF9">
              <w:rPr>
                <w:rStyle w:val="Hyperlink"/>
              </w:rPr>
              <w:t>Declaration</w:t>
            </w:r>
            <w:r w:rsidR="00CB0AF9" w:rsidRPr="00CB0AF9">
              <w:rPr>
                <w:webHidden/>
              </w:rPr>
              <w:tab/>
            </w:r>
            <w:r w:rsidR="00CB0AF9" w:rsidRPr="00CB0AF9">
              <w:rPr>
                <w:webHidden/>
              </w:rPr>
              <w:fldChar w:fldCharType="begin"/>
            </w:r>
            <w:r w:rsidR="00CB0AF9" w:rsidRPr="00CB0AF9">
              <w:rPr>
                <w:webHidden/>
              </w:rPr>
              <w:instrText xml:space="preserve"> PAGEREF _Toc145616154 \h </w:instrText>
            </w:r>
            <w:r w:rsidR="00CB0AF9" w:rsidRPr="00CB0AF9">
              <w:rPr>
                <w:webHidden/>
              </w:rPr>
            </w:r>
            <w:r w:rsidR="00CB0AF9" w:rsidRPr="00CB0AF9">
              <w:rPr>
                <w:webHidden/>
              </w:rPr>
              <w:fldChar w:fldCharType="separate"/>
            </w:r>
            <w:r w:rsidR="00006F3E">
              <w:rPr>
                <w:webHidden/>
              </w:rPr>
              <w:t>ii</w:t>
            </w:r>
            <w:r w:rsidR="00CB0AF9" w:rsidRPr="00CB0AF9">
              <w:rPr>
                <w:webHidden/>
              </w:rPr>
              <w:fldChar w:fldCharType="end"/>
            </w:r>
          </w:hyperlink>
        </w:p>
        <w:p w14:paraId="6BB79D72" w14:textId="465766E1"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55" w:history="1">
            <w:r w:rsidR="00CB0AF9" w:rsidRPr="00CB0AF9">
              <w:rPr>
                <w:rStyle w:val="Hyperlink"/>
              </w:rPr>
              <w:t>Statement of Copyright</w:t>
            </w:r>
            <w:r w:rsidR="00CB0AF9" w:rsidRPr="00CB0AF9">
              <w:rPr>
                <w:webHidden/>
              </w:rPr>
              <w:tab/>
            </w:r>
            <w:r w:rsidR="00CB0AF9" w:rsidRPr="00CB0AF9">
              <w:rPr>
                <w:webHidden/>
              </w:rPr>
              <w:fldChar w:fldCharType="begin"/>
            </w:r>
            <w:r w:rsidR="00CB0AF9" w:rsidRPr="00CB0AF9">
              <w:rPr>
                <w:webHidden/>
              </w:rPr>
              <w:instrText xml:space="preserve"> PAGEREF _Toc145616155 \h </w:instrText>
            </w:r>
            <w:r w:rsidR="00CB0AF9" w:rsidRPr="00CB0AF9">
              <w:rPr>
                <w:webHidden/>
              </w:rPr>
            </w:r>
            <w:r w:rsidR="00CB0AF9" w:rsidRPr="00CB0AF9">
              <w:rPr>
                <w:webHidden/>
              </w:rPr>
              <w:fldChar w:fldCharType="separate"/>
            </w:r>
            <w:r w:rsidR="00006F3E">
              <w:rPr>
                <w:webHidden/>
              </w:rPr>
              <w:t>iii</w:t>
            </w:r>
            <w:r w:rsidR="00CB0AF9" w:rsidRPr="00CB0AF9">
              <w:rPr>
                <w:webHidden/>
              </w:rPr>
              <w:fldChar w:fldCharType="end"/>
            </w:r>
          </w:hyperlink>
        </w:p>
        <w:p w14:paraId="7E200058" w14:textId="1A07BB19"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56" w:history="1">
            <w:r w:rsidR="00CB0AF9" w:rsidRPr="00CB0AF9">
              <w:rPr>
                <w:rStyle w:val="Hyperlink"/>
              </w:rPr>
              <w:t>Acknowledgements</w:t>
            </w:r>
            <w:r w:rsidR="00CB0AF9" w:rsidRPr="00CB0AF9">
              <w:rPr>
                <w:webHidden/>
              </w:rPr>
              <w:tab/>
            </w:r>
            <w:r w:rsidR="00CB0AF9" w:rsidRPr="00CB0AF9">
              <w:rPr>
                <w:webHidden/>
              </w:rPr>
              <w:fldChar w:fldCharType="begin"/>
            </w:r>
            <w:r w:rsidR="00CB0AF9" w:rsidRPr="00CB0AF9">
              <w:rPr>
                <w:webHidden/>
              </w:rPr>
              <w:instrText xml:space="preserve"> PAGEREF _Toc145616156 \h </w:instrText>
            </w:r>
            <w:r w:rsidR="00CB0AF9" w:rsidRPr="00CB0AF9">
              <w:rPr>
                <w:webHidden/>
              </w:rPr>
            </w:r>
            <w:r w:rsidR="00CB0AF9" w:rsidRPr="00CB0AF9">
              <w:rPr>
                <w:webHidden/>
              </w:rPr>
              <w:fldChar w:fldCharType="separate"/>
            </w:r>
            <w:r w:rsidR="00006F3E">
              <w:rPr>
                <w:webHidden/>
              </w:rPr>
              <w:t>iv</w:t>
            </w:r>
            <w:r w:rsidR="00CB0AF9" w:rsidRPr="00CB0AF9">
              <w:rPr>
                <w:webHidden/>
              </w:rPr>
              <w:fldChar w:fldCharType="end"/>
            </w:r>
          </w:hyperlink>
        </w:p>
        <w:p w14:paraId="2CBA1965" w14:textId="115CFB02"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57" w:history="1">
            <w:r w:rsidR="00CB0AF9" w:rsidRPr="00CB0AF9">
              <w:rPr>
                <w:rStyle w:val="Hyperlink"/>
              </w:rPr>
              <w:t>List of Tables</w:t>
            </w:r>
            <w:r w:rsidR="00CB0AF9" w:rsidRPr="00CB0AF9">
              <w:rPr>
                <w:webHidden/>
              </w:rPr>
              <w:tab/>
            </w:r>
            <w:r w:rsidR="00CB0AF9" w:rsidRPr="00CB0AF9">
              <w:rPr>
                <w:webHidden/>
              </w:rPr>
              <w:fldChar w:fldCharType="begin"/>
            </w:r>
            <w:r w:rsidR="00CB0AF9" w:rsidRPr="00CB0AF9">
              <w:rPr>
                <w:webHidden/>
              </w:rPr>
              <w:instrText xml:space="preserve"> PAGEREF _Toc145616157 \h </w:instrText>
            </w:r>
            <w:r w:rsidR="00CB0AF9" w:rsidRPr="00CB0AF9">
              <w:rPr>
                <w:webHidden/>
              </w:rPr>
            </w:r>
            <w:r w:rsidR="00CB0AF9" w:rsidRPr="00CB0AF9">
              <w:rPr>
                <w:webHidden/>
              </w:rPr>
              <w:fldChar w:fldCharType="separate"/>
            </w:r>
            <w:r w:rsidR="00006F3E">
              <w:rPr>
                <w:webHidden/>
              </w:rPr>
              <w:t>x</w:t>
            </w:r>
            <w:r w:rsidR="00CB0AF9" w:rsidRPr="00CB0AF9">
              <w:rPr>
                <w:webHidden/>
              </w:rPr>
              <w:fldChar w:fldCharType="end"/>
            </w:r>
          </w:hyperlink>
        </w:p>
        <w:p w14:paraId="7A6D010B" w14:textId="4F7F525D"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58" w:history="1">
            <w:r w:rsidR="00CB0AF9" w:rsidRPr="00CB0AF9">
              <w:rPr>
                <w:rStyle w:val="Hyperlink"/>
              </w:rPr>
              <w:t>List of Figures</w:t>
            </w:r>
            <w:r w:rsidR="00CB0AF9" w:rsidRPr="00CB0AF9">
              <w:rPr>
                <w:webHidden/>
              </w:rPr>
              <w:tab/>
            </w:r>
            <w:r w:rsidR="00CB0AF9" w:rsidRPr="00CB0AF9">
              <w:rPr>
                <w:webHidden/>
              </w:rPr>
              <w:fldChar w:fldCharType="begin"/>
            </w:r>
            <w:r w:rsidR="00CB0AF9" w:rsidRPr="00CB0AF9">
              <w:rPr>
                <w:webHidden/>
              </w:rPr>
              <w:instrText xml:space="preserve"> PAGEREF _Toc145616158 \h </w:instrText>
            </w:r>
            <w:r w:rsidR="00CB0AF9" w:rsidRPr="00CB0AF9">
              <w:rPr>
                <w:webHidden/>
              </w:rPr>
            </w:r>
            <w:r w:rsidR="00CB0AF9" w:rsidRPr="00CB0AF9">
              <w:rPr>
                <w:webHidden/>
              </w:rPr>
              <w:fldChar w:fldCharType="separate"/>
            </w:r>
            <w:r w:rsidR="00006F3E">
              <w:rPr>
                <w:webHidden/>
              </w:rPr>
              <w:t>xi</w:t>
            </w:r>
            <w:r w:rsidR="00CB0AF9" w:rsidRPr="00CB0AF9">
              <w:rPr>
                <w:webHidden/>
              </w:rPr>
              <w:fldChar w:fldCharType="end"/>
            </w:r>
          </w:hyperlink>
        </w:p>
        <w:p w14:paraId="42CDFC88" w14:textId="6F46FE2F"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59" w:history="1">
            <w:r w:rsidR="00CB0AF9" w:rsidRPr="00CB0AF9">
              <w:rPr>
                <w:rStyle w:val="Hyperlink"/>
              </w:rPr>
              <w:t>List of Appendixes</w:t>
            </w:r>
            <w:r w:rsidR="00CB0AF9" w:rsidRPr="00CB0AF9">
              <w:rPr>
                <w:webHidden/>
              </w:rPr>
              <w:tab/>
            </w:r>
            <w:r w:rsidR="00CB0AF9" w:rsidRPr="00CB0AF9">
              <w:rPr>
                <w:webHidden/>
              </w:rPr>
              <w:fldChar w:fldCharType="begin"/>
            </w:r>
            <w:r w:rsidR="00CB0AF9" w:rsidRPr="00CB0AF9">
              <w:rPr>
                <w:webHidden/>
              </w:rPr>
              <w:instrText xml:space="preserve"> PAGEREF _Toc145616159 \h </w:instrText>
            </w:r>
            <w:r w:rsidR="00CB0AF9" w:rsidRPr="00CB0AF9">
              <w:rPr>
                <w:webHidden/>
              </w:rPr>
            </w:r>
            <w:r w:rsidR="00CB0AF9" w:rsidRPr="00CB0AF9">
              <w:rPr>
                <w:webHidden/>
              </w:rPr>
              <w:fldChar w:fldCharType="separate"/>
            </w:r>
            <w:r w:rsidR="00006F3E">
              <w:rPr>
                <w:webHidden/>
              </w:rPr>
              <w:t>xi</w:t>
            </w:r>
            <w:r w:rsidR="00CB0AF9" w:rsidRPr="00CB0AF9">
              <w:rPr>
                <w:webHidden/>
              </w:rPr>
              <w:fldChar w:fldCharType="end"/>
            </w:r>
          </w:hyperlink>
        </w:p>
        <w:p w14:paraId="735DB8DB" w14:textId="75F78079"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60" w:history="1">
            <w:r w:rsidR="00CB0AF9" w:rsidRPr="00CB0AF9">
              <w:rPr>
                <w:rStyle w:val="Hyperlink"/>
              </w:rPr>
              <w:t>List of Abbreviations</w:t>
            </w:r>
            <w:r w:rsidR="00CB0AF9" w:rsidRPr="00CB0AF9">
              <w:rPr>
                <w:webHidden/>
              </w:rPr>
              <w:tab/>
            </w:r>
            <w:r w:rsidR="00CB0AF9" w:rsidRPr="00CB0AF9">
              <w:rPr>
                <w:webHidden/>
              </w:rPr>
              <w:fldChar w:fldCharType="begin"/>
            </w:r>
            <w:r w:rsidR="00CB0AF9" w:rsidRPr="00CB0AF9">
              <w:rPr>
                <w:webHidden/>
              </w:rPr>
              <w:instrText xml:space="preserve"> PAGEREF _Toc145616160 \h </w:instrText>
            </w:r>
            <w:r w:rsidR="00CB0AF9" w:rsidRPr="00CB0AF9">
              <w:rPr>
                <w:webHidden/>
              </w:rPr>
            </w:r>
            <w:r w:rsidR="00CB0AF9" w:rsidRPr="00CB0AF9">
              <w:rPr>
                <w:webHidden/>
              </w:rPr>
              <w:fldChar w:fldCharType="separate"/>
            </w:r>
            <w:r w:rsidR="00006F3E">
              <w:rPr>
                <w:webHidden/>
              </w:rPr>
              <w:t>xii</w:t>
            </w:r>
            <w:r w:rsidR="00CB0AF9" w:rsidRPr="00CB0AF9">
              <w:rPr>
                <w:webHidden/>
              </w:rPr>
              <w:fldChar w:fldCharType="end"/>
            </w:r>
          </w:hyperlink>
        </w:p>
        <w:p w14:paraId="6D89A663" w14:textId="5D6CB7CE"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61" w:history="1">
            <w:r w:rsidR="00CB0AF9" w:rsidRPr="00CB0AF9">
              <w:rPr>
                <w:rStyle w:val="Hyperlink"/>
              </w:rPr>
              <w:t>Abstract</w:t>
            </w:r>
            <w:r w:rsidR="00CB0AF9" w:rsidRPr="00CB0AF9">
              <w:rPr>
                <w:webHidden/>
              </w:rPr>
              <w:tab/>
            </w:r>
            <w:r w:rsidR="00CB0AF9" w:rsidRPr="00CB0AF9">
              <w:rPr>
                <w:webHidden/>
              </w:rPr>
              <w:fldChar w:fldCharType="begin"/>
            </w:r>
            <w:r w:rsidR="00CB0AF9" w:rsidRPr="00CB0AF9">
              <w:rPr>
                <w:webHidden/>
              </w:rPr>
              <w:instrText xml:space="preserve"> PAGEREF _Toc145616161 \h </w:instrText>
            </w:r>
            <w:r w:rsidR="00CB0AF9" w:rsidRPr="00CB0AF9">
              <w:rPr>
                <w:webHidden/>
              </w:rPr>
            </w:r>
            <w:r w:rsidR="00CB0AF9" w:rsidRPr="00CB0AF9">
              <w:rPr>
                <w:webHidden/>
              </w:rPr>
              <w:fldChar w:fldCharType="separate"/>
            </w:r>
            <w:r w:rsidR="00006F3E">
              <w:rPr>
                <w:webHidden/>
              </w:rPr>
              <w:t>xiii</w:t>
            </w:r>
            <w:r w:rsidR="00CB0AF9" w:rsidRPr="00CB0AF9">
              <w:rPr>
                <w:webHidden/>
              </w:rPr>
              <w:fldChar w:fldCharType="end"/>
            </w:r>
          </w:hyperlink>
        </w:p>
        <w:p w14:paraId="54C1157B" w14:textId="47428DBD"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62" w:history="1">
            <w:r w:rsidR="00CB0AF9" w:rsidRPr="00CB0AF9">
              <w:rPr>
                <w:rStyle w:val="Hyperlink"/>
              </w:rPr>
              <w:t>1.</w:t>
            </w:r>
            <w:r w:rsidR="00CB0AF9" w:rsidRPr="00CB0AF9">
              <w:rPr>
                <w:rFonts w:asciiTheme="minorHAnsi" w:eastAsiaTheme="minorEastAsia" w:hAnsiTheme="minorHAnsi" w:cstheme="minorBidi"/>
                <w:smallCaps w:val="0"/>
                <w:kern w:val="2"/>
                <w:sz w:val="22"/>
                <w:szCs w:val="22"/>
                <w:lang w:eastAsia="en-GB"/>
                <w14:ligatures w14:val="standardContextual"/>
              </w:rPr>
              <w:tab/>
            </w:r>
            <w:r w:rsidR="00CB0AF9" w:rsidRPr="00CB0AF9">
              <w:rPr>
                <w:rStyle w:val="Hyperlink"/>
              </w:rPr>
              <w:t>Introduction</w:t>
            </w:r>
            <w:r w:rsidR="00CB0AF9" w:rsidRPr="00CB0AF9">
              <w:rPr>
                <w:webHidden/>
              </w:rPr>
              <w:tab/>
            </w:r>
            <w:r w:rsidR="00CB0AF9" w:rsidRPr="00CB0AF9">
              <w:rPr>
                <w:webHidden/>
              </w:rPr>
              <w:fldChar w:fldCharType="begin"/>
            </w:r>
            <w:r w:rsidR="00CB0AF9" w:rsidRPr="00CB0AF9">
              <w:rPr>
                <w:webHidden/>
              </w:rPr>
              <w:instrText xml:space="preserve"> PAGEREF _Toc145616162 \h </w:instrText>
            </w:r>
            <w:r w:rsidR="00CB0AF9" w:rsidRPr="00CB0AF9">
              <w:rPr>
                <w:webHidden/>
              </w:rPr>
            </w:r>
            <w:r w:rsidR="00CB0AF9" w:rsidRPr="00CB0AF9">
              <w:rPr>
                <w:webHidden/>
              </w:rPr>
              <w:fldChar w:fldCharType="separate"/>
            </w:r>
            <w:r w:rsidR="00006F3E">
              <w:rPr>
                <w:webHidden/>
              </w:rPr>
              <w:t>2</w:t>
            </w:r>
            <w:r w:rsidR="00CB0AF9" w:rsidRPr="00CB0AF9">
              <w:rPr>
                <w:webHidden/>
              </w:rPr>
              <w:fldChar w:fldCharType="end"/>
            </w:r>
          </w:hyperlink>
        </w:p>
        <w:p w14:paraId="0E61F0B8" w14:textId="5AA18F73"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3" w:history="1">
            <w:r w:rsidR="00CB0AF9" w:rsidRPr="00CB0AF9">
              <w:rPr>
                <w:rStyle w:val="Hyperlink"/>
                <w:lang w:val="en-US"/>
              </w:rPr>
              <w:t>1.1.</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lang w:val="en-US"/>
              </w:rPr>
              <w:t>Background:</w:t>
            </w:r>
            <w:r w:rsidR="00CB0AF9" w:rsidRPr="00CB0AF9">
              <w:rPr>
                <w:webHidden/>
              </w:rPr>
              <w:tab/>
            </w:r>
            <w:r w:rsidR="00CB0AF9" w:rsidRPr="00CB0AF9">
              <w:rPr>
                <w:webHidden/>
              </w:rPr>
              <w:fldChar w:fldCharType="begin"/>
            </w:r>
            <w:r w:rsidR="00CB0AF9" w:rsidRPr="00CB0AF9">
              <w:rPr>
                <w:webHidden/>
              </w:rPr>
              <w:instrText xml:space="preserve"> PAGEREF _Toc145616163 \h </w:instrText>
            </w:r>
            <w:r w:rsidR="00CB0AF9" w:rsidRPr="00CB0AF9">
              <w:rPr>
                <w:webHidden/>
              </w:rPr>
            </w:r>
            <w:r w:rsidR="00CB0AF9" w:rsidRPr="00CB0AF9">
              <w:rPr>
                <w:webHidden/>
              </w:rPr>
              <w:fldChar w:fldCharType="separate"/>
            </w:r>
            <w:r w:rsidR="00006F3E">
              <w:rPr>
                <w:webHidden/>
              </w:rPr>
              <w:t>2</w:t>
            </w:r>
            <w:r w:rsidR="00CB0AF9" w:rsidRPr="00CB0AF9">
              <w:rPr>
                <w:webHidden/>
              </w:rPr>
              <w:fldChar w:fldCharType="end"/>
            </w:r>
          </w:hyperlink>
        </w:p>
        <w:p w14:paraId="5E5C7EEF" w14:textId="5F0E839B"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4" w:history="1">
            <w:r w:rsidR="00CB0AF9" w:rsidRPr="00CB0AF9">
              <w:rPr>
                <w:rStyle w:val="Hyperlink"/>
              </w:rPr>
              <w:t>1.2.</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Research Motivation</w:t>
            </w:r>
            <w:r w:rsidR="00CB0AF9" w:rsidRPr="00CB0AF9">
              <w:rPr>
                <w:webHidden/>
              </w:rPr>
              <w:tab/>
            </w:r>
            <w:r w:rsidR="00CB0AF9" w:rsidRPr="00CB0AF9">
              <w:rPr>
                <w:webHidden/>
              </w:rPr>
              <w:fldChar w:fldCharType="begin"/>
            </w:r>
            <w:r w:rsidR="00CB0AF9" w:rsidRPr="00CB0AF9">
              <w:rPr>
                <w:webHidden/>
              </w:rPr>
              <w:instrText xml:space="preserve"> PAGEREF _Toc145616164 \h </w:instrText>
            </w:r>
            <w:r w:rsidR="00CB0AF9" w:rsidRPr="00CB0AF9">
              <w:rPr>
                <w:webHidden/>
              </w:rPr>
            </w:r>
            <w:r w:rsidR="00CB0AF9" w:rsidRPr="00CB0AF9">
              <w:rPr>
                <w:webHidden/>
              </w:rPr>
              <w:fldChar w:fldCharType="separate"/>
            </w:r>
            <w:r w:rsidR="00006F3E">
              <w:rPr>
                <w:webHidden/>
              </w:rPr>
              <w:t>3</w:t>
            </w:r>
            <w:r w:rsidR="00CB0AF9" w:rsidRPr="00CB0AF9">
              <w:rPr>
                <w:webHidden/>
              </w:rPr>
              <w:fldChar w:fldCharType="end"/>
            </w:r>
          </w:hyperlink>
        </w:p>
        <w:p w14:paraId="1D7E8A97" w14:textId="4E44DBAC"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5" w:history="1">
            <w:r w:rsidR="00CB0AF9" w:rsidRPr="00CB0AF9">
              <w:rPr>
                <w:rStyle w:val="Hyperlink"/>
              </w:rPr>
              <w:t>1.3.</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Research Overview and Contribution</w:t>
            </w:r>
            <w:r w:rsidR="00CB0AF9" w:rsidRPr="00CB0AF9">
              <w:rPr>
                <w:webHidden/>
              </w:rPr>
              <w:tab/>
            </w:r>
            <w:r w:rsidR="00CB0AF9" w:rsidRPr="00CB0AF9">
              <w:rPr>
                <w:webHidden/>
              </w:rPr>
              <w:fldChar w:fldCharType="begin"/>
            </w:r>
            <w:r w:rsidR="00CB0AF9" w:rsidRPr="00CB0AF9">
              <w:rPr>
                <w:webHidden/>
              </w:rPr>
              <w:instrText xml:space="preserve"> PAGEREF _Toc145616165 \h </w:instrText>
            </w:r>
            <w:r w:rsidR="00CB0AF9" w:rsidRPr="00CB0AF9">
              <w:rPr>
                <w:webHidden/>
              </w:rPr>
            </w:r>
            <w:r w:rsidR="00CB0AF9" w:rsidRPr="00CB0AF9">
              <w:rPr>
                <w:webHidden/>
              </w:rPr>
              <w:fldChar w:fldCharType="separate"/>
            </w:r>
            <w:r w:rsidR="00006F3E">
              <w:rPr>
                <w:webHidden/>
              </w:rPr>
              <w:t>7</w:t>
            </w:r>
            <w:r w:rsidR="00CB0AF9" w:rsidRPr="00CB0AF9">
              <w:rPr>
                <w:webHidden/>
              </w:rPr>
              <w:fldChar w:fldCharType="end"/>
            </w:r>
          </w:hyperlink>
        </w:p>
        <w:p w14:paraId="1A978EAF" w14:textId="201F004C"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6" w:history="1">
            <w:r w:rsidR="00CB0AF9" w:rsidRPr="00CB0AF9">
              <w:rPr>
                <w:rStyle w:val="Hyperlink"/>
                <w:rFonts w:eastAsia="DengXian"/>
              </w:rPr>
              <w:t>1.4.</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Thesis Structure</w:t>
            </w:r>
            <w:r w:rsidR="00CB0AF9" w:rsidRPr="00CB0AF9">
              <w:rPr>
                <w:webHidden/>
              </w:rPr>
              <w:tab/>
            </w:r>
            <w:r w:rsidR="00CB0AF9" w:rsidRPr="00CB0AF9">
              <w:rPr>
                <w:webHidden/>
              </w:rPr>
              <w:fldChar w:fldCharType="begin"/>
            </w:r>
            <w:r w:rsidR="00CB0AF9" w:rsidRPr="00CB0AF9">
              <w:rPr>
                <w:webHidden/>
              </w:rPr>
              <w:instrText xml:space="preserve"> PAGEREF _Toc145616166 \h </w:instrText>
            </w:r>
            <w:r w:rsidR="00CB0AF9" w:rsidRPr="00CB0AF9">
              <w:rPr>
                <w:webHidden/>
              </w:rPr>
            </w:r>
            <w:r w:rsidR="00CB0AF9" w:rsidRPr="00CB0AF9">
              <w:rPr>
                <w:webHidden/>
              </w:rPr>
              <w:fldChar w:fldCharType="separate"/>
            </w:r>
            <w:r w:rsidR="00006F3E">
              <w:rPr>
                <w:webHidden/>
              </w:rPr>
              <w:t>14</w:t>
            </w:r>
            <w:r w:rsidR="00CB0AF9" w:rsidRPr="00CB0AF9">
              <w:rPr>
                <w:webHidden/>
              </w:rPr>
              <w:fldChar w:fldCharType="end"/>
            </w:r>
          </w:hyperlink>
        </w:p>
        <w:p w14:paraId="4349A285" w14:textId="10841FEB"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67" w:history="1">
            <w:r w:rsidR="00CB0AF9" w:rsidRPr="00CB0AF9">
              <w:rPr>
                <w:rStyle w:val="Hyperlink"/>
              </w:rPr>
              <w:t>2.</w:t>
            </w:r>
            <w:r w:rsidR="00CB0AF9" w:rsidRPr="00CB0AF9">
              <w:rPr>
                <w:rFonts w:asciiTheme="minorHAnsi" w:eastAsiaTheme="minorEastAsia" w:hAnsiTheme="minorHAnsi" w:cstheme="minorBidi"/>
                <w:smallCaps w:val="0"/>
                <w:kern w:val="2"/>
                <w:sz w:val="22"/>
                <w:szCs w:val="22"/>
                <w:lang w:eastAsia="en-GB"/>
                <w14:ligatures w14:val="standardContextual"/>
              </w:rPr>
              <w:tab/>
            </w:r>
            <w:r w:rsidR="00CB0AF9" w:rsidRPr="00CB0AF9">
              <w:rPr>
                <w:rStyle w:val="Hyperlink"/>
              </w:rPr>
              <w:t>Theoretical Framework</w:t>
            </w:r>
            <w:r w:rsidR="00CB0AF9" w:rsidRPr="00CB0AF9">
              <w:rPr>
                <w:webHidden/>
              </w:rPr>
              <w:tab/>
            </w:r>
            <w:r w:rsidR="00CB0AF9" w:rsidRPr="00CB0AF9">
              <w:rPr>
                <w:webHidden/>
              </w:rPr>
              <w:fldChar w:fldCharType="begin"/>
            </w:r>
            <w:r w:rsidR="00CB0AF9" w:rsidRPr="00CB0AF9">
              <w:rPr>
                <w:webHidden/>
              </w:rPr>
              <w:instrText xml:space="preserve"> PAGEREF _Toc145616167 \h </w:instrText>
            </w:r>
            <w:r w:rsidR="00CB0AF9" w:rsidRPr="00CB0AF9">
              <w:rPr>
                <w:webHidden/>
              </w:rPr>
            </w:r>
            <w:r w:rsidR="00CB0AF9" w:rsidRPr="00CB0AF9">
              <w:rPr>
                <w:webHidden/>
              </w:rPr>
              <w:fldChar w:fldCharType="separate"/>
            </w:r>
            <w:r w:rsidR="00006F3E">
              <w:rPr>
                <w:webHidden/>
              </w:rPr>
              <w:t>20</w:t>
            </w:r>
            <w:r w:rsidR="00CB0AF9" w:rsidRPr="00CB0AF9">
              <w:rPr>
                <w:webHidden/>
              </w:rPr>
              <w:fldChar w:fldCharType="end"/>
            </w:r>
          </w:hyperlink>
        </w:p>
        <w:p w14:paraId="7AECA513" w14:textId="4221039B"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8" w:history="1">
            <w:r w:rsidR="00CB0AF9" w:rsidRPr="00CB0AF9">
              <w:rPr>
                <w:rStyle w:val="Hyperlink"/>
              </w:rPr>
              <w:t>2.1.Theories of Bank Governance</w:t>
            </w:r>
            <w:r w:rsidR="00CB0AF9" w:rsidRPr="00CB0AF9">
              <w:rPr>
                <w:webHidden/>
              </w:rPr>
              <w:tab/>
            </w:r>
            <w:r w:rsidR="00CB0AF9" w:rsidRPr="00CB0AF9">
              <w:rPr>
                <w:webHidden/>
              </w:rPr>
              <w:fldChar w:fldCharType="begin"/>
            </w:r>
            <w:r w:rsidR="00CB0AF9" w:rsidRPr="00CB0AF9">
              <w:rPr>
                <w:webHidden/>
              </w:rPr>
              <w:instrText xml:space="preserve"> PAGEREF _Toc145616168 \h </w:instrText>
            </w:r>
            <w:r w:rsidR="00CB0AF9" w:rsidRPr="00CB0AF9">
              <w:rPr>
                <w:webHidden/>
              </w:rPr>
            </w:r>
            <w:r w:rsidR="00CB0AF9" w:rsidRPr="00CB0AF9">
              <w:rPr>
                <w:webHidden/>
              </w:rPr>
              <w:fldChar w:fldCharType="separate"/>
            </w:r>
            <w:r w:rsidR="00006F3E">
              <w:rPr>
                <w:webHidden/>
              </w:rPr>
              <w:t>20</w:t>
            </w:r>
            <w:r w:rsidR="00CB0AF9" w:rsidRPr="00CB0AF9">
              <w:rPr>
                <w:webHidden/>
              </w:rPr>
              <w:fldChar w:fldCharType="end"/>
            </w:r>
          </w:hyperlink>
        </w:p>
        <w:p w14:paraId="6385C528" w14:textId="642C110E"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69" w:history="1">
            <w:r w:rsidR="00CB0AF9" w:rsidRPr="00CB0AF9">
              <w:rPr>
                <w:rStyle w:val="Hyperlink"/>
              </w:rPr>
              <w:t>2.2</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Risk Culture and Risk Governance</w:t>
            </w:r>
            <w:r w:rsidR="00CB0AF9" w:rsidRPr="00CB0AF9">
              <w:rPr>
                <w:webHidden/>
              </w:rPr>
              <w:tab/>
            </w:r>
            <w:r w:rsidR="00CB0AF9" w:rsidRPr="00CB0AF9">
              <w:rPr>
                <w:webHidden/>
              </w:rPr>
              <w:fldChar w:fldCharType="begin"/>
            </w:r>
            <w:r w:rsidR="00CB0AF9" w:rsidRPr="00CB0AF9">
              <w:rPr>
                <w:webHidden/>
              </w:rPr>
              <w:instrText xml:space="preserve"> PAGEREF _Toc145616169 \h </w:instrText>
            </w:r>
            <w:r w:rsidR="00CB0AF9" w:rsidRPr="00CB0AF9">
              <w:rPr>
                <w:webHidden/>
              </w:rPr>
            </w:r>
            <w:r w:rsidR="00CB0AF9" w:rsidRPr="00CB0AF9">
              <w:rPr>
                <w:webHidden/>
              </w:rPr>
              <w:fldChar w:fldCharType="separate"/>
            </w:r>
            <w:r w:rsidR="00006F3E">
              <w:rPr>
                <w:webHidden/>
              </w:rPr>
              <w:t>23</w:t>
            </w:r>
            <w:r w:rsidR="00CB0AF9" w:rsidRPr="00CB0AF9">
              <w:rPr>
                <w:webHidden/>
              </w:rPr>
              <w:fldChar w:fldCharType="end"/>
            </w:r>
          </w:hyperlink>
        </w:p>
        <w:p w14:paraId="1DE98818" w14:textId="2438EC98"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0" w:history="1">
            <w:r w:rsidR="00CB0AF9" w:rsidRPr="00CB0AF9">
              <w:rPr>
                <w:rStyle w:val="Hyperlink"/>
              </w:rPr>
              <w:t>2.2.1 Relationship between Risk Culture, Risk Management and Governance Structures:</w:t>
            </w:r>
            <w:r w:rsidR="00CB0AF9" w:rsidRPr="00CB0AF9">
              <w:rPr>
                <w:webHidden/>
              </w:rPr>
              <w:tab/>
            </w:r>
            <w:r w:rsidR="00CB0AF9" w:rsidRPr="00CB0AF9">
              <w:rPr>
                <w:webHidden/>
              </w:rPr>
              <w:fldChar w:fldCharType="begin"/>
            </w:r>
            <w:r w:rsidR="00CB0AF9" w:rsidRPr="00CB0AF9">
              <w:rPr>
                <w:webHidden/>
              </w:rPr>
              <w:instrText xml:space="preserve"> PAGEREF _Toc145616170 \h </w:instrText>
            </w:r>
            <w:r w:rsidR="00CB0AF9" w:rsidRPr="00CB0AF9">
              <w:rPr>
                <w:webHidden/>
              </w:rPr>
            </w:r>
            <w:r w:rsidR="00CB0AF9" w:rsidRPr="00CB0AF9">
              <w:rPr>
                <w:webHidden/>
              </w:rPr>
              <w:fldChar w:fldCharType="separate"/>
            </w:r>
            <w:r w:rsidR="00006F3E">
              <w:rPr>
                <w:webHidden/>
              </w:rPr>
              <w:t>24</w:t>
            </w:r>
            <w:r w:rsidR="00CB0AF9" w:rsidRPr="00CB0AF9">
              <w:rPr>
                <w:webHidden/>
              </w:rPr>
              <w:fldChar w:fldCharType="end"/>
            </w:r>
          </w:hyperlink>
        </w:p>
        <w:p w14:paraId="2316BE29" w14:textId="022DBB2A"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1" w:history="1">
            <w:r w:rsidR="00CB0AF9" w:rsidRPr="00CB0AF9">
              <w:rPr>
                <w:rStyle w:val="Hyperlink"/>
              </w:rPr>
              <w:t>2.3. Board of Directors in Bank Governance</w:t>
            </w:r>
            <w:r w:rsidR="00CB0AF9" w:rsidRPr="00CB0AF9">
              <w:rPr>
                <w:webHidden/>
              </w:rPr>
              <w:tab/>
            </w:r>
            <w:r w:rsidR="00CB0AF9" w:rsidRPr="00CB0AF9">
              <w:rPr>
                <w:webHidden/>
              </w:rPr>
              <w:fldChar w:fldCharType="begin"/>
            </w:r>
            <w:r w:rsidR="00CB0AF9" w:rsidRPr="00CB0AF9">
              <w:rPr>
                <w:webHidden/>
              </w:rPr>
              <w:instrText xml:space="preserve"> PAGEREF _Toc145616171 \h </w:instrText>
            </w:r>
            <w:r w:rsidR="00CB0AF9" w:rsidRPr="00CB0AF9">
              <w:rPr>
                <w:webHidden/>
              </w:rPr>
            </w:r>
            <w:r w:rsidR="00CB0AF9" w:rsidRPr="00CB0AF9">
              <w:rPr>
                <w:webHidden/>
              </w:rPr>
              <w:fldChar w:fldCharType="separate"/>
            </w:r>
            <w:r w:rsidR="00006F3E">
              <w:rPr>
                <w:webHidden/>
              </w:rPr>
              <w:t>28</w:t>
            </w:r>
            <w:r w:rsidR="00CB0AF9" w:rsidRPr="00CB0AF9">
              <w:rPr>
                <w:webHidden/>
              </w:rPr>
              <w:fldChar w:fldCharType="end"/>
            </w:r>
          </w:hyperlink>
        </w:p>
        <w:p w14:paraId="3A8A02A3" w14:textId="4C7E7CA0"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72" w:history="1">
            <w:r w:rsidR="00CB0AF9" w:rsidRPr="00CB0AF9">
              <w:rPr>
                <w:rStyle w:val="Hyperlink"/>
              </w:rPr>
              <w:t>3.</w:t>
            </w:r>
            <w:r w:rsidR="00CB0AF9" w:rsidRPr="00CB0AF9">
              <w:rPr>
                <w:rFonts w:asciiTheme="minorHAnsi" w:eastAsiaTheme="minorEastAsia" w:hAnsiTheme="minorHAnsi" w:cstheme="minorBidi"/>
                <w:smallCaps w:val="0"/>
                <w:kern w:val="2"/>
                <w:sz w:val="22"/>
                <w:szCs w:val="22"/>
                <w:lang w:eastAsia="en-GB"/>
                <w14:ligatures w14:val="standardContextual"/>
              </w:rPr>
              <w:tab/>
            </w:r>
            <w:r w:rsidR="00CB0AF9" w:rsidRPr="00CB0AF9">
              <w:rPr>
                <w:rStyle w:val="Hyperlink"/>
                <w:lang w:eastAsia="en-GB"/>
              </w:rPr>
              <w:t>Female Chief Risk Officers (CROs) and Bank Risk</w:t>
            </w:r>
            <w:r w:rsidR="00CB0AF9" w:rsidRPr="00CB0AF9">
              <w:rPr>
                <w:webHidden/>
              </w:rPr>
              <w:tab/>
            </w:r>
            <w:r w:rsidR="00CB0AF9" w:rsidRPr="00CB0AF9">
              <w:rPr>
                <w:webHidden/>
              </w:rPr>
              <w:fldChar w:fldCharType="begin"/>
            </w:r>
            <w:r w:rsidR="00CB0AF9" w:rsidRPr="00CB0AF9">
              <w:rPr>
                <w:webHidden/>
              </w:rPr>
              <w:instrText xml:space="preserve"> PAGEREF _Toc145616172 \h </w:instrText>
            </w:r>
            <w:r w:rsidR="00CB0AF9" w:rsidRPr="00CB0AF9">
              <w:rPr>
                <w:webHidden/>
              </w:rPr>
            </w:r>
            <w:r w:rsidR="00CB0AF9" w:rsidRPr="00CB0AF9">
              <w:rPr>
                <w:webHidden/>
              </w:rPr>
              <w:fldChar w:fldCharType="separate"/>
            </w:r>
            <w:r w:rsidR="00006F3E">
              <w:rPr>
                <w:webHidden/>
              </w:rPr>
              <w:t>37</w:t>
            </w:r>
            <w:r w:rsidR="00CB0AF9" w:rsidRPr="00CB0AF9">
              <w:rPr>
                <w:webHidden/>
              </w:rPr>
              <w:fldChar w:fldCharType="end"/>
            </w:r>
          </w:hyperlink>
        </w:p>
        <w:p w14:paraId="5B93F597" w14:textId="10817092"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3" w:history="1">
            <w:r w:rsidR="00CB0AF9" w:rsidRPr="00CB0AF9">
              <w:rPr>
                <w:rStyle w:val="Hyperlink"/>
              </w:rPr>
              <w:t>3.1. Introduction</w:t>
            </w:r>
            <w:r w:rsidR="00CB0AF9" w:rsidRPr="00CB0AF9">
              <w:rPr>
                <w:webHidden/>
              </w:rPr>
              <w:tab/>
            </w:r>
            <w:r w:rsidR="00CB0AF9" w:rsidRPr="00CB0AF9">
              <w:rPr>
                <w:webHidden/>
              </w:rPr>
              <w:fldChar w:fldCharType="begin"/>
            </w:r>
            <w:r w:rsidR="00CB0AF9" w:rsidRPr="00CB0AF9">
              <w:rPr>
                <w:webHidden/>
              </w:rPr>
              <w:instrText xml:space="preserve"> PAGEREF _Toc145616173 \h </w:instrText>
            </w:r>
            <w:r w:rsidR="00CB0AF9" w:rsidRPr="00CB0AF9">
              <w:rPr>
                <w:webHidden/>
              </w:rPr>
            </w:r>
            <w:r w:rsidR="00CB0AF9" w:rsidRPr="00CB0AF9">
              <w:rPr>
                <w:webHidden/>
              </w:rPr>
              <w:fldChar w:fldCharType="separate"/>
            </w:r>
            <w:r w:rsidR="00006F3E">
              <w:rPr>
                <w:webHidden/>
              </w:rPr>
              <w:t>37</w:t>
            </w:r>
            <w:r w:rsidR="00CB0AF9" w:rsidRPr="00CB0AF9">
              <w:rPr>
                <w:webHidden/>
              </w:rPr>
              <w:fldChar w:fldCharType="end"/>
            </w:r>
          </w:hyperlink>
        </w:p>
        <w:p w14:paraId="56417B8B" w14:textId="2758F3D2"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4" w:history="1">
            <w:r w:rsidR="00CB0AF9" w:rsidRPr="00CB0AF9">
              <w:rPr>
                <w:rStyle w:val="Hyperlink"/>
              </w:rPr>
              <w:t>3.2. Related Literature</w:t>
            </w:r>
            <w:r w:rsidR="00CB0AF9" w:rsidRPr="00CB0AF9">
              <w:rPr>
                <w:webHidden/>
              </w:rPr>
              <w:tab/>
            </w:r>
            <w:r w:rsidR="00CB0AF9" w:rsidRPr="00CB0AF9">
              <w:rPr>
                <w:webHidden/>
              </w:rPr>
              <w:fldChar w:fldCharType="begin"/>
            </w:r>
            <w:r w:rsidR="00CB0AF9" w:rsidRPr="00CB0AF9">
              <w:rPr>
                <w:webHidden/>
              </w:rPr>
              <w:instrText xml:space="preserve"> PAGEREF _Toc145616174 \h </w:instrText>
            </w:r>
            <w:r w:rsidR="00CB0AF9" w:rsidRPr="00CB0AF9">
              <w:rPr>
                <w:webHidden/>
              </w:rPr>
            </w:r>
            <w:r w:rsidR="00CB0AF9" w:rsidRPr="00CB0AF9">
              <w:rPr>
                <w:webHidden/>
              </w:rPr>
              <w:fldChar w:fldCharType="separate"/>
            </w:r>
            <w:r w:rsidR="00006F3E">
              <w:rPr>
                <w:webHidden/>
              </w:rPr>
              <w:t>41</w:t>
            </w:r>
            <w:r w:rsidR="00CB0AF9" w:rsidRPr="00CB0AF9">
              <w:rPr>
                <w:webHidden/>
              </w:rPr>
              <w:fldChar w:fldCharType="end"/>
            </w:r>
          </w:hyperlink>
        </w:p>
        <w:p w14:paraId="292D6D99" w14:textId="2FD64C8C"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75" w:history="1">
            <w:r w:rsidR="00CB0AF9" w:rsidRPr="00CB0AF9">
              <w:rPr>
                <w:rStyle w:val="Hyperlink"/>
              </w:rPr>
              <w:t>3.2.1. ERM, Female CROs, and Bank Risk</w:t>
            </w:r>
            <w:r w:rsidR="00CB0AF9" w:rsidRPr="00CB0AF9">
              <w:rPr>
                <w:webHidden/>
              </w:rPr>
              <w:tab/>
            </w:r>
            <w:r w:rsidR="00CB0AF9" w:rsidRPr="00CB0AF9">
              <w:rPr>
                <w:webHidden/>
              </w:rPr>
              <w:fldChar w:fldCharType="begin"/>
            </w:r>
            <w:r w:rsidR="00CB0AF9" w:rsidRPr="00CB0AF9">
              <w:rPr>
                <w:webHidden/>
              </w:rPr>
              <w:instrText xml:space="preserve"> PAGEREF _Toc145616175 \h </w:instrText>
            </w:r>
            <w:r w:rsidR="00CB0AF9" w:rsidRPr="00CB0AF9">
              <w:rPr>
                <w:webHidden/>
              </w:rPr>
            </w:r>
            <w:r w:rsidR="00CB0AF9" w:rsidRPr="00CB0AF9">
              <w:rPr>
                <w:webHidden/>
              </w:rPr>
              <w:fldChar w:fldCharType="separate"/>
            </w:r>
            <w:r w:rsidR="00006F3E">
              <w:rPr>
                <w:webHidden/>
              </w:rPr>
              <w:t>41</w:t>
            </w:r>
            <w:r w:rsidR="00CB0AF9" w:rsidRPr="00CB0AF9">
              <w:rPr>
                <w:webHidden/>
              </w:rPr>
              <w:fldChar w:fldCharType="end"/>
            </w:r>
          </w:hyperlink>
        </w:p>
        <w:p w14:paraId="4ED241DA" w14:textId="504EA908"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6" w:history="1">
            <w:r w:rsidR="00CB0AF9" w:rsidRPr="00CB0AF9">
              <w:rPr>
                <w:rStyle w:val="Hyperlink"/>
              </w:rPr>
              <w:t>3.2.2. Supportive Environment for CROs</w:t>
            </w:r>
            <w:r w:rsidR="00CB0AF9" w:rsidRPr="00CB0AF9">
              <w:rPr>
                <w:webHidden/>
              </w:rPr>
              <w:tab/>
            </w:r>
            <w:r w:rsidR="00CB0AF9" w:rsidRPr="00CB0AF9">
              <w:rPr>
                <w:webHidden/>
              </w:rPr>
              <w:fldChar w:fldCharType="begin"/>
            </w:r>
            <w:r w:rsidR="00CB0AF9" w:rsidRPr="00CB0AF9">
              <w:rPr>
                <w:webHidden/>
              </w:rPr>
              <w:instrText xml:space="preserve"> PAGEREF _Toc145616176 \h </w:instrText>
            </w:r>
            <w:r w:rsidR="00CB0AF9" w:rsidRPr="00CB0AF9">
              <w:rPr>
                <w:webHidden/>
              </w:rPr>
            </w:r>
            <w:r w:rsidR="00CB0AF9" w:rsidRPr="00CB0AF9">
              <w:rPr>
                <w:webHidden/>
              </w:rPr>
              <w:fldChar w:fldCharType="separate"/>
            </w:r>
            <w:r w:rsidR="00006F3E">
              <w:rPr>
                <w:webHidden/>
              </w:rPr>
              <w:t>44</w:t>
            </w:r>
            <w:r w:rsidR="00CB0AF9" w:rsidRPr="00CB0AF9">
              <w:rPr>
                <w:webHidden/>
              </w:rPr>
              <w:fldChar w:fldCharType="end"/>
            </w:r>
          </w:hyperlink>
        </w:p>
        <w:p w14:paraId="733515AB" w14:textId="7B7EA9A3"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77" w:history="1">
            <w:r w:rsidR="00CB0AF9" w:rsidRPr="00CB0AF9">
              <w:rPr>
                <w:rStyle w:val="Hyperlink"/>
              </w:rPr>
              <w:t>3.3. Data and Method</w:t>
            </w:r>
            <w:r w:rsidR="00CB0AF9" w:rsidRPr="00CB0AF9">
              <w:rPr>
                <w:webHidden/>
              </w:rPr>
              <w:tab/>
            </w:r>
            <w:r w:rsidR="00CB0AF9" w:rsidRPr="00CB0AF9">
              <w:rPr>
                <w:webHidden/>
              </w:rPr>
              <w:fldChar w:fldCharType="begin"/>
            </w:r>
            <w:r w:rsidR="00CB0AF9" w:rsidRPr="00CB0AF9">
              <w:rPr>
                <w:webHidden/>
              </w:rPr>
              <w:instrText xml:space="preserve"> PAGEREF _Toc145616177 \h </w:instrText>
            </w:r>
            <w:r w:rsidR="00CB0AF9" w:rsidRPr="00CB0AF9">
              <w:rPr>
                <w:webHidden/>
              </w:rPr>
            </w:r>
            <w:r w:rsidR="00CB0AF9" w:rsidRPr="00CB0AF9">
              <w:rPr>
                <w:webHidden/>
              </w:rPr>
              <w:fldChar w:fldCharType="separate"/>
            </w:r>
            <w:r w:rsidR="00006F3E">
              <w:rPr>
                <w:webHidden/>
              </w:rPr>
              <w:t>50</w:t>
            </w:r>
            <w:r w:rsidR="00CB0AF9" w:rsidRPr="00CB0AF9">
              <w:rPr>
                <w:webHidden/>
              </w:rPr>
              <w:fldChar w:fldCharType="end"/>
            </w:r>
          </w:hyperlink>
        </w:p>
        <w:p w14:paraId="568D3A47" w14:textId="79ED47B2"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78" w:history="1">
            <w:r w:rsidR="00CB0AF9" w:rsidRPr="00CB0AF9">
              <w:rPr>
                <w:rStyle w:val="Hyperlink"/>
              </w:rPr>
              <w:t>3.3.1. Data and Sample</w:t>
            </w:r>
            <w:r w:rsidR="00CB0AF9" w:rsidRPr="00CB0AF9">
              <w:rPr>
                <w:webHidden/>
              </w:rPr>
              <w:tab/>
            </w:r>
            <w:r w:rsidR="00CB0AF9" w:rsidRPr="00CB0AF9">
              <w:rPr>
                <w:webHidden/>
              </w:rPr>
              <w:fldChar w:fldCharType="begin"/>
            </w:r>
            <w:r w:rsidR="00CB0AF9" w:rsidRPr="00CB0AF9">
              <w:rPr>
                <w:webHidden/>
              </w:rPr>
              <w:instrText xml:space="preserve"> PAGEREF _Toc145616178 \h </w:instrText>
            </w:r>
            <w:r w:rsidR="00CB0AF9" w:rsidRPr="00CB0AF9">
              <w:rPr>
                <w:webHidden/>
              </w:rPr>
            </w:r>
            <w:r w:rsidR="00CB0AF9" w:rsidRPr="00CB0AF9">
              <w:rPr>
                <w:webHidden/>
              </w:rPr>
              <w:fldChar w:fldCharType="separate"/>
            </w:r>
            <w:r w:rsidR="00006F3E">
              <w:rPr>
                <w:webHidden/>
              </w:rPr>
              <w:t>50</w:t>
            </w:r>
            <w:r w:rsidR="00CB0AF9" w:rsidRPr="00CB0AF9">
              <w:rPr>
                <w:webHidden/>
              </w:rPr>
              <w:fldChar w:fldCharType="end"/>
            </w:r>
          </w:hyperlink>
        </w:p>
        <w:p w14:paraId="0301AB0F" w14:textId="7A17DE08"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79" w:history="1">
            <w:r w:rsidR="00CB0AF9" w:rsidRPr="00CB0AF9">
              <w:rPr>
                <w:rStyle w:val="Hyperlink"/>
              </w:rPr>
              <w:t>3.3.2. Methodology</w:t>
            </w:r>
            <w:r w:rsidR="00CB0AF9" w:rsidRPr="00CB0AF9">
              <w:rPr>
                <w:webHidden/>
              </w:rPr>
              <w:tab/>
            </w:r>
            <w:r w:rsidR="00CB0AF9" w:rsidRPr="00CB0AF9">
              <w:rPr>
                <w:webHidden/>
              </w:rPr>
              <w:fldChar w:fldCharType="begin"/>
            </w:r>
            <w:r w:rsidR="00CB0AF9" w:rsidRPr="00CB0AF9">
              <w:rPr>
                <w:webHidden/>
              </w:rPr>
              <w:instrText xml:space="preserve"> PAGEREF _Toc145616179 \h </w:instrText>
            </w:r>
            <w:r w:rsidR="00CB0AF9" w:rsidRPr="00CB0AF9">
              <w:rPr>
                <w:webHidden/>
              </w:rPr>
            </w:r>
            <w:r w:rsidR="00CB0AF9" w:rsidRPr="00CB0AF9">
              <w:rPr>
                <w:webHidden/>
              </w:rPr>
              <w:fldChar w:fldCharType="separate"/>
            </w:r>
            <w:r w:rsidR="00006F3E">
              <w:rPr>
                <w:webHidden/>
              </w:rPr>
              <w:t>51</w:t>
            </w:r>
            <w:r w:rsidR="00CB0AF9" w:rsidRPr="00CB0AF9">
              <w:rPr>
                <w:webHidden/>
              </w:rPr>
              <w:fldChar w:fldCharType="end"/>
            </w:r>
          </w:hyperlink>
        </w:p>
        <w:p w14:paraId="720C1C30" w14:textId="0EDFBE96"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80" w:history="1">
            <w:r w:rsidR="00CB0AF9" w:rsidRPr="00CB0AF9">
              <w:rPr>
                <w:rStyle w:val="Hyperlink"/>
              </w:rPr>
              <w:t>3.3.3. Descriptive Statistics</w:t>
            </w:r>
            <w:r w:rsidR="00CB0AF9" w:rsidRPr="00CB0AF9">
              <w:rPr>
                <w:webHidden/>
              </w:rPr>
              <w:tab/>
            </w:r>
            <w:r w:rsidR="00CB0AF9" w:rsidRPr="00CB0AF9">
              <w:rPr>
                <w:webHidden/>
              </w:rPr>
              <w:fldChar w:fldCharType="begin"/>
            </w:r>
            <w:r w:rsidR="00CB0AF9" w:rsidRPr="00CB0AF9">
              <w:rPr>
                <w:webHidden/>
              </w:rPr>
              <w:instrText xml:space="preserve"> PAGEREF _Toc145616180 \h </w:instrText>
            </w:r>
            <w:r w:rsidR="00CB0AF9" w:rsidRPr="00CB0AF9">
              <w:rPr>
                <w:webHidden/>
              </w:rPr>
            </w:r>
            <w:r w:rsidR="00CB0AF9" w:rsidRPr="00CB0AF9">
              <w:rPr>
                <w:webHidden/>
              </w:rPr>
              <w:fldChar w:fldCharType="separate"/>
            </w:r>
            <w:r w:rsidR="00006F3E">
              <w:rPr>
                <w:webHidden/>
              </w:rPr>
              <w:t>53</w:t>
            </w:r>
            <w:r w:rsidR="00CB0AF9" w:rsidRPr="00CB0AF9">
              <w:rPr>
                <w:webHidden/>
              </w:rPr>
              <w:fldChar w:fldCharType="end"/>
            </w:r>
          </w:hyperlink>
        </w:p>
        <w:p w14:paraId="55A2510E" w14:textId="314A052E"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81" w:history="1">
            <w:r w:rsidR="00CB0AF9" w:rsidRPr="00CB0AF9">
              <w:rPr>
                <w:rStyle w:val="Hyperlink"/>
              </w:rPr>
              <w:t>3.4 Empirical Results</w:t>
            </w:r>
            <w:r w:rsidR="00CB0AF9" w:rsidRPr="00CB0AF9">
              <w:rPr>
                <w:webHidden/>
              </w:rPr>
              <w:tab/>
            </w:r>
            <w:r w:rsidR="00CB0AF9" w:rsidRPr="00CB0AF9">
              <w:rPr>
                <w:webHidden/>
              </w:rPr>
              <w:fldChar w:fldCharType="begin"/>
            </w:r>
            <w:r w:rsidR="00CB0AF9" w:rsidRPr="00CB0AF9">
              <w:rPr>
                <w:webHidden/>
              </w:rPr>
              <w:instrText xml:space="preserve"> PAGEREF _Toc145616181 \h </w:instrText>
            </w:r>
            <w:r w:rsidR="00CB0AF9" w:rsidRPr="00CB0AF9">
              <w:rPr>
                <w:webHidden/>
              </w:rPr>
            </w:r>
            <w:r w:rsidR="00CB0AF9" w:rsidRPr="00CB0AF9">
              <w:rPr>
                <w:webHidden/>
              </w:rPr>
              <w:fldChar w:fldCharType="separate"/>
            </w:r>
            <w:r w:rsidR="00006F3E">
              <w:rPr>
                <w:webHidden/>
              </w:rPr>
              <w:t>54</w:t>
            </w:r>
            <w:r w:rsidR="00CB0AF9" w:rsidRPr="00CB0AF9">
              <w:rPr>
                <w:webHidden/>
              </w:rPr>
              <w:fldChar w:fldCharType="end"/>
            </w:r>
          </w:hyperlink>
        </w:p>
        <w:p w14:paraId="4F0C5AFB" w14:textId="0745D952"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82" w:history="1">
            <w:r w:rsidR="00CB0AF9" w:rsidRPr="00CB0AF9">
              <w:rPr>
                <w:rStyle w:val="Hyperlink"/>
              </w:rPr>
              <w:t>3.4.1. Female CROs and Bank Risk</w:t>
            </w:r>
            <w:r w:rsidR="00CB0AF9" w:rsidRPr="00CB0AF9">
              <w:rPr>
                <w:webHidden/>
              </w:rPr>
              <w:tab/>
            </w:r>
            <w:r w:rsidR="00CB0AF9" w:rsidRPr="00CB0AF9">
              <w:rPr>
                <w:webHidden/>
              </w:rPr>
              <w:fldChar w:fldCharType="begin"/>
            </w:r>
            <w:r w:rsidR="00CB0AF9" w:rsidRPr="00CB0AF9">
              <w:rPr>
                <w:webHidden/>
              </w:rPr>
              <w:instrText xml:space="preserve"> PAGEREF _Toc145616182 \h </w:instrText>
            </w:r>
            <w:r w:rsidR="00CB0AF9" w:rsidRPr="00CB0AF9">
              <w:rPr>
                <w:webHidden/>
              </w:rPr>
            </w:r>
            <w:r w:rsidR="00CB0AF9" w:rsidRPr="00CB0AF9">
              <w:rPr>
                <w:webHidden/>
              </w:rPr>
              <w:fldChar w:fldCharType="separate"/>
            </w:r>
            <w:r w:rsidR="00006F3E">
              <w:rPr>
                <w:webHidden/>
              </w:rPr>
              <w:t>54</w:t>
            </w:r>
            <w:r w:rsidR="00CB0AF9" w:rsidRPr="00CB0AF9">
              <w:rPr>
                <w:webHidden/>
              </w:rPr>
              <w:fldChar w:fldCharType="end"/>
            </w:r>
          </w:hyperlink>
        </w:p>
        <w:p w14:paraId="280B214F" w14:textId="6EEBC58B"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83" w:history="1">
            <w:r w:rsidR="00CB0AF9" w:rsidRPr="00CB0AF9">
              <w:rPr>
                <w:rStyle w:val="Hyperlink"/>
                <w:smallCaps/>
              </w:rPr>
              <w:t>3.4</w:t>
            </w:r>
            <w:r w:rsidR="00CB0AF9" w:rsidRPr="00CB0AF9">
              <w:rPr>
                <w:rStyle w:val="Hyperlink"/>
              </w:rPr>
              <w:t>.2. Female CROs and Board Gender-Diversity</w:t>
            </w:r>
            <w:r w:rsidR="00CB0AF9" w:rsidRPr="00CB0AF9">
              <w:rPr>
                <w:webHidden/>
              </w:rPr>
              <w:tab/>
            </w:r>
            <w:r w:rsidR="00CB0AF9" w:rsidRPr="00CB0AF9">
              <w:rPr>
                <w:webHidden/>
              </w:rPr>
              <w:fldChar w:fldCharType="begin"/>
            </w:r>
            <w:r w:rsidR="00CB0AF9" w:rsidRPr="00CB0AF9">
              <w:rPr>
                <w:webHidden/>
              </w:rPr>
              <w:instrText xml:space="preserve"> PAGEREF _Toc145616183 \h </w:instrText>
            </w:r>
            <w:r w:rsidR="00CB0AF9" w:rsidRPr="00CB0AF9">
              <w:rPr>
                <w:webHidden/>
              </w:rPr>
            </w:r>
            <w:r w:rsidR="00CB0AF9" w:rsidRPr="00CB0AF9">
              <w:rPr>
                <w:webHidden/>
              </w:rPr>
              <w:fldChar w:fldCharType="separate"/>
            </w:r>
            <w:r w:rsidR="00006F3E">
              <w:rPr>
                <w:webHidden/>
              </w:rPr>
              <w:t>55</w:t>
            </w:r>
            <w:r w:rsidR="00CB0AF9" w:rsidRPr="00CB0AF9">
              <w:rPr>
                <w:webHidden/>
              </w:rPr>
              <w:fldChar w:fldCharType="end"/>
            </w:r>
          </w:hyperlink>
        </w:p>
        <w:p w14:paraId="4E098A2C" w14:textId="79FC2276"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84" w:history="1">
            <w:r w:rsidR="00CB0AF9" w:rsidRPr="00CB0AF9">
              <w:rPr>
                <w:rStyle w:val="Hyperlink"/>
              </w:rPr>
              <w:t>3.4.3. Female CROs and Risk-Committee Gender Diversity</w:t>
            </w:r>
            <w:r w:rsidR="00CB0AF9" w:rsidRPr="00CB0AF9">
              <w:rPr>
                <w:webHidden/>
              </w:rPr>
              <w:tab/>
            </w:r>
            <w:r w:rsidR="00CB0AF9" w:rsidRPr="00CB0AF9">
              <w:rPr>
                <w:webHidden/>
              </w:rPr>
              <w:fldChar w:fldCharType="begin"/>
            </w:r>
            <w:r w:rsidR="00CB0AF9" w:rsidRPr="00CB0AF9">
              <w:rPr>
                <w:webHidden/>
              </w:rPr>
              <w:instrText xml:space="preserve"> PAGEREF _Toc145616184 \h </w:instrText>
            </w:r>
            <w:r w:rsidR="00CB0AF9" w:rsidRPr="00CB0AF9">
              <w:rPr>
                <w:webHidden/>
              </w:rPr>
            </w:r>
            <w:r w:rsidR="00CB0AF9" w:rsidRPr="00CB0AF9">
              <w:rPr>
                <w:webHidden/>
              </w:rPr>
              <w:fldChar w:fldCharType="separate"/>
            </w:r>
            <w:r w:rsidR="00006F3E">
              <w:rPr>
                <w:webHidden/>
              </w:rPr>
              <w:t>56</w:t>
            </w:r>
            <w:r w:rsidR="00CB0AF9" w:rsidRPr="00CB0AF9">
              <w:rPr>
                <w:webHidden/>
              </w:rPr>
              <w:fldChar w:fldCharType="end"/>
            </w:r>
          </w:hyperlink>
        </w:p>
        <w:p w14:paraId="5F0695D8" w14:textId="2E53272A"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85" w:history="1">
            <w:r w:rsidR="00CB0AF9" w:rsidRPr="00CB0AF9">
              <w:rPr>
                <w:rStyle w:val="Hyperlink"/>
              </w:rPr>
              <w:t>3.4.4. Female CRO Reporting Lines and Bank Risk</w:t>
            </w:r>
            <w:r w:rsidR="00CB0AF9" w:rsidRPr="00CB0AF9">
              <w:rPr>
                <w:webHidden/>
              </w:rPr>
              <w:tab/>
            </w:r>
            <w:r w:rsidR="00CB0AF9" w:rsidRPr="00CB0AF9">
              <w:rPr>
                <w:webHidden/>
              </w:rPr>
              <w:fldChar w:fldCharType="begin"/>
            </w:r>
            <w:r w:rsidR="00CB0AF9" w:rsidRPr="00CB0AF9">
              <w:rPr>
                <w:webHidden/>
              </w:rPr>
              <w:instrText xml:space="preserve"> PAGEREF _Toc145616185 \h </w:instrText>
            </w:r>
            <w:r w:rsidR="00CB0AF9" w:rsidRPr="00CB0AF9">
              <w:rPr>
                <w:webHidden/>
              </w:rPr>
            </w:r>
            <w:r w:rsidR="00CB0AF9" w:rsidRPr="00CB0AF9">
              <w:rPr>
                <w:webHidden/>
              </w:rPr>
              <w:fldChar w:fldCharType="separate"/>
            </w:r>
            <w:r w:rsidR="00006F3E">
              <w:rPr>
                <w:webHidden/>
              </w:rPr>
              <w:t>57</w:t>
            </w:r>
            <w:r w:rsidR="00CB0AF9" w:rsidRPr="00CB0AF9">
              <w:rPr>
                <w:webHidden/>
              </w:rPr>
              <w:fldChar w:fldCharType="end"/>
            </w:r>
          </w:hyperlink>
        </w:p>
        <w:p w14:paraId="1AAF73D6" w14:textId="6CDC1F6C"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86" w:history="1">
            <w:r w:rsidR="00CB0AF9" w:rsidRPr="00CB0AF9">
              <w:rPr>
                <w:rStyle w:val="Hyperlink"/>
              </w:rPr>
              <w:t>3.5. Identification Strategies and Robustness Checks</w:t>
            </w:r>
            <w:r w:rsidR="00CB0AF9" w:rsidRPr="00CB0AF9">
              <w:rPr>
                <w:webHidden/>
              </w:rPr>
              <w:tab/>
            </w:r>
            <w:r w:rsidR="00CB0AF9" w:rsidRPr="00CB0AF9">
              <w:rPr>
                <w:webHidden/>
              </w:rPr>
              <w:fldChar w:fldCharType="begin"/>
            </w:r>
            <w:r w:rsidR="00CB0AF9" w:rsidRPr="00CB0AF9">
              <w:rPr>
                <w:webHidden/>
              </w:rPr>
              <w:instrText xml:space="preserve"> PAGEREF _Toc145616186 \h </w:instrText>
            </w:r>
            <w:r w:rsidR="00CB0AF9" w:rsidRPr="00CB0AF9">
              <w:rPr>
                <w:webHidden/>
              </w:rPr>
            </w:r>
            <w:r w:rsidR="00CB0AF9" w:rsidRPr="00CB0AF9">
              <w:rPr>
                <w:webHidden/>
              </w:rPr>
              <w:fldChar w:fldCharType="separate"/>
            </w:r>
            <w:r w:rsidR="00006F3E">
              <w:rPr>
                <w:webHidden/>
              </w:rPr>
              <w:t>57</w:t>
            </w:r>
            <w:r w:rsidR="00CB0AF9" w:rsidRPr="00CB0AF9">
              <w:rPr>
                <w:webHidden/>
              </w:rPr>
              <w:fldChar w:fldCharType="end"/>
            </w:r>
          </w:hyperlink>
        </w:p>
        <w:p w14:paraId="57FB8F97" w14:textId="15D2A752"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87" w:history="1">
            <w:r w:rsidR="00CB0AF9" w:rsidRPr="00CB0AF9">
              <w:rPr>
                <w:rStyle w:val="Hyperlink"/>
              </w:rPr>
              <w:t>3.6. Further Analysis: Female CROs and Bank Risk– Post-2009 Impact</w:t>
            </w:r>
            <w:r w:rsidR="00CB0AF9" w:rsidRPr="00CB0AF9">
              <w:rPr>
                <w:webHidden/>
              </w:rPr>
              <w:tab/>
            </w:r>
            <w:r w:rsidR="00CB0AF9" w:rsidRPr="00CB0AF9">
              <w:rPr>
                <w:webHidden/>
              </w:rPr>
              <w:fldChar w:fldCharType="begin"/>
            </w:r>
            <w:r w:rsidR="00CB0AF9" w:rsidRPr="00CB0AF9">
              <w:rPr>
                <w:webHidden/>
              </w:rPr>
              <w:instrText xml:space="preserve"> PAGEREF _Toc145616187 \h </w:instrText>
            </w:r>
            <w:r w:rsidR="00CB0AF9" w:rsidRPr="00CB0AF9">
              <w:rPr>
                <w:webHidden/>
              </w:rPr>
            </w:r>
            <w:r w:rsidR="00CB0AF9" w:rsidRPr="00CB0AF9">
              <w:rPr>
                <w:webHidden/>
              </w:rPr>
              <w:fldChar w:fldCharType="separate"/>
            </w:r>
            <w:r w:rsidR="00006F3E">
              <w:rPr>
                <w:webHidden/>
              </w:rPr>
              <w:t>61</w:t>
            </w:r>
            <w:r w:rsidR="00CB0AF9" w:rsidRPr="00CB0AF9">
              <w:rPr>
                <w:webHidden/>
              </w:rPr>
              <w:fldChar w:fldCharType="end"/>
            </w:r>
          </w:hyperlink>
        </w:p>
        <w:p w14:paraId="68C06C32" w14:textId="11AF10BF"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88" w:history="1">
            <w:r w:rsidR="00CB0AF9" w:rsidRPr="00CB0AF9">
              <w:rPr>
                <w:rStyle w:val="Hyperlink"/>
              </w:rPr>
              <w:t>3.7. Summary and Conclusion</w:t>
            </w:r>
            <w:r w:rsidR="00CB0AF9" w:rsidRPr="00CB0AF9">
              <w:rPr>
                <w:webHidden/>
              </w:rPr>
              <w:tab/>
            </w:r>
            <w:r w:rsidR="00CB0AF9" w:rsidRPr="00CB0AF9">
              <w:rPr>
                <w:webHidden/>
              </w:rPr>
              <w:fldChar w:fldCharType="begin"/>
            </w:r>
            <w:r w:rsidR="00CB0AF9" w:rsidRPr="00CB0AF9">
              <w:rPr>
                <w:webHidden/>
              </w:rPr>
              <w:instrText xml:space="preserve"> PAGEREF _Toc145616188 \h </w:instrText>
            </w:r>
            <w:r w:rsidR="00CB0AF9" w:rsidRPr="00CB0AF9">
              <w:rPr>
                <w:webHidden/>
              </w:rPr>
            </w:r>
            <w:r w:rsidR="00CB0AF9" w:rsidRPr="00CB0AF9">
              <w:rPr>
                <w:webHidden/>
              </w:rPr>
              <w:fldChar w:fldCharType="separate"/>
            </w:r>
            <w:r w:rsidR="00006F3E">
              <w:rPr>
                <w:webHidden/>
              </w:rPr>
              <w:t>63</w:t>
            </w:r>
            <w:r w:rsidR="00CB0AF9" w:rsidRPr="00CB0AF9">
              <w:rPr>
                <w:webHidden/>
              </w:rPr>
              <w:fldChar w:fldCharType="end"/>
            </w:r>
          </w:hyperlink>
        </w:p>
        <w:p w14:paraId="390399EC" w14:textId="53983B4C"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189" w:history="1">
            <w:r w:rsidR="00CB0AF9" w:rsidRPr="00CB0AF9">
              <w:rPr>
                <w:rStyle w:val="Hyperlink"/>
              </w:rPr>
              <w:t>4.</w:t>
            </w:r>
            <w:r w:rsidR="00CB0AF9" w:rsidRPr="00CB0AF9">
              <w:rPr>
                <w:rFonts w:asciiTheme="minorHAnsi" w:eastAsiaTheme="minorEastAsia" w:hAnsiTheme="minorHAnsi" w:cstheme="minorBidi"/>
                <w:smallCaps w:val="0"/>
                <w:kern w:val="2"/>
                <w:sz w:val="22"/>
                <w:szCs w:val="22"/>
                <w:lang w:eastAsia="en-GB"/>
                <w14:ligatures w14:val="standardContextual"/>
              </w:rPr>
              <w:tab/>
            </w:r>
            <w:r w:rsidR="00CB0AF9" w:rsidRPr="00CB0AF9">
              <w:rPr>
                <w:rStyle w:val="Hyperlink"/>
              </w:rPr>
              <w:t>Board Gender Diversity and Bank Risk: Empirical Examination of the Risk Culture Channel</w:t>
            </w:r>
            <w:r w:rsidR="00CB0AF9" w:rsidRPr="00CB0AF9">
              <w:rPr>
                <w:webHidden/>
              </w:rPr>
              <w:tab/>
            </w:r>
            <w:r w:rsidR="00CB0AF9" w:rsidRPr="00CB0AF9">
              <w:rPr>
                <w:webHidden/>
              </w:rPr>
              <w:fldChar w:fldCharType="begin"/>
            </w:r>
            <w:r w:rsidR="00CB0AF9" w:rsidRPr="00CB0AF9">
              <w:rPr>
                <w:webHidden/>
              </w:rPr>
              <w:instrText xml:space="preserve"> PAGEREF _Toc145616189 \h </w:instrText>
            </w:r>
            <w:r w:rsidR="00CB0AF9" w:rsidRPr="00CB0AF9">
              <w:rPr>
                <w:webHidden/>
              </w:rPr>
            </w:r>
            <w:r w:rsidR="00CB0AF9" w:rsidRPr="00CB0AF9">
              <w:rPr>
                <w:webHidden/>
              </w:rPr>
              <w:fldChar w:fldCharType="separate"/>
            </w:r>
            <w:r w:rsidR="00006F3E">
              <w:rPr>
                <w:webHidden/>
              </w:rPr>
              <w:t>91</w:t>
            </w:r>
            <w:r w:rsidR="00CB0AF9" w:rsidRPr="00CB0AF9">
              <w:rPr>
                <w:webHidden/>
              </w:rPr>
              <w:fldChar w:fldCharType="end"/>
            </w:r>
          </w:hyperlink>
        </w:p>
        <w:p w14:paraId="5A34D1D1" w14:textId="075365C7"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90" w:history="1">
            <w:r w:rsidR="00CB0AF9" w:rsidRPr="00CB0AF9">
              <w:rPr>
                <w:rStyle w:val="Hyperlink"/>
              </w:rPr>
              <w:t>4.1.</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Introduction</w:t>
            </w:r>
            <w:r w:rsidR="00CB0AF9" w:rsidRPr="00CB0AF9">
              <w:rPr>
                <w:webHidden/>
              </w:rPr>
              <w:tab/>
            </w:r>
            <w:r w:rsidR="00CB0AF9" w:rsidRPr="00CB0AF9">
              <w:rPr>
                <w:webHidden/>
              </w:rPr>
              <w:fldChar w:fldCharType="begin"/>
            </w:r>
            <w:r w:rsidR="00CB0AF9" w:rsidRPr="00CB0AF9">
              <w:rPr>
                <w:webHidden/>
              </w:rPr>
              <w:instrText xml:space="preserve"> PAGEREF _Toc145616190 \h </w:instrText>
            </w:r>
            <w:r w:rsidR="00CB0AF9" w:rsidRPr="00CB0AF9">
              <w:rPr>
                <w:webHidden/>
              </w:rPr>
            </w:r>
            <w:r w:rsidR="00CB0AF9" w:rsidRPr="00CB0AF9">
              <w:rPr>
                <w:webHidden/>
              </w:rPr>
              <w:fldChar w:fldCharType="separate"/>
            </w:r>
            <w:r w:rsidR="00006F3E">
              <w:rPr>
                <w:webHidden/>
              </w:rPr>
              <w:t>91</w:t>
            </w:r>
            <w:r w:rsidR="00CB0AF9" w:rsidRPr="00CB0AF9">
              <w:rPr>
                <w:webHidden/>
              </w:rPr>
              <w:fldChar w:fldCharType="end"/>
            </w:r>
          </w:hyperlink>
        </w:p>
        <w:p w14:paraId="37622C06" w14:textId="736C1914"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91" w:history="1">
            <w:r w:rsidR="00CB0AF9" w:rsidRPr="00CB0AF9">
              <w:rPr>
                <w:rStyle w:val="Hyperlink"/>
                <w:rFonts w:eastAsia="DengXian"/>
              </w:rPr>
              <w:t>4.2.</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Theory, related literature and hypotheses development</w:t>
            </w:r>
            <w:r w:rsidR="00CB0AF9" w:rsidRPr="00CB0AF9">
              <w:rPr>
                <w:webHidden/>
              </w:rPr>
              <w:tab/>
            </w:r>
            <w:r w:rsidR="00CB0AF9" w:rsidRPr="00CB0AF9">
              <w:rPr>
                <w:webHidden/>
              </w:rPr>
              <w:fldChar w:fldCharType="begin"/>
            </w:r>
            <w:r w:rsidR="00CB0AF9" w:rsidRPr="00CB0AF9">
              <w:rPr>
                <w:webHidden/>
              </w:rPr>
              <w:instrText xml:space="preserve"> PAGEREF _Toc145616191 \h </w:instrText>
            </w:r>
            <w:r w:rsidR="00CB0AF9" w:rsidRPr="00CB0AF9">
              <w:rPr>
                <w:webHidden/>
              </w:rPr>
            </w:r>
            <w:r w:rsidR="00CB0AF9" w:rsidRPr="00CB0AF9">
              <w:rPr>
                <w:webHidden/>
              </w:rPr>
              <w:fldChar w:fldCharType="separate"/>
            </w:r>
            <w:r w:rsidR="00006F3E">
              <w:rPr>
                <w:webHidden/>
              </w:rPr>
              <w:t>96</w:t>
            </w:r>
            <w:r w:rsidR="00CB0AF9" w:rsidRPr="00CB0AF9">
              <w:rPr>
                <w:webHidden/>
              </w:rPr>
              <w:fldChar w:fldCharType="end"/>
            </w:r>
          </w:hyperlink>
        </w:p>
        <w:p w14:paraId="4C3FA7A3" w14:textId="47B5FC5A"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2" w:history="1">
            <w:r w:rsidR="00CB0AF9" w:rsidRPr="00CB0AF9">
              <w:rPr>
                <w:rStyle w:val="Hyperlink"/>
              </w:rPr>
              <w:t>4.2.1 Theoretical Framework</w:t>
            </w:r>
            <w:r w:rsidR="00CB0AF9" w:rsidRPr="00CB0AF9">
              <w:rPr>
                <w:webHidden/>
              </w:rPr>
              <w:tab/>
            </w:r>
            <w:r w:rsidR="00CB0AF9" w:rsidRPr="00CB0AF9">
              <w:rPr>
                <w:webHidden/>
              </w:rPr>
              <w:fldChar w:fldCharType="begin"/>
            </w:r>
            <w:r w:rsidR="00CB0AF9" w:rsidRPr="00CB0AF9">
              <w:rPr>
                <w:webHidden/>
              </w:rPr>
              <w:instrText xml:space="preserve"> PAGEREF _Toc145616192 \h </w:instrText>
            </w:r>
            <w:r w:rsidR="00CB0AF9" w:rsidRPr="00CB0AF9">
              <w:rPr>
                <w:webHidden/>
              </w:rPr>
            </w:r>
            <w:r w:rsidR="00CB0AF9" w:rsidRPr="00CB0AF9">
              <w:rPr>
                <w:webHidden/>
              </w:rPr>
              <w:fldChar w:fldCharType="separate"/>
            </w:r>
            <w:r w:rsidR="00006F3E">
              <w:rPr>
                <w:webHidden/>
              </w:rPr>
              <w:t>96</w:t>
            </w:r>
            <w:r w:rsidR="00CB0AF9" w:rsidRPr="00CB0AF9">
              <w:rPr>
                <w:webHidden/>
              </w:rPr>
              <w:fldChar w:fldCharType="end"/>
            </w:r>
          </w:hyperlink>
        </w:p>
        <w:p w14:paraId="410F00AA" w14:textId="7E3DD98B"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93" w:history="1">
            <w:r w:rsidR="00CB0AF9" w:rsidRPr="00CB0AF9">
              <w:rPr>
                <w:rStyle w:val="Hyperlink"/>
              </w:rPr>
              <w:t>4.3. Related Literature and Hypothesis Development</w:t>
            </w:r>
            <w:r w:rsidR="00CB0AF9" w:rsidRPr="00CB0AF9">
              <w:rPr>
                <w:webHidden/>
              </w:rPr>
              <w:tab/>
            </w:r>
            <w:r w:rsidR="00CB0AF9" w:rsidRPr="00CB0AF9">
              <w:rPr>
                <w:webHidden/>
              </w:rPr>
              <w:fldChar w:fldCharType="begin"/>
            </w:r>
            <w:r w:rsidR="00CB0AF9" w:rsidRPr="00CB0AF9">
              <w:rPr>
                <w:webHidden/>
              </w:rPr>
              <w:instrText xml:space="preserve"> PAGEREF _Toc145616193 \h </w:instrText>
            </w:r>
            <w:r w:rsidR="00CB0AF9" w:rsidRPr="00CB0AF9">
              <w:rPr>
                <w:webHidden/>
              </w:rPr>
            </w:r>
            <w:r w:rsidR="00CB0AF9" w:rsidRPr="00CB0AF9">
              <w:rPr>
                <w:webHidden/>
              </w:rPr>
              <w:fldChar w:fldCharType="separate"/>
            </w:r>
            <w:r w:rsidR="00006F3E">
              <w:rPr>
                <w:webHidden/>
              </w:rPr>
              <w:t>98</w:t>
            </w:r>
            <w:r w:rsidR="00CB0AF9" w:rsidRPr="00CB0AF9">
              <w:rPr>
                <w:webHidden/>
              </w:rPr>
              <w:fldChar w:fldCharType="end"/>
            </w:r>
          </w:hyperlink>
        </w:p>
        <w:p w14:paraId="77995B89" w14:textId="2AAF0555"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4" w:history="1">
            <w:r w:rsidR="00CB0AF9" w:rsidRPr="00CB0AF9">
              <w:rPr>
                <w:rStyle w:val="Hyperlink"/>
              </w:rPr>
              <w:t>4.3.1. Risk Culture and Risk Management</w:t>
            </w:r>
            <w:r w:rsidR="00CB0AF9" w:rsidRPr="00CB0AF9">
              <w:rPr>
                <w:webHidden/>
              </w:rPr>
              <w:tab/>
            </w:r>
            <w:r w:rsidR="00CB0AF9" w:rsidRPr="00CB0AF9">
              <w:rPr>
                <w:webHidden/>
              </w:rPr>
              <w:fldChar w:fldCharType="begin"/>
            </w:r>
            <w:r w:rsidR="00CB0AF9" w:rsidRPr="00CB0AF9">
              <w:rPr>
                <w:webHidden/>
              </w:rPr>
              <w:instrText xml:space="preserve"> PAGEREF _Toc145616194 \h </w:instrText>
            </w:r>
            <w:r w:rsidR="00CB0AF9" w:rsidRPr="00CB0AF9">
              <w:rPr>
                <w:webHidden/>
              </w:rPr>
            </w:r>
            <w:r w:rsidR="00CB0AF9" w:rsidRPr="00CB0AF9">
              <w:rPr>
                <w:webHidden/>
              </w:rPr>
              <w:fldChar w:fldCharType="separate"/>
            </w:r>
            <w:r w:rsidR="00006F3E">
              <w:rPr>
                <w:webHidden/>
              </w:rPr>
              <w:t>98</w:t>
            </w:r>
            <w:r w:rsidR="00CB0AF9" w:rsidRPr="00CB0AF9">
              <w:rPr>
                <w:webHidden/>
              </w:rPr>
              <w:fldChar w:fldCharType="end"/>
            </w:r>
          </w:hyperlink>
        </w:p>
        <w:p w14:paraId="5159988B" w14:textId="7A0BC08D"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5" w:history="1">
            <w:r w:rsidR="00CB0AF9" w:rsidRPr="00CB0AF9">
              <w:rPr>
                <w:rStyle w:val="Hyperlink"/>
              </w:rPr>
              <w:t>4.3.2 Risk Culture, Corporate Governance and Bank Risk</w:t>
            </w:r>
            <w:r w:rsidR="00CB0AF9" w:rsidRPr="00CB0AF9">
              <w:rPr>
                <w:webHidden/>
              </w:rPr>
              <w:tab/>
            </w:r>
            <w:r w:rsidR="00CB0AF9" w:rsidRPr="00CB0AF9">
              <w:rPr>
                <w:webHidden/>
              </w:rPr>
              <w:fldChar w:fldCharType="begin"/>
            </w:r>
            <w:r w:rsidR="00CB0AF9" w:rsidRPr="00CB0AF9">
              <w:rPr>
                <w:webHidden/>
              </w:rPr>
              <w:instrText xml:space="preserve"> PAGEREF _Toc145616195 \h </w:instrText>
            </w:r>
            <w:r w:rsidR="00CB0AF9" w:rsidRPr="00CB0AF9">
              <w:rPr>
                <w:webHidden/>
              </w:rPr>
            </w:r>
            <w:r w:rsidR="00CB0AF9" w:rsidRPr="00CB0AF9">
              <w:rPr>
                <w:webHidden/>
              </w:rPr>
              <w:fldChar w:fldCharType="separate"/>
            </w:r>
            <w:r w:rsidR="00006F3E">
              <w:rPr>
                <w:webHidden/>
              </w:rPr>
              <w:t>100</w:t>
            </w:r>
            <w:r w:rsidR="00CB0AF9" w:rsidRPr="00CB0AF9">
              <w:rPr>
                <w:webHidden/>
              </w:rPr>
              <w:fldChar w:fldCharType="end"/>
            </w:r>
          </w:hyperlink>
        </w:p>
        <w:p w14:paraId="753DFD69" w14:textId="0B82B331"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6" w:history="1">
            <w:r w:rsidR="00CB0AF9" w:rsidRPr="00CB0AF9">
              <w:rPr>
                <w:rStyle w:val="Hyperlink"/>
              </w:rPr>
              <w:t>4.3.3. Risk Culture, Board Gender Diversity and Bank Risk</w:t>
            </w:r>
            <w:r w:rsidR="00CB0AF9" w:rsidRPr="00CB0AF9">
              <w:rPr>
                <w:webHidden/>
              </w:rPr>
              <w:tab/>
            </w:r>
            <w:r w:rsidR="00CB0AF9" w:rsidRPr="00CB0AF9">
              <w:rPr>
                <w:webHidden/>
              </w:rPr>
              <w:fldChar w:fldCharType="begin"/>
            </w:r>
            <w:r w:rsidR="00CB0AF9" w:rsidRPr="00CB0AF9">
              <w:rPr>
                <w:webHidden/>
              </w:rPr>
              <w:instrText xml:space="preserve"> PAGEREF _Toc145616196 \h </w:instrText>
            </w:r>
            <w:r w:rsidR="00CB0AF9" w:rsidRPr="00CB0AF9">
              <w:rPr>
                <w:webHidden/>
              </w:rPr>
            </w:r>
            <w:r w:rsidR="00CB0AF9" w:rsidRPr="00CB0AF9">
              <w:rPr>
                <w:webHidden/>
              </w:rPr>
              <w:fldChar w:fldCharType="separate"/>
            </w:r>
            <w:r w:rsidR="00006F3E">
              <w:rPr>
                <w:webHidden/>
              </w:rPr>
              <w:t>101</w:t>
            </w:r>
            <w:r w:rsidR="00CB0AF9" w:rsidRPr="00CB0AF9">
              <w:rPr>
                <w:webHidden/>
              </w:rPr>
              <w:fldChar w:fldCharType="end"/>
            </w:r>
          </w:hyperlink>
        </w:p>
        <w:p w14:paraId="662F9B14" w14:textId="06009659"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7" w:history="1">
            <w:r w:rsidR="00CB0AF9" w:rsidRPr="00CB0AF9">
              <w:rPr>
                <w:rStyle w:val="Hyperlink"/>
              </w:rPr>
              <w:t>4.3.4 Risk Culture, Board Gender Diversity: Critical Mass Theory</w:t>
            </w:r>
            <w:r w:rsidR="00CB0AF9" w:rsidRPr="00CB0AF9">
              <w:rPr>
                <w:webHidden/>
              </w:rPr>
              <w:tab/>
            </w:r>
            <w:r w:rsidR="00CB0AF9" w:rsidRPr="00CB0AF9">
              <w:rPr>
                <w:webHidden/>
              </w:rPr>
              <w:fldChar w:fldCharType="begin"/>
            </w:r>
            <w:r w:rsidR="00CB0AF9" w:rsidRPr="00CB0AF9">
              <w:rPr>
                <w:webHidden/>
              </w:rPr>
              <w:instrText xml:space="preserve"> PAGEREF _Toc145616197 \h </w:instrText>
            </w:r>
            <w:r w:rsidR="00CB0AF9" w:rsidRPr="00CB0AF9">
              <w:rPr>
                <w:webHidden/>
              </w:rPr>
            </w:r>
            <w:r w:rsidR="00CB0AF9" w:rsidRPr="00CB0AF9">
              <w:rPr>
                <w:webHidden/>
              </w:rPr>
              <w:fldChar w:fldCharType="separate"/>
            </w:r>
            <w:r w:rsidR="00006F3E">
              <w:rPr>
                <w:webHidden/>
              </w:rPr>
              <w:t>104</w:t>
            </w:r>
            <w:r w:rsidR="00CB0AF9" w:rsidRPr="00CB0AF9">
              <w:rPr>
                <w:webHidden/>
              </w:rPr>
              <w:fldChar w:fldCharType="end"/>
            </w:r>
          </w:hyperlink>
        </w:p>
        <w:p w14:paraId="4B5D4ADF" w14:textId="04062C7E"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198" w:history="1">
            <w:r w:rsidR="00CB0AF9" w:rsidRPr="00CB0AF9">
              <w:rPr>
                <w:rStyle w:val="Hyperlink"/>
              </w:rPr>
              <w:t>4.3.5 Risk Culture, Board Gender Diversity: Supportive Environment</w:t>
            </w:r>
            <w:r w:rsidR="00CB0AF9" w:rsidRPr="00CB0AF9">
              <w:rPr>
                <w:webHidden/>
              </w:rPr>
              <w:tab/>
            </w:r>
            <w:r w:rsidR="00CB0AF9" w:rsidRPr="00CB0AF9">
              <w:rPr>
                <w:webHidden/>
              </w:rPr>
              <w:fldChar w:fldCharType="begin"/>
            </w:r>
            <w:r w:rsidR="00CB0AF9" w:rsidRPr="00CB0AF9">
              <w:rPr>
                <w:webHidden/>
              </w:rPr>
              <w:instrText xml:space="preserve"> PAGEREF _Toc145616198 \h </w:instrText>
            </w:r>
            <w:r w:rsidR="00CB0AF9" w:rsidRPr="00CB0AF9">
              <w:rPr>
                <w:webHidden/>
              </w:rPr>
            </w:r>
            <w:r w:rsidR="00CB0AF9" w:rsidRPr="00CB0AF9">
              <w:rPr>
                <w:webHidden/>
              </w:rPr>
              <w:fldChar w:fldCharType="separate"/>
            </w:r>
            <w:r w:rsidR="00006F3E">
              <w:rPr>
                <w:webHidden/>
              </w:rPr>
              <w:t>105</w:t>
            </w:r>
            <w:r w:rsidR="00CB0AF9" w:rsidRPr="00CB0AF9">
              <w:rPr>
                <w:webHidden/>
              </w:rPr>
              <w:fldChar w:fldCharType="end"/>
            </w:r>
          </w:hyperlink>
        </w:p>
        <w:p w14:paraId="550E2979" w14:textId="62F1635C"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199" w:history="1">
            <w:r w:rsidR="00CB0AF9" w:rsidRPr="00CB0AF9">
              <w:rPr>
                <w:rStyle w:val="Hyperlink"/>
              </w:rPr>
              <w:t>4.4. Sample, variables description, and methodology</w:t>
            </w:r>
            <w:r w:rsidR="00CB0AF9" w:rsidRPr="00CB0AF9">
              <w:rPr>
                <w:webHidden/>
              </w:rPr>
              <w:tab/>
            </w:r>
            <w:r w:rsidR="00CB0AF9" w:rsidRPr="00CB0AF9">
              <w:rPr>
                <w:webHidden/>
              </w:rPr>
              <w:fldChar w:fldCharType="begin"/>
            </w:r>
            <w:r w:rsidR="00CB0AF9" w:rsidRPr="00CB0AF9">
              <w:rPr>
                <w:webHidden/>
              </w:rPr>
              <w:instrText xml:space="preserve"> PAGEREF _Toc145616199 \h </w:instrText>
            </w:r>
            <w:r w:rsidR="00CB0AF9" w:rsidRPr="00CB0AF9">
              <w:rPr>
                <w:webHidden/>
              </w:rPr>
            </w:r>
            <w:r w:rsidR="00CB0AF9" w:rsidRPr="00CB0AF9">
              <w:rPr>
                <w:webHidden/>
              </w:rPr>
              <w:fldChar w:fldCharType="separate"/>
            </w:r>
            <w:r w:rsidR="00006F3E">
              <w:rPr>
                <w:webHidden/>
              </w:rPr>
              <w:t>106</w:t>
            </w:r>
            <w:r w:rsidR="00CB0AF9" w:rsidRPr="00CB0AF9">
              <w:rPr>
                <w:webHidden/>
              </w:rPr>
              <w:fldChar w:fldCharType="end"/>
            </w:r>
          </w:hyperlink>
        </w:p>
        <w:p w14:paraId="1B59E658" w14:textId="5A83A445"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0" w:history="1">
            <w:r w:rsidR="00CB0AF9" w:rsidRPr="00CB0AF9">
              <w:rPr>
                <w:rStyle w:val="Hyperlink"/>
              </w:rPr>
              <w:t>4.4.1. Sample Construction</w:t>
            </w:r>
            <w:r w:rsidR="00CB0AF9" w:rsidRPr="00CB0AF9">
              <w:rPr>
                <w:webHidden/>
              </w:rPr>
              <w:tab/>
            </w:r>
            <w:r w:rsidR="00CB0AF9" w:rsidRPr="00CB0AF9">
              <w:rPr>
                <w:webHidden/>
              </w:rPr>
              <w:fldChar w:fldCharType="begin"/>
            </w:r>
            <w:r w:rsidR="00CB0AF9" w:rsidRPr="00CB0AF9">
              <w:rPr>
                <w:webHidden/>
              </w:rPr>
              <w:instrText xml:space="preserve"> PAGEREF _Toc145616200 \h </w:instrText>
            </w:r>
            <w:r w:rsidR="00CB0AF9" w:rsidRPr="00CB0AF9">
              <w:rPr>
                <w:webHidden/>
              </w:rPr>
            </w:r>
            <w:r w:rsidR="00CB0AF9" w:rsidRPr="00CB0AF9">
              <w:rPr>
                <w:webHidden/>
              </w:rPr>
              <w:fldChar w:fldCharType="separate"/>
            </w:r>
            <w:r w:rsidR="00006F3E">
              <w:rPr>
                <w:webHidden/>
              </w:rPr>
              <w:t>106</w:t>
            </w:r>
            <w:r w:rsidR="00CB0AF9" w:rsidRPr="00CB0AF9">
              <w:rPr>
                <w:webHidden/>
              </w:rPr>
              <w:fldChar w:fldCharType="end"/>
            </w:r>
          </w:hyperlink>
        </w:p>
        <w:p w14:paraId="62E67A36" w14:textId="38A595D9"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1" w:history="1">
            <w:r w:rsidR="00CB0AF9" w:rsidRPr="00CB0AF9">
              <w:rPr>
                <w:rStyle w:val="Hyperlink"/>
              </w:rPr>
              <w:t>4.4.2. Variable Description</w:t>
            </w:r>
            <w:r w:rsidR="00CB0AF9" w:rsidRPr="00CB0AF9">
              <w:rPr>
                <w:webHidden/>
              </w:rPr>
              <w:tab/>
            </w:r>
            <w:r w:rsidR="00CB0AF9" w:rsidRPr="00CB0AF9">
              <w:rPr>
                <w:webHidden/>
              </w:rPr>
              <w:fldChar w:fldCharType="begin"/>
            </w:r>
            <w:r w:rsidR="00CB0AF9" w:rsidRPr="00CB0AF9">
              <w:rPr>
                <w:webHidden/>
              </w:rPr>
              <w:instrText xml:space="preserve"> PAGEREF _Toc145616201 \h </w:instrText>
            </w:r>
            <w:r w:rsidR="00CB0AF9" w:rsidRPr="00CB0AF9">
              <w:rPr>
                <w:webHidden/>
              </w:rPr>
            </w:r>
            <w:r w:rsidR="00CB0AF9" w:rsidRPr="00CB0AF9">
              <w:rPr>
                <w:webHidden/>
              </w:rPr>
              <w:fldChar w:fldCharType="separate"/>
            </w:r>
            <w:r w:rsidR="00006F3E">
              <w:rPr>
                <w:webHidden/>
              </w:rPr>
              <w:t>106</w:t>
            </w:r>
            <w:r w:rsidR="00CB0AF9" w:rsidRPr="00CB0AF9">
              <w:rPr>
                <w:webHidden/>
              </w:rPr>
              <w:fldChar w:fldCharType="end"/>
            </w:r>
          </w:hyperlink>
        </w:p>
        <w:p w14:paraId="3EEB44F5" w14:textId="03C62474"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2" w:history="1">
            <w:r w:rsidR="00CB0AF9" w:rsidRPr="00CB0AF9">
              <w:rPr>
                <w:rStyle w:val="Hyperlink"/>
              </w:rPr>
              <w:t>3.4.3. Methodology:</w:t>
            </w:r>
            <w:r w:rsidR="00CB0AF9" w:rsidRPr="00CB0AF9">
              <w:rPr>
                <w:webHidden/>
              </w:rPr>
              <w:tab/>
            </w:r>
            <w:r w:rsidR="00CB0AF9" w:rsidRPr="00CB0AF9">
              <w:rPr>
                <w:webHidden/>
              </w:rPr>
              <w:fldChar w:fldCharType="begin"/>
            </w:r>
            <w:r w:rsidR="00CB0AF9" w:rsidRPr="00CB0AF9">
              <w:rPr>
                <w:webHidden/>
              </w:rPr>
              <w:instrText xml:space="preserve"> PAGEREF _Toc145616202 \h </w:instrText>
            </w:r>
            <w:r w:rsidR="00CB0AF9" w:rsidRPr="00CB0AF9">
              <w:rPr>
                <w:webHidden/>
              </w:rPr>
            </w:r>
            <w:r w:rsidR="00CB0AF9" w:rsidRPr="00CB0AF9">
              <w:rPr>
                <w:webHidden/>
              </w:rPr>
              <w:fldChar w:fldCharType="separate"/>
            </w:r>
            <w:r w:rsidR="00006F3E">
              <w:rPr>
                <w:webHidden/>
              </w:rPr>
              <w:t>111</w:t>
            </w:r>
            <w:r w:rsidR="00CB0AF9" w:rsidRPr="00CB0AF9">
              <w:rPr>
                <w:webHidden/>
              </w:rPr>
              <w:fldChar w:fldCharType="end"/>
            </w:r>
          </w:hyperlink>
        </w:p>
        <w:p w14:paraId="62C12E96" w14:textId="5B66C3BD"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03" w:history="1">
            <w:r w:rsidR="00CB0AF9" w:rsidRPr="00CB0AF9">
              <w:rPr>
                <w:rStyle w:val="Hyperlink"/>
              </w:rPr>
              <w:t>4.5. Empirical Analysis</w:t>
            </w:r>
            <w:r w:rsidR="00CB0AF9" w:rsidRPr="00CB0AF9">
              <w:rPr>
                <w:webHidden/>
              </w:rPr>
              <w:tab/>
            </w:r>
            <w:r w:rsidR="00CB0AF9" w:rsidRPr="00CB0AF9">
              <w:rPr>
                <w:webHidden/>
              </w:rPr>
              <w:fldChar w:fldCharType="begin"/>
            </w:r>
            <w:r w:rsidR="00CB0AF9" w:rsidRPr="00CB0AF9">
              <w:rPr>
                <w:webHidden/>
              </w:rPr>
              <w:instrText xml:space="preserve"> PAGEREF _Toc145616203 \h </w:instrText>
            </w:r>
            <w:r w:rsidR="00CB0AF9" w:rsidRPr="00CB0AF9">
              <w:rPr>
                <w:webHidden/>
              </w:rPr>
            </w:r>
            <w:r w:rsidR="00CB0AF9" w:rsidRPr="00CB0AF9">
              <w:rPr>
                <w:webHidden/>
              </w:rPr>
              <w:fldChar w:fldCharType="separate"/>
            </w:r>
            <w:r w:rsidR="00006F3E">
              <w:rPr>
                <w:webHidden/>
              </w:rPr>
              <w:t>113</w:t>
            </w:r>
            <w:r w:rsidR="00CB0AF9" w:rsidRPr="00CB0AF9">
              <w:rPr>
                <w:webHidden/>
              </w:rPr>
              <w:fldChar w:fldCharType="end"/>
            </w:r>
          </w:hyperlink>
        </w:p>
        <w:p w14:paraId="28252A8D" w14:textId="48004784"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4" w:history="1">
            <w:r w:rsidR="00CB0AF9" w:rsidRPr="00CB0AF9">
              <w:rPr>
                <w:rStyle w:val="Hyperlink"/>
              </w:rPr>
              <w:t>4.5.1. Univariate analysis</w:t>
            </w:r>
            <w:r w:rsidR="00CB0AF9" w:rsidRPr="00CB0AF9">
              <w:rPr>
                <w:webHidden/>
              </w:rPr>
              <w:tab/>
            </w:r>
            <w:r w:rsidR="00CB0AF9" w:rsidRPr="00CB0AF9">
              <w:rPr>
                <w:webHidden/>
              </w:rPr>
              <w:fldChar w:fldCharType="begin"/>
            </w:r>
            <w:r w:rsidR="00CB0AF9" w:rsidRPr="00CB0AF9">
              <w:rPr>
                <w:webHidden/>
              </w:rPr>
              <w:instrText xml:space="preserve"> PAGEREF _Toc145616204 \h </w:instrText>
            </w:r>
            <w:r w:rsidR="00CB0AF9" w:rsidRPr="00CB0AF9">
              <w:rPr>
                <w:webHidden/>
              </w:rPr>
            </w:r>
            <w:r w:rsidR="00CB0AF9" w:rsidRPr="00CB0AF9">
              <w:rPr>
                <w:webHidden/>
              </w:rPr>
              <w:fldChar w:fldCharType="separate"/>
            </w:r>
            <w:r w:rsidR="00006F3E">
              <w:rPr>
                <w:webHidden/>
              </w:rPr>
              <w:t>113</w:t>
            </w:r>
            <w:r w:rsidR="00CB0AF9" w:rsidRPr="00CB0AF9">
              <w:rPr>
                <w:webHidden/>
              </w:rPr>
              <w:fldChar w:fldCharType="end"/>
            </w:r>
          </w:hyperlink>
        </w:p>
        <w:p w14:paraId="34DE38F1" w14:textId="1FADDDB0"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5" w:history="1">
            <w:r w:rsidR="00CB0AF9" w:rsidRPr="00CB0AF9">
              <w:rPr>
                <w:rStyle w:val="Hyperlink"/>
              </w:rPr>
              <w:t>4.5.2. Regression analysis</w:t>
            </w:r>
            <w:r w:rsidR="00CB0AF9" w:rsidRPr="00CB0AF9">
              <w:rPr>
                <w:webHidden/>
              </w:rPr>
              <w:tab/>
            </w:r>
            <w:r w:rsidR="00CB0AF9" w:rsidRPr="00CB0AF9">
              <w:rPr>
                <w:webHidden/>
              </w:rPr>
              <w:fldChar w:fldCharType="begin"/>
            </w:r>
            <w:r w:rsidR="00CB0AF9" w:rsidRPr="00CB0AF9">
              <w:rPr>
                <w:webHidden/>
              </w:rPr>
              <w:instrText xml:space="preserve"> PAGEREF _Toc145616205 \h </w:instrText>
            </w:r>
            <w:r w:rsidR="00CB0AF9" w:rsidRPr="00CB0AF9">
              <w:rPr>
                <w:webHidden/>
              </w:rPr>
            </w:r>
            <w:r w:rsidR="00CB0AF9" w:rsidRPr="00CB0AF9">
              <w:rPr>
                <w:webHidden/>
              </w:rPr>
              <w:fldChar w:fldCharType="separate"/>
            </w:r>
            <w:r w:rsidR="00006F3E">
              <w:rPr>
                <w:webHidden/>
              </w:rPr>
              <w:t>113</w:t>
            </w:r>
            <w:r w:rsidR="00CB0AF9" w:rsidRPr="00CB0AF9">
              <w:rPr>
                <w:webHidden/>
              </w:rPr>
              <w:fldChar w:fldCharType="end"/>
            </w:r>
          </w:hyperlink>
        </w:p>
        <w:p w14:paraId="4C3B4799" w14:textId="34DD568A"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6" w:history="1">
            <w:r w:rsidR="00CB0AF9" w:rsidRPr="00CB0AF9">
              <w:rPr>
                <w:rStyle w:val="Hyperlink"/>
              </w:rPr>
              <w:t>4.5.3. Further analysis--- Post-2009 Crisis Effect</w:t>
            </w:r>
            <w:r w:rsidR="00CB0AF9" w:rsidRPr="00CB0AF9">
              <w:rPr>
                <w:webHidden/>
              </w:rPr>
              <w:tab/>
            </w:r>
            <w:r w:rsidR="00CB0AF9" w:rsidRPr="00CB0AF9">
              <w:rPr>
                <w:webHidden/>
              </w:rPr>
              <w:fldChar w:fldCharType="begin"/>
            </w:r>
            <w:r w:rsidR="00CB0AF9" w:rsidRPr="00CB0AF9">
              <w:rPr>
                <w:webHidden/>
              </w:rPr>
              <w:instrText xml:space="preserve"> PAGEREF _Toc145616206 \h </w:instrText>
            </w:r>
            <w:r w:rsidR="00CB0AF9" w:rsidRPr="00CB0AF9">
              <w:rPr>
                <w:webHidden/>
              </w:rPr>
            </w:r>
            <w:r w:rsidR="00CB0AF9" w:rsidRPr="00CB0AF9">
              <w:rPr>
                <w:webHidden/>
              </w:rPr>
              <w:fldChar w:fldCharType="separate"/>
            </w:r>
            <w:r w:rsidR="00006F3E">
              <w:rPr>
                <w:webHidden/>
              </w:rPr>
              <w:t>116</w:t>
            </w:r>
            <w:r w:rsidR="00CB0AF9" w:rsidRPr="00CB0AF9">
              <w:rPr>
                <w:webHidden/>
              </w:rPr>
              <w:fldChar w:fldCharType="end"/>
            </w:r>
          </w:hyperlink>
        </w:p>
        <w:p w14:paraId="19368E74" w14:textId="1696774B"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7" w:history="1">
            <w:r w:rsidR="00CB0AF9" w:rsidRPr="00CB0AF9">
              <w:rPr>
                <w:rStyle w:val="Hyperlink"/>
              </w:rPr>
              <w:t>4.5.4.  Propensity Score Matching</w:t>
            </w:r>
            <w:r w:rsidR="00CB0AF9" w:rsidRPr="00CB0AF9">
              <w:rPr>
                <w:webHidden/>
              </w:rPr>
              <w:tab/>
            </w:r>
            <w:r w:rsidR="00CB0AF9" w:rsidRPr="00CB0AF9">
              <w:rPr>
                <w:webHidden/>
              </w:rPr>
              <w:fldChar w:fldCharType="begin"/>
            </w:r>
            <w:r w:rsidR="00CB0AF9" w:rsidRPr="00CB0AF9">
              <w:rPr>
                <w:webHidden/>
              </w:rPr>
              <w:instrText xml:space="preserve"> PAGEREF _Toc145616207 \h </w:instrText>
            </w:r>
            <w:r w:rsidR="00CB0AF9" w:rsidRPr="00CB0AF9">
              <w:rPr>
                <w:webHidden/>
              </w:rPr>
            </w:r>
            <w:r w:rsidR="00CB0AF9" w:rsidRPr="00CB0AF9">
              <w:rPr>
                <w:webHidden/>
              </w:rPr>
              <w:fldChar w:fldCharType="separate"/>
            </w:r>
            <w:r w:rsidR="00006F3E">
              <w:rPr>
                <w:webHidden/>
              </w:rPr>
              <w:t>117</w:t>
            </w:r>
            <w:r w:rsidR="00CB0AF9" w:rsidRPr="00CB0AF9">
              <w:rPr>
                <w:webHidden/>
              </w:rPr>
              <w:fldChar w:fldCharType="end"/>
            </w:r>
          </w:hyperlink>
        </w:p>
        <w:p w14:paraId="5D03B1C2" w14:textId="2AFD4048"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08" w:history="1">
            <w:r w:rsidR="00CB0AF9" w:rsidRPr="00CB0AF9">
              <w:rPr>
                <w:rStyle w:val="Hyperlink"/>
              </w:rPr>
              <w:t>4.5.5. Robustness Checks</w:t>
            </w:r>
            <w:r w:rsidR="00CB0AF9" w:rsidRPr="00CB0AF9">
              <w:rPr>
                <w:webHidden/>
              </w:rPr>
              <w:tab/>
            </w:r>
            <w:r w:rsidR="00CB0AF9" w:rsidRPr="00CB0AF9">
              <w:rPr>
                <w:webHidden/>
              </w:rPr>
              <w:fldChar w:fldCharType="begin"/>
            </w:r>
            <w:r w:rsidR="00CB0AF9" w:rsidRPr="00CB0AF9">
              <w:rPr>
                <w:webHidden/>
              </w:rPr>
              <w:instrText xml:space="preserve"> PAGEREF _Toc145616208 \h </w:instrText>
            </w:r>
            <w:r w:rsidR="00CB0AF9" w:rsidRPr="00CB0AF9">
              <w:rPr>
                <w:webHidden/>
              </w:rPr>
            </w:r>
            <w:r w:rsidR="00CB0AF9" w:rsidRPr="00CB0AF9">
              <w:rPr>
                <w:webHidden/>
              </w:rPr>
              <w:fldChar w:fldCharType="separate"/>
            </w:r>
            <w:r w:rsidR="00006F3E">
              <w:rPr>
                <w:webHidden/>
              </w:rPr>
              <w:t>118</w:t>
            </w:r>
            <w:r w:rsidR="00CB0AF9" w:rsidRPr="00CB0AF9">
              <w:rPr>
                <w:webHidden/>
              </w:rPr>
              <w:fldChar w:fldCharType="end"/>
            </w:r>
          </w:hyperlink>
        </w:p>
        <w:p w14:paraId="71C75376" w14:textId="3E0255AA"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09" w:history="1">
            <w:r w:rsidR="00CB0AF9" w:rsidRPr="00CB0AF9">
              <w:rPr>
                <w:rStyle w:val="Hyperlink"/>
              </w:rPr>
              <w:t>4.6. Conclusion</w:t>
            </w:r>
            <w:r w:rsidR="00CB0AF9" w:rsidRPr="00CB0AF9">
              <w:rPr>
                <w:webHidden/>
              </w:rPr>
              <w:tab/>
            </w:r>
            <w:r w:rsidR="00CB0AF9" w:rsidRPr="00CB0AF9">
              <w:rPr>
                <w:webHidden/>
              </w:rPr>
              <w:fldChar w:fldCharType="begin"/>
            </w:r>
            <w:r w:rsidR="00CB0AF9" w:rsidRPr="00CB0AF9">
              <w:rPr>
                <w:webHidden/>
              </w:rPr>
              <w:instrText xml:space="preserve"> PAGEREF _Toc145616209 \h </w:instrText>
            </w:r>
            <w:r w:rsidR="00CB0AF9" w:rsidRPr="00CB0AF9">
              <w:rPr>
                <w:webHidden/>
              </w:rPr>
            </w:r>
            <w:r w:rsidR="00CB0AF9" w:rsidRPr="00CB0AF9">
              <w:rPr>
                <w:webHidden/>
              </w:rPr>
              <w:fldChar w:fldCharType="separate"/>
            </w:r>
            <w:r w:rsidR="00006F3E">
              <w:rPr>
                <w:webHidden/>
              </w:rPr>
              <w:t>119</w:t>
            </w:r>
            <w:r w:rsidR="00CB0AF9" w:rsidRPr="00CB0AF9">
              <w:rPr>
                <w:webHidden/>
              </w:rPr>
              <w:fldChar w:fldCharType="end"/>
            </w:r>
          </w:hyperlink>
        </w:p>
        <w:p w14:paraId="06D9DCF7" w14:textId="378A6D35"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210" w:history="1">
            <w:r w:rsidR="00CB0AF9" w:rsidRPr="00CB0AF9">
              <w:rPr>
                <w:rStyle w:val="Hyperlink"/>
              </w:rPr>
              <w:t>5. Independent Non-Executive Directors (INEDs) Heterogeneity and Bank Misconduct</w:t>
            </w:r>
            <w:r w:rsidR="00CB0AF9" w:rsidRPr="00CB0AF9">
              <w:rPr>
                <w:webHidden/>
              </w:rPr>
              <w:tab/>
            </w:r>
            <w:r w:rsidR="00CB0AF9" w:rsidRPr="00CB0AF9">
              <w:rPr>
                <w:webHidden/>
              </w:rPr>
              <w:fldChar w:fldCharType="begin"/>
            </w:r>
            <w:r w:rsidR="00CB0AF9" w:rsidRPr="00CB0AF9">
              <w:rPr>
                <w:webHidden/>
              </w:rPr>
              <w:instrText xml:space="preserve"> PAGEREF _Toc145616210 \h </w:instrText>
            </w:r>
            <w:r w:rsidR="00CB0AF9" w:rsidRPr="00CB0AF9">
              <w:rPr>
                <w:webHidden/>
              </w:rPr>
            </w:r>
            <w:r w:rsidR="00CB0AF9" w:rsidRPr="00CB0AF9">
              <w:rPr>
                <w:webHidden/>
              </w:rPr>
              <w:fldChar w:fldCharType="separate"/>
            </w:r>
            <w:r w:rsidR="00006F3E">
              <w:rPr>
                <w:webHidden/>
              </w:rPr>
              <w:t>148</w:t>
            </w:r>
            <w:r w:rsidR="00CB0AF9" w:rsidRPr="00CB0AF9">
              <w:rPr>
                <w:webHidden/>
              </w:rPr>
              <w:fldChar w:fldCharType="end"/>
            </w:r>
          </w:hyperlink>
        </w:p>
        <w:p w14:paraId="6EFEB663" w14:textId="182CCD37"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11" w:history="1">
            <w:r w:rsidR="00CB0AF9" w:rsidRPr="00CB0AF9">
              <w:rPr>
                <w:rStyle w:val="Hyperlink"/>
              </w:rPr>
              <w:t>5.1.</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Introduction</w:t>
            </w:r>
            <w:r w:rsidR="00CB0AF9" w:rsidRPr="00CB0AF9">
              <w:rPr>
                <w:webHidden/>
              </w:rPr>
              <w:tab/>
            </w:r>
            <w:r w:rsidR="00CB0AF9" w:rsidRPr="00CB0AF9">
              <w:rPr>
                <w:webHidden/>
              </w:rPr>
              <w:fldChar w:fldCharType="begin"/>
            </w:r>
            <w:r w:rsidR="00CB0AF9" w:rsidRPr="00CB0AF9">
              <w:rPr>
                <w:webHidden/>
              </w:rPr>
              <w:instrText xml:space="preserve"> PAGEREF _Toc145616211 \h </w:instrText>
            </w:r>
            <w:r w:rsidR="00CB0AF9" w:rsidRPr="00CB0AF9">
              <w:rPr>
                <w:webHidden/>
              </w:rPr>
            </w:r>
            <w:r w:rsidR="00CB0AF9" w:rsidRPr="00CB0AF9">
              <w:rPr>
                <w:webHidden/>
              </w:rPr>
              <w:fldChar w:fldCharType="separate"/>
            </w:r>
            <w:r w:rsidR="00006F3E">
              <w:rPr>
                <w:webHidden/>
              </w:rPr>
              <w:t>148</w:t>
            </w:r>
            <w:r w:rsidR="00CB0AF9" w:rsidRPr="00CB0AF9">
              <w:rPr>
                <w:webHidden/>
              </w:rPr>
              <w:fldChar w:fldCharType="end"/>
            </w:r>
          </w:hyperlink>
        </w:p>
        <w:p w14:paraId="3CA7D8D2" w14:textId="3EF249BB"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12" w:history="1">
            <w:r w:rsidR="00CB0AF9" w:rsidRPr="00CB0AF9">
              <w:rPr>
                <w:rStyle w:val="Hyperlink"/>
              </w:rPr>
              <w:t>5.2.</w:t>
            </w:r>
            <w:r w:rsidR="00CB0AF9" w:rsidRPr="00CB0AF9">
              <w:rPr>
                <w:rFonts w:asciiTheme="minorHAnsi" w:eastAsiaTheme="minorEastAsia" w:hAnsiTheme="minorHAnsi" w:cstheme="minorBidi"/>
                <w:kern w:val="2"/>
                <w:sz w:val="22"/>
                <w:szCs w:val="22"/>
                <w:lang w:eastAsia="en-GB"/>
                <w14:ligatures w14:val="standardContextual"/>
              </w:rPr>
              <w:tab/>
            </w:r>
            <w:r w:rsidR="00CB0AF9" w:rsidRPr="00CB0AF9">
              <w:rPr>
                <w:rStyle w:val="Hyperlink"/>
              </w:rPr>
              <w:t>Theoretical Framework and Hypothesis Development</w:t>
            </w:r>
            <w:r w:rsidR="00CB0AF9" w:rsidRPr="00CB0AF9">
              <w:rPr>
                <w:webHidden/>
              </w:rPr>
              <w:tab/>
            </w:r>
            <w:r w:rsidR="00CB0AF9" w:rsidRPr="00CB0AF9">
              <w:rPr>
                <w:webHidden/>
              </w:rPr>
              <w:fldChar w:fldCharType="begin"/>
            </w:r>
            <w:r w:rsidR="00CB0AF9" w:rsidRPr="00CB0AF9">
              <w:rPr>
                <w:webHidden/>
              </w:rPr>
              <w:instrText xml:space="preserve"> PAGEREF _Toc145616212 \h </w:instrText>
            </w:r>
            <w:r w:rsidR="00CB0AF9" w:rsidRPr="00CB0AF9">
              <w:rPr>
                <w:webHidden/>
              </w:rPr>
            </w:r>
            <w:r w:rsidR="00CB0AF9" w:rsidRPr="00CB0AF9">
              <w:rPr>
                <w:webHidden/>
              </w:rPr>
              <w:fldChar w:fldCharType="separate"/>
            </w:r>
            <w:r w:rsidR="00006F3E">
              <w:rPr>
                <w:webHidden/>
              </w:rPr>
              <w:t>153</w:t>
            </w:r>
            <w:r w:rsidR="00CB0AF9" w:rsidRPr="00CB0AF9">
              <w:rPr>
                <w:webHidden/>
              </w:rPr>
              <w:fldChar w:fldCharType="end"/>
            </w:r>
          </w:hyperlink>
        </w:p>
        <w:p w14:paraId="0E35B6A6" w14:textId="143934FB"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13" w:history="1">
            <w:r w:rsidR="00CB0AF9" w:rsidRPr="00CB0AF9">
              <w:rPr>
                <w:rStyle w:val="Hyperlink"/>
              </w:rPr>
              <w:t>5.2.1 Theoretical Framework</w:t>
            </w:r>
            <w:r w:rsidR="00CB0AF9" w:rsidRPr="00CB0AF9">
              <w:rPr>
                <w:webHidden/>
              </w:rPr>
              <w:tab/>
            </w:r>
            <w:r w:rsidR="00CB0AF9" w:rsidRPr="00CB0AF9">
              <w:rPr>
                <w:webHidden/>
              </w:rPr>
              <w:fldChar w:fldCharType="begin"/>
            </w:r>
            <w:r w:rsidR="00CB0AF9" w:rsidRPr="00CB0AF9">
              <w:rPr>
                <w:webHidden/>
              </w:rPr>
              <w:instrText xml:space="preserve"> PAGEREF _Toc145616213 \h </w:instrText>
            </w:r>
            <w:r w:rsidR="00CB0AF9" w:rsidRPr="00CB0AF9">
              <w:rPr>
                <w:webHidden/>
              </w:rPr>
            </w:r>
            <w:r w:rsidR="00CB0AF9" w:rsidRPr="00CB0AF9">
              <w:rPr>
                <w:webHidden/>
              </w:rPr>
              <w:fldChar w:fldCharType="separate"/>
            </w:r>
            <w:r w:rsidR="00006F3E">
              <w:rPr>
                <w:webHidden/>
              </w:rPr>
              <w:t>153</w:t>
            </w:r>
            <w:r w:rsidR="00CB0AF9" w:rsidRPr="00CB0AF9">
              <w:rPr>
                <w:webHidden/>
              </w:rPr>
              <w:fldChar w:fldCharType="end"/>
            </w:r>
          </w:hyperlink>
        </w:p>
        <w:p w14:paraId="3DACC749" w14:textId="66270EFE"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14" w:history="1">
            <w:r w:rsidR="00CB0AF9" w:rsidRPr="00CB0AF9">
              <w:rPr>
                <w:rStyle w:val="Hyperlink"/>
              </w:rPr>
              <w:t>5.3. Relevant Literature and Hypotheses Development</w:t>
            </w:r>
            <w:r w:rsidR="00CB0AF9" w:rsidRPr="00CB0AF9">
              <w:rPr>
                <w:webHidden/>
              </w:rPr>
              <w:tab/>
            </w:r>
            <w:r w:rsidR="00CB0AF9" w:rsidRPr="00CB0AF9">
              <w:rPr>
                <w:webHidden/>
              </w:rPr>
              <w:fldChar w:fldCharType="begin"/>
            </w:r>
            <w:r w:rsidR="00CB0AF9" w:rsidRPr="00CB0AF9">
              <w:rPr>
                <w:webHidden/>
              </w:rPr>
              <w:instrText xml:space="preserve"> PAGEREF _Toc145616214 \h </w:instrText>
            </w:r>
            <w:r w:rsidR="00CB0AF9" w:rsidRPr="00CB0AF9">
              <w:rPr>
                <w:webHidden/>
              </w:rPr>
            </w:r>
            <w:r w:rsidR="00CB0AF9" w:rsidRPr="00CB0AF9">
              <w:rPr>
                <w:webHidden/>
              </w:rPr>
              <w:fldChar w:fldCharType="separate"/>
            </w:r>
            <w:r w:rsidR="00006F3E">
              <w:rPr>
                <w:webHidden/>
              </w:rPr>
              <w:t>155</w:t>
            </w:r>
            <w:r w:rsidR="00CB0AF9" w:rsidRPr="00CB0AF9">
              <w:rPr>
                <w:webHidden/>
              </w:rPr>
              <w:fldChar w:fldCharType="end"/>
            </w:r>
          </w:hyperlink>
        </w:p>
        <w:p w14:paraId="28661237" w14:textId="48CD82FD"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15" w:history="1">
            <w:r w:rsidR="00CB0AF9" w:rsidRPr="00CB0AF9">
              <w:rPr>
                <w:rStyle w:val="Hyperlink"/>
              </w:rPr>
              <w:t>5.3.1. Gender Diversity and Bank Misconduct</w:t>
            </w:r>
            <w:r w:rsidR="00CB0AF9" w:rsidRPr="00CB0AF9">
              <w:rPr>
                <w:webHidden/>
              </w:rPr>
              <w:tab/>
            </w:r>
            <w:r w:rsidR="00CB0AF9" w:rsidRPr="00CB0AF9">
              <w:rPr>
                <w:webHidden/>
              </w:rPr>
              <w:fldChar w:fldCharType="begin"/>
            </w:r>
            <w:r w:rsidR="00CB0AF9" w:rsidRPr="00CB0AF9">
              <w:rPr>
                <w:webHidden/>
              </w:rPr>
              <w:instrText xml:space="preserve"> PAGEREF _Toc145616215 \h </w:instrText>
            </w:r>
            <w:r w:rsidR="00CB0AF9" w:rsidRPr="00CB0AF9">
              <w:rPr>
                <w:webHidden/>
              </w:rPr>
            </w:r>
            <w:r w:rsidR="00CB0AF9" w:rsidRPr="00CB0AF9">
              <w:rPr>
                <w:webHidden/>
              </w:rPr>
              <w:fldChar w:fldCharType="separate"/>
            </w:r>
            <w:r w:rsidR="00006F3E">
              <w:rPr>
                <w:webHidden/>
              </w:rPr>
              <w:t>157</w:t>
            </w:r>
            <w:r w:rsidR="00CB0AF9" w:rsidRPr="00CB0AF9">
              <w:rPr>
                <w:webHidden/>
              </w:rPr>
              <w:fldChar w:fldCharType="end"/>
            </w:r>
          </w:hyperlink>
        </w:p>
        <w:p w14:paraId="6ED58186" w14:textId="208ACF19"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16" w:history="1">
            <w:r w:rsidR="00CB0AF9" w:rsidRPr="00CB0AF9">
              <w:rPr>
                <w:rStyle w:val="Hyperlink"/>
              </w:rPr>
              <w:t>5.3.2 Financial Expertise and Bank Misconduct</w:t>
            </w:r>
            <w:r w:rsidR="00CB0AF9" w:rsidRPr="00CB0AF9">
              <w:rPr>
                <w:webHidden/>
              </w:rPr>
              <w:tab/>
            </w:r>
            <w:r w:rsidR="00CB0AF9" w:rsidRPr="00CB0AF9">
              <w:rPr>
                <w:webHidden/>
              </w:rPr>
              <w:fldChar w:fldCharType="begin"/>
            </w:r>
            <w:r w:rsidR="00CB0AF9" w:rsidRPr="00CB0AF9">
              <w:rPr>
                <w:webHidden/>
              </w:rPr>
              <w:instrText xml:space="preserve"> PAGEREF _Toc145616216 \h </w:instrText>
            </w:r>
            <w:r w:rsidR="00CB0AF9" w:rsidRPr="00CB0AF9">
              <w:rPr>
                <w:webHidden/>
              </w:rPr>
            </w:r>
            <w:r w:rsidR="00CB0AF9" w:rsidRPr="00CB0AF9">
              <w:rPr>
                <w:webHidden/>
              </w:rPr>
              <w:fldChar w:fldCharType="separate"/>
            </w:r>
            <w:r w:rsidR="00006F3E">
              <w:rPr>
                <w:webHidden/>
              </w:rPr>
              <w:t>158</w:t>
            </w:r>
            <w:r w:rsidR="00CB0AF9" w:rsidRPr="00CB0AF9">
              <w:rPr>
                <w:webHidden/>
              </w:rPr>
              <w:fldChar w:fldCharType="end"/>
            </w:r>
          </w:hyperlink>
        </w:p>
        <w:p w14:paraId="0FD6DEB4" w14:textId="2A6676C5"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17" w:history="1">
            <w:r w:rsidR="00CB0AF9" w:rsidRPr="00CB0AF9">
              <w:rPr>
                <w:rStyle w:val="Hyperlink"/>
              </w:rPr>
              <w:t>5.3.3 Board Tenure and Bank Misconduct</w:t>
            </w:r>
            <w:r w:rsidR="00CB0AF9" w:rsidRPr="00CB0AF9">
              <w:rPr>
                <w:webHidden/>
              </w:rPr>
              <w:tab/>
            </w:r>
            <w:r w:rsidR="00CB0AF9" w:rsidRPr="00CB0AF9">
              <w:rPr>
                <w:webHidden/>
              </w:rPr>
              <w:fldChar w:fldCharType="begin"/>
            </w:r>
            <w:r w:rsidR="00CB0AF9" w:rsidRPr="00CB0AF9">
              <w:rPr>
                <w:webHidden/>
              </w:rPr>
              <w:instrText xml:space="preserve"> PAGEREF _Toc145616217 \h </w:instrText>
            </w:r>
            <w:r w:rsidR="00CB0AF9" w:rsidRPr="00CB0AF9">
              <w:rPr>
                <w:webHidden/>
              </w:rPr>
            </w:r>
            <w:r w:rsidR="00CB0AF9" w:rsidRPr="00CB0AF9">
              <w:rPr>
                <w:webHidden/>
              </w:rPr>
              <w:fldChar w:fldCharType="separate"/>
            </w:r>
            <w:r w:rsidR="00006F3E">
              <w:rPr>
                <w:webHidden/>
              </w:rPr>
              <w:t>159</w:t>
            </w:r>
            <w:r w:rsidR="00CB0AF9" w:rsidRPr="00CB0AF9">
              <w:rPr>
                <w:webHidden/>
              </w:rPr>
              <w:fldChar w:fldCharType="end"/>
            </w:r>
          </w:hyperlink>
        </w:p>
        <w:p w14:paraId="412A5DF5" w14:textId="16A5A812"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18" w:history="1">
            <w:r w:rsidR="00CB0AF9" w:rsidRPr="00CB0AF9">
              <w:rPr>
                <w:rStyle w:val="Hyperlink"/>
              </w:rPr>
              <w:t>5.4. Research Design</w:t>
            </w:r>
            <w:r w:rsidR="00CB0AF9" w:rsidRPr="00CB0AF9">
              <w:rPr>
                <w:webHidden/>
              </w:rPr>
              <w:tab/>
            </w:r>
            <w:r w:rsidR="00CB0AF9" w:rsidRPr="00CB0AF9">
              <w:rPr>
                <w:webHidden/>
              </w:rPr>
              <w:fldChar w:fldCharType="begin"/>
            </w:r>
            <w:r w:rsidR="00CB0AF9" w:rsidRPr="00CB0AF9">
              <w:rPr>
                <w:webHidden/>
              </w:rPr>
              <w:instrText xml:space="preserve"> PAGEREF _Toc145616218 \h </w:instrText>
            </w:r>
            <w:r w:rsidR="00CB0AF9" w:rsidRPr="00CB0AF9">
              <w:rPr>
                <w:webHidden/>
              </w:rPr>
            </w:r>
            <w:r w:rsidR="00CB0AF9" w:rsidRPr="00CB0AF9">
              <w:rPr>
                <w:webHidden/>
              </w:rPr>
              <w:fldChar w:fldCharType="separate"/>
            </w:r>
            <w:r w:rsidR="00006F3E">
              <w:rPr>
                <w:webHidden/>
              </w:rPr>
              <w:t>161</w:t>
            </w:r>
            <w:r w:rsidR="00CB0AF9" w:rsidRPr="00CB0AF9">
              <w:rPr>
                <w:webHidden/>
              </w:rPr>
              <w:fldChar w:fldCharType="end"/>
            </w:r>
          </w:hyperlink>
        </w:p>
        <w:p w14:paraId="11634D2F" w14:textId="1E91FD71"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19" w:history="1">
            <w:r w:rsidR="00CB0AF9" w:rsidRPr="00CB0AF9">
              <w:rPr>
                <w:rStyle w:val="Hyperlink"/>
              </w:rPr>
              <w:t>5.4.1 Data and sample selection</w:t>
            </w:r>
            <w:r w:rsidR="00CB0AF9" w:rsidRPr="00CB0AF9">
              <w:rPr>
                <w:webHidden/>
              </w:rPr>
              <w:tab/>
            </w:r>
            <w:r w:rsidR="00CB0AF9" w:rsidRPr="00CB0AF9">
              <w:rPr>
                <w:webHidden/>
              </w:rPr>
              <w:fldChar w:fldCharType="begin"/>
            </w:r>
            <w:r w:rsidR="00CB0AF9" w:rsidRPr="00CB0AF9">
              <w:rPr>
                <w:webHidden/>
              </w:rPr>
              <w:instrText xml:space="preserve"> PAGEREF _Toc145616219 \h </w:instrText>
            </w:r>
            <w:r w:rsidR="00CB0AF9" w:rsidRPr="00CB0AF9">
              <w:rPr>
                <w:webHidden/>
              </w:rPr>
            </w:r>
            <w:r w:rsidR="00CB0AF9" w:rsidRPr="00CB0AF9">
              <w:rPr>
                <w:webHidden/>
              </w:rPr>
              <w:fldChar w:fldCharType="separate"/>
            </w:r>
            <w:r w:rsidR="00006F3E">
              <w:rPr>
                <w:webHidden/>
              </w:rPr>
              <w:t>161</w:t>
            </w:r>
            <w:r w:rsidR="00CB0AF9" w:rsidRPr="00CB0AF9">
              <w:rPr>
                <w:webHidden/>
              </w:rPr>
              <w:fldChar w:fldCharType="end"/>
            </w:r>
          </w:hyperlink>
        </w:p>
        <w:p w14:paraId="2994BB00" w14:textId="46228731"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20" w:history="1">
            <w:r w:rsidR="00CB0AF9" w:rsidRPr="00CB0AF9">
              <w:rPr>
                <w:rStyle w:val="Hyperlink"/>
              </w:rPr>
              <w:t>5.4.2 Methodology</w:t>
            </w:r>
            <w:r w:rsidR="00CB0AF9" w:rsidRPr="00CB0AF9">
              <w:rPr>
                <w:webHidden/>
              </w:rPr>
              <w:tab/>
            </w:r>
            <w:r w:rsidR="00CB0AF9" w:rsidRPr="00CB0AF9">
              <w:rPr>
                <w:webHidden/>
              </w:rPr>
              <w:fldChar w:fldCharType="begin"/>
            </w:r>
            <w:r w:rsidR="00CB0AF9" w:rsidRPr="00CB0AF9">
              <w:rPr>
                <w:webHidden/>
              </w:rPr>
              <w:instrText xml:space="preserve"> PAGEREF _Toc145616220 \h </w:instrText>
            </w:r>
            <w:r w:rsidR="00CB0AF9" w:rsidRPr="00CB0AF9">
              <w:rPr>
                <w:webHidden/>
              </w:rPr>
            </w:r>
            <w:r w:rsidR="00CB0AF9" w:rsidRPr="00CB0AF9">
              <w:rPr>
                <w:webHidden/>
              </w:rPr>
              <w:fldChar w:fldCharType="separate"/>
            </w:r>
            <w:r w:rsidR="00006F3E">
              <w:rPr>
                <w:webHidden/>
              </w:rPr>
              <w:t>162</w:t>
            </w:r>
            <w:r w:rsidR="00CB0AF9" w:rsidRPr="00CB0AF9">
              <w:rPr>
                <w:webHidden/>
              </w:rPr>
              <w:fldChar w:fldCharType="end"/>
            </w:r>
          </w:hyperlink>
        </w:p>
        <w:p w14:paraId="49D6A7F2" w14:textId="7F24BEA2"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21" w:history="1">
            <w:r w:rsidR="00CB0AF9" w:rsidRPr="00CB0AF9">
              <w:rPr>
                <w:rStyle w:val="Hyperlink"/>
              </w:rPr>
              <w:t>5.5. Empirical Analysis</w:t>
            </w:r>
            <w:r w:rsidR="00CB0AF9" w:rsidRPr="00CB0AF9">
              <w:rPr>
                <w:webHidden/>
              </w:rPr>
              <w:tab/>
            </w:r>
            <w:r w:rsidR="00CB0AF9" w:rsidRPr="00CB0AF9">
              <w:rPr>
                <w:webHidden/>
              </w:rPr>
              <w:fldChar w:fldCharType="begin"/>
            </w:r>
            <w:r w:rsidR="00CB0AF9" w:rsidRPr="00CB0AF9">
              <w:rPr>
                <w:webHidden/>
              </w:rPr>
              <w:instrText xml:space="preserve"> PAGEREF _Toc145616221 \h </w:instrText>
            </w:r>
            <w:r w:rsidR="00CB0AF9" w:rsidRPr="00CB0AF9">
              <w:rPr>
                <w:webHidden/>
              </w:rPr>
            </w:r>
            <w:r w:rsidR="00CB0AF9" w:rsidRPr="00CB0AF9">
              <w:rPr>
                <w:webHidden/>
              </w:rPr>
              <w:fldChar w:fldCharType="separate"/>
            </w:r>
            <w:r w:rsidR="00006F3E">
              <w:rPr>
                <w:webHidden/>
              </w:rPr>
              <w:t>166</w:t>
            </w:r>
            <w:r w:rsidR="00CB0AF9" w:rsidRPr="00CB0AF9">
              <w:rPr>
                <w:webHidden/>
              </w:rPr>
              <w:fldChar w:fldCharType="end"/>
            </w:r>
          </w:hyperlink>
        </w:p>
        <w:p w14:paraId="4AF5CA8D" w14:textId="374D37E8"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22" w:history="1">
            <w:r w:rsidR="00CB0AF9" w:rsidRPr="00CB0AF9">
              <w:rPr>
                <w:rStyle w:val="Hyperlink"/>
              </w:rPr>
              <w:t>5.5.1 Heterogeneity in the Independent Director Attributes and Bank Misconduct – Baseline Results</w:t>
            </w:r>
            <w:r w:rsidR="00CB0AF9" w:rsidRPr="00CB0AF9">
              <w:rPr>
                <w:webHidden/>
              </w:rPr>
              <w:tab/>
            </w:r>
            <w:r w:rsidR="00CB0AF9" w:rsidRPr="00CB0AF9">
              <w:rPr>
                <w:webHidden/>
              </w:rPr>
              <w:fldChar w:fldCharType="begin"/>
            </w:r>
            <w:r w:rsidR="00CB0AF9" w:rsidRPr="00CB0AF9">
              <w:rPr>
                <w:webHidden/>
              </w:rPr>
              <w:instrText xml:space="preserve"> PAGEREF _Toc145616222 \h </w:instrText>
            </w:r>
            <w:r w:rsidR="00CB0AF9" w:rsidRPr="00CB0AF9">
              <w:rPr>
                <w:webHidden/>
              </w:rPr>
            </w:r>
            <w:r w:rsidR="00CB0AF9" w:rsidRPr="00CB0AF9">
              <w:rPr>
                <w:webHidden/>
              </w:rPr>
              <w:fldChar w:fldCharType="separate"/>
            </w:r>
            <w:r w:rsidR="00006F3E">
              <w:rPr>
                <w:webHidden/>
              </w:rPr>
              <w:t>166</w:t>
            </w:r>
            <w:r w:rsidR="00CB0AF9" w:rsidRPr="00CB0AF9">
              <w:rPr>
                <w:webHidden/>
              </w:rPr>
              <w:fldChar w:fldCharType="end"/>
            </w:r>
          </w:hyperlink>
        </w:p>
        <w:p w14:paraId="526862AE" w14:textId="14A2E371"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23" w:history="1">
            <w:r w:rsidR="00CB0AF9" w:rsidRPr="00CB0AF9">
              <w:rPr>
                <w:rStyle w:val="Hyperlink"/>
              </w:rPr>
              <w:t>5.5.2 Endogeneity Concerns</w:t>
            </w:r>
            <w:r w:rsidR="00CB0AF9" w:rsidRPr="00CB0AF9">
              <w:rPr>
                <w:webHidden/>
              </w:rPr>
              <w:tab/>
            </w:r>
            <w:r w:rsidR="00CB0AF9" w:rsidRPr="00CB0AF9">
              <w:rPr>
                <w:webHidden/>
              </w:rPr>
              <w:fldChar w:fldCharType="begin"/>
            </w:r>
            <w:r w:rsidR="00CB0AF9" w:rsidRPr="00CB0AF9">
              <w:rPr>
                <w:webHidden/>
              </w:rPr>
              <w:instrText xml:space="preserve"> PAGEREF _Toc145616223 \h </w:instrText>
            </w:r>
            <w:r w:rsidR="00CB0AF9" w:rsidRPr="00CB0AF9">
              <w:rPr>
                <w:webHidden/>
              </w:rPr>
            </w:r>
            <w:r w:rsidR="00CB0AF9" w:rsidRPr="00CB0AF9">
              <w:rPr>
                <w:webHidden/>
              </w:rPr>
              <w:fldChar w:fldCharType="separate"/>
            </w:r>
            <w:r w:rsidR="00006F3E">
              <w:rPr>
                <w:webHidden/>
              </w:rPr>
              <w:t>169</w:t>
            </w:r>
            <w:r w:rsidR="00CB0AF9" w:rsidRPr="00CB0AF9">
              <w:rPr>
                <w:webHidden/>
              </w:rPr>
              <w:fldChar w:fldCharType="end"/>
            </w:r>
          </w:hyperlink>
        </w:p>
        <w:p w14:paraId="099E96CA" w14:textId="084BEA5B"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24" w:history="1">
            <w:r w:rsidR="00CB0AF9" w:rsidRPr="00CB0AF9">
              <w:rPr>
                <w:rStyle w:val="Hyperlink"/>
              </w:rPr>
              <w:t>5.5.3 Heterogeneity in the Attributes of Independent Non-Executive Directors (INEDs) and Bank Risk – Post-2009 Impact</w:t>
            </w:r>
            <w:r w:rsidR="00CB0AF9" w:rsidRPr="00CB0AF9">
              <w:rPr>
                <w:webHidden/>
              </w:rPr>
              <w:tab/>
            </w:r>
            <w:r w:rsidR="00CB0AF9" w:rsidRPr="00CB0AF9">
              <w:rPr>
                <w:webHidden/>
              </w:rPr>
              <w:fldChar w:fldCharType="begin"/>
            </w:r>
            <w:r w:rsidR="00CB0AF9" w:rsidRPr="00CB0AF9">
              <w:rPr>
                <w:webHidden/>
              </w:rPr>
              <w:instrText xml:space="preserve"> PAGEREF _Toc145616224 \h </w:instrText>
            </w:r>
            <w:r w:rsidR="00CB0AF9" w:rsidRPr="00CB0AF9">
              <w:rPr>
                <w:webHidden/>
              </w:rPr>
            </w:r>
            <w:r w:rsidR="00CB0AF9" w:rsidRPr="00CB0AF9">
              <w:rPr>
                <w:webHidden/>
              </w:rPr>
              <w:fldChar w:fldCharType="separate"/>
            </w:r>
            <w:r w:rsidR="00006F3E">
              <w:rPr>
                <w:webHidden/>
              </w:rPr>
              <w:t>171</w:t>
            </w:r>
            <w:r w:rsidR="00CB0AF9" w:rsidRPr="00CB0AF9">
              <w:rPr>
                <w:webHidden/>
              </w:rPr>
              <w:fldChar w:fldCharType="end"/>
            </w:r>
          </w:hyperlink>
        </w:p>
        <w:p w14:paraId="240B743D" w14:textId="5CF9EFB7"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25" w:history="1">
            <w:r w:rsidR="00CB0AF9" w:rsidRPr="00CB0AF9">
              <w:rPr>
                <w:rStyle w:val="Hyperlink"/>
              </w:rPr>
              <w:t>5.5.4 Channel Analysis</w:t>
            </w:r>
            <w:r w:rsidR="00CB0AF9" w:rsidRPr="00CB0AF9">
              <w:rPr>
                <w:webHidden/>
              </w:rPr>
              <w:tab/>
            </w:r>
            <w:r w:rsidR="00CB0AF9" w:rsidRPr="00CB0AF9">
              <w:rPr>
                <w:webHidden/>
              </w:rPr>
              <w:fldChar w:fldCharType="begin"/>
            </w:r>
            <w:r w:rsidR="00CB0AF9" w:rsidRPr="00CB0AF9">
              <w:rPr>
                <w:webHidden/>
              </w:rPr>
              <w:instrText xml:space="preserve"> PAGEREF _Toc145616225 \h </w:instrText>
            </w:r>
            <w:r w:rsidR="00CB0AF9" w:rsidRPr="00CB0AF9">
              <w:rPr>
                <w:webHidden/>
              </w:rPr>
            </w:r>
            <w:r w:rsidR="00CB0AF9" w:rsidRPr="00CB0AF9">
              <w:rPr>
                <w:webHidden/>
              </w:rPr>
              <w:fldChar w:fldCharType="separate"/>
            </w:r>
            <w:r w:rsidR="00006F3E">
              <w:rPr>
                <w:webHidden/>
              </w:rPr>
              <w:t>173</w:t>
            </w:r>
            <w:r w:rsidR="00CB0AF9" w:rsidRPr="00CB0AF9">
              <w:rPr>
                <w:webHidden/>
              </w:rPr>
              <w:fldChar w:fldCharType="end"/>
            </w:r>
          </w:hyperlink>
        </w:p>
        <w:p w14:paraId="66770C1E" w14:textId="3446DD27"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26" w:history="1">
            <w:r w:rsidR="00CB0AF9" w:rsidRPr="00CB0AF9">
              <w:rPr>
                <w:rStyle w:val="Hyperlink"/>
              </w:rPr>
              <w:t>5.6. Conclusion</w:t>
            </w:r>
            <w:r w:rsidR="00CB0AF9" w:rsidRPr="00CB0AF9">
              <w:rPr>
                <w:webHidden/>
              </w:rPr>
              <w:tab/>
            </w:r>
            <w:r w:rsidR="00CB0AF9" w:rsidRPr="00CB0AF9">
              <w:rPr>
                <w:webHidden/>
              </w:rPr>
              <w:fldChar w:fldCharType="begin"/>
            </w:r>
            <w:r w:rsidR="00CB0AF9" w:rsidRPr="00CB0AF9">
              <w:rPr>
                <w:webHidden/>
              </w:rPr>
              <w:instrText xml:space="preserve"> PAGEREF _Toc145616226 \h </w:instrText>
            </w:r>
            <w:r w:rsidR="00CB0AF9" w:rsidRPr="00CB0AF9">
              <w:rPr>
                <w:webHidden/>
              </w:rPr>
            </w:r>
            <w:r w:rsidR="00CB0AF9" w:rsidRPr="00CB0AF9">
              <w:rPr>
                <w:webHidden/>
              </w:rPr>
              <w:fldChar w:fldCharType="separate"/>
            </w:r>
            <w:r w:rsidR="00006F3E">
              <w:rPr>
                <w:webHidden/>
              </w:rPr>
              <w:t>176</w:t>
            </w:r>
            <w:r w:rsidR="00CB0AF9" w:rsidRPr="00CB0AF9">
              <w:rPr>
                <w:webHidden/>
              </w:rPr>
              <w:fldChar w:fldCharType="end"/>
            </w:r>
          </w:hyperlink>
        </w:p>
        <w:p w14:paraId="0018D170" w14:textId="40C6ADD0" w:rsidR="00CB0AF9" w:rsidRPr="00CB0AF9" w:rsidRDefault="00830E04">
          <w:pPr>
            <w:pStyle w:val="TOC1"/>
            <w:rPr>
              <w:rFonts w:asciiTheme="minorHAnsi" w:eastAsiaTheme="minorEastAsia" w:hAnsiTheme="minorHAnsi" w:cstheme="minorBidi"/>
              <w:smallCaps w:val="0"/>
              <w:kern w:val="2"/>
              <w:sz w:val="22"/>
              <w:szCs w:val="22"/>
              <w:lang w:eastAsia="en-GB"/>
              <w14:ligatures w14:val="standardContextual"/>
            </w:rPr>
          </w:pPr>
          <w:hyperlink w:anchor="_Toc145616227" w:history="1">
            <w:r w:rsidR="00CB0AF9" w:rsidRPr="00CB0AF9">
              <w:rPr>
                <w:rStyle w:val="Hyperlink"/>
                <w:lang w:eastAsia="en-GB"/>
              </w:rPr>
              <w:t>6.</w:t>
            </w:r>
            <w:r w:rsidR="00CB0AF9" w:rsidRPr="00CB0AF9">
              <w:rPr>
                <w:rFonts w:asciiTheme="minorHAnsi" w:eastAsiaTheme="minorEastAsia" w:hAnsiTheme="minorHAnsi" w:cstheme="minorBidi"/>
                <w:smallCaps w:val="0"/>
                <w:kern w:val="2"/>
                <w:sz w:val="22"/>
                <w:szCs w:val="22"/>
                <w:lang w:eastAsia="en-GB"/>
                <w14:ligatures w14:val="standardContextual"/>
              </w:rPr>
              <w:tab/>
            </w:r>
            <w:r w:rsidR="00CB0AF9" w:rsidRPr="00CB0AF9">
              <w:rPr>
                <w:rStyle w:val="Hyperlink"/>
                <w:lang w:eastAsia="en-GB"/>
              </w:rPr>
              <w:t>Conclusion</w:t>
            </w:r>
            <w:r w:rsidR="00CB0AF9" w:rsidRPr="00CB0AF9">
              <w:rPr>
                <w:webHidden/>
              </w:rPr>
              <w:tab/>
            </w:r>
            <w:r w:rsidR="00CB0AF9" w:rsidRPr="00CB0AF9">
              <w:rPr>
                <w:webHidden/>
              </w:rPr>
              <w:fldChar w:fldCharType="begin"/>
            </w:r>
            <w:r w:rsidR="00CB0AF9" w:rsidRPr="00CB0AF9">
              <w:rPr>
                <w:webHidden/>
              </w:rPr>
              <w:instrText xml:space="preserve"> PAGEREF _Toc145616227 \h </w:instrText>
            </w:r>
            <w:r w:rsidR="00CB0AF9" w:rsidRPr="00CB0AF9">
              <w:rPr>
                <w:webHidden/>
              </w:rPr>
            </w:r>
            <w:r w:rsidR="00CB0AF9" w:rsidRPr="00CB0AF9">
              <w:rPr>
                <w:webHidden/>
              </w:rPr>
              <w:fldChar w:fldCharType="separate"/>
            </w:r>
            <w:r w:rsidR="00006F3E">
              <w:rPr>
                <w:webHidden/>
              </w:rPr>
              <w:t>208</w:t>
            </w:r>
            <w:r w:rsidR="00CB0AF9" w:rsidRPr="00CB0AF9">
              <w:rPr>
                <w:webHidden/>
              </w:rPr>
              <w:fldChar w:fldCharType="end"/>
            </w:r>
          </w:hyperlink>
        </w:p>
        <w:p w14:paraId="532776CD" w14:textId="53EC49EF"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28" w:history="1">
            <w:r w:rsidR="00CB0AF9" w:rsidRPr="00CB0AF9">
              <w:rPr>
                <w:rStyle w:val="Hyperlink"/>
                <w:lang w:eastAsia="en-GB"/>
              </w:rPr>
              <w:t>6.1 Summary of the main findings</w:t>
            </w:r>
            <w:r w:rsidR="00CB0AF9" w:rsidRPr="00CB0AF9">
              <w:rPr>
                <w:webHidden/>
              </w:rPr>
              <w:tab/>
            </w:r>
            <w:r w:rsidR="00CB0AF9" w:rsidRPr="00CB0AF9">
              <w:rPr>
                <w:webHidden/>
              </w:rPr>
              <w:fldChar w:fldCharType="begin"/>
            </w:r>
            <w:r w:rsidR="00CB0AF9" w:rsidRPr="00CB0AF9">
              <w:rPr>
                <w:webHidden/>
              </w:rPr>
              <w:instrText xml:space="preserve"> PAGEREF _Toc145616228 \h </w:instrText>
            </w:r>
            <w:r w:rsidR="00CB0AF9" w:rsidRPr="00CB0AF9">
              <w:rPr>
                <w:webHidden/>
              </w:rPr>
            </w:r>
            <w:r w:rsidR="00CB0AF9" w:rsidRPr="00CB0AF9">
              <w:rPr>
                <w:webHidden/>
              </w:rPr>
              <w:fldChar w:fldCharType="separate"/>
            </w:r>
            <w:r w:rsidR="00006F3E">
              <w:rPr>
                <w:webHidden/>
              </w:rPr>
              <w:t>208</w:t>
            </w:r>
            <w:r w:rsidR="00CB0AF9" w:rsidRPr="00CB0AF9">
              <w:rPr>
                <w:webHidden/>
              </w:rPr>
              <w:fldChar w:fldCharType="end"/>
            </w:r>
          </w:hyperlink>
        </w:p>
        <w:p w14:paraId="2C056A65" w14:textId="0AA1B6B3" w:rsidR="00CB0AF9" w:rsidRP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29" w:history="1">
            <w:r w:rsidR="00CB0AF9" w:rsidRPr="00CB0AF9">
              <w:rPr>
                <w:rStyle w:val="Hyperlink"/>
              </w:rPr>
              <w:t>6.2. Contribution and Implication</w:t>
            </w:r>
            <w:r w:rsidR="00CB0AF9" w:rsidRPr="00CB0AF9">
              <w:rPr>
                <w:webHidden/>
              </w:rPr>
              <w:tab/>
            </w:r>
            <w:r w:rsidR="00CB0AF9" w:rsidRPr="00CB0AF9">
              <w:rPr>
                <w:webHidden/>
              </w:rPr>
              <w:fldChar w:fldCharType="begin"/>
            </w:r>
            <w:r w:rsidR="00CB0AF9" w:rsidRPr="00CB0AF9">
              <w:rPr>
                <w:webHidden/>
              </w:rPr>
              <w:instrText xml:space="preserve"> PAGEREF _Toc145616229 \h </w:instrText>
            </w:r>
            <w:r w:rsidR="00CB0AF9" w:rsidRPr="00CB0AF9">
              <w:rPr>
                <w:webHidden/>
              </w:rPr>
            </w:r>
            <w:r w:rsidR="00CB0AF9" w:rsidRPr="00CB0AF9">
              <w:rPr>
                <w:webHidden/>
              </w:rPr>
              <w:fldChar w:fldCharType="separate"/>
            </w:r>
            <w:r w:rsidR="00006F3E">
              <w:rPr>
                <w:webHidden/>
              </w:rPr>
              <w:t>217</w:t>
            </w:r>
            <w:r w:rsidR="00CB0AF9" w:rsidRPr="00CB0AF9">
              <w:rPr>
                <w:webHidden/>
              </w:rPr>
              <w:fldChar w:fldCharType="end"/>
            </w:r>
          </w:hyperlink>
        </w:p>
        <w:p w14:paraId="66CF7696" w14:textId="1C2A48C2"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30" w:history="1">
            <w:r w:rsidR="00CB0AF9" w:rsidRPr="00CB0AF9">
              <w:rPr>
                <w:rStyle w:val="Hyperlink"/>
              </w:rPr>
              <w:t>6.2.1. Chapter3</w:t>
            </w:r>
            <w:r w:rsidR="00CB0AF9" w:rsidRPr="00CB0AF9">
              <w:rPr>
                <w:webHidden/>
              </w:rPr>
              <w:tab/>
            </w:r>
            <w:r w:rsidR="00CB0AF9" w:rsidRPr="00CB0AF9">
              <w:rPr>
                <w:webHidden/>
              </w:rPr>
              <w:fldChar w:fldCharType="begin"/>
            </w:r>
            <w:r w:rsidR="00CB0AF9" w:rsidRPr="00CB0AF9">
              <w:rPr>
                <w:webHidden/>
              </w:rPr>
              <w:instrText xml:space="preserve"> PAGEREF _Toc145616230 \h </w:instrText>
            </w:r>
            <w:r w:rsidR="00CB0AF9" w:rsidRPr="00CB0AF9">
              <w:rPr>
                <w:webHidden/>
              </w:rPr>
            </w:r>
            <w:r w:rsidR="00CB0AF9" w:rsidRPr="00CB0AF9">
              <w:rPr>
                <w:webHidden/>
              </w:rPr>
              <w:fldChar w:fldCharType="separate"/>
            </w:r>
            <w:r w:rsidR="00006F3E">
              <w:rPr>
                <w:webHidden/>
              </w:rPr>
              <w:t>217</w:t>
            </w:r>
            <w:r w:rsidR="00CB0AF9" w:rsidRPr="00CB0AF9">
              <w:rPr>
                <w:webHidden/>
              </w:rPr>
              <w:fldChar w:fldCharType="end"/>
            </w:r>
          </w:hyperlink>
        </w:p>
        <w:p w14:paraId="400546C9" w14:textId="0788D74E"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31" w:history="1">
            <w:r w:rsidR="00CB0AF9" w:rsidRPr="00CB0AF9">
              <w:rPr>
                <w:rStyle w:val="Hyperlink"/>
              </w:rPr>
              <w:t>6.2.2. Chapter 4</w:t>
            </w:r>
            <w:r w:rsidR="00CB0AF9" w:rsidRPr="00CB0AF9">
              <w:rPr>
                <w:webHidden/>
              </w:rPr>
              <w:tab/>
            </w:r>
            <w:r w:rsidR="00CB0AF9" w:rsidRPr="00CB0AF9">
              <w:rPr>
                <w:webHidden/>
              </w:rPr>
              <w:fldChar w:fldCharType="begin"/>
            </w:r>
            <w:r w:rsidR="00CB0AF9" w:rsidRPr="00CB0AF9">
              <w:rPr>
                <w:webHidden/>
              </w:rPr>
              <w:instrText xml:space="preserve"> PAGEREF _Toc145616231 \h </w:instrText>
            </w:r>
            <w:r w:rsidR="00CB0AF9" w:rsidRPr="00CB0AF9">
              <w:rPr>
                <w:webHidden/>
              </w:rPr>
            </w:r>
            <w:r w:rsidR="00CB0AF9" w:rsidRPr="00CB0AF9">
              <w:rPr>
                <w:webHidden/>
              </w:rPr>
              <w:fldChar w:fldCharType="separate"/>
            </w:r>
            <w:r w:rsidR="00006F3E">
              <w:rPr>
                <w:webHidden/>
              </w:rPr>
              <w:t>219</w:t>
            </w:r>
            <w:r w:rsidR="00CB0AF9" w:rsidRPr="00CB0AF9">
              <w:rPr>
                <w:webHidden/>
              </w:rPr>
              <w:fldChar w:fldCharType="end"/>
            </w:r>
          </w:hyperlink>
        </w:p>
        <w:p w14:paraId="2579753F" w14:textId="76AD4C72" w:rsidR="00CB0AF9" w:rsidRPr="00CB0AF9" w:rsidRDefault="00830E04" w:rsidP="00CB0AF9">
          <w:pPr>
            <w:pStyle w:val="TOC3"/>
            <w:rPr>
              <w:rFonts w:asciiTheme="minorHAnsi" w:eastAsiaTheme="minorEastAsia" w:hAnsiTheme="minorHAnsi" w:cstheme="minorBidi"/>
              <w:kern w:val="2"/>
              <w:sz w:val="22"/>
              <w:szCs w:val="22"/>
              <w:lang w:eastAsia="en-GB"/>
              <w14:ligatures w14:val="standardContextual"/>
            </w:rPr>
          </w:pPr>
          <w:hyperlink w:anchor="_Toc145616232" w:history="1">
            <w:r w:rsidR="00CB0AF9" w:rsidRPr="00CB0AF9">
              <w:rPr>
                <w:rStyle w:val="Hyperlink"/>
              </w:rPr>
              <w:t>6.2.3. Chapter 5</w:t>
            </w:r>
            <w:r w:rsidR="00CB0AF9" w:rsidRPr="00CB0AF9">
              <w:rPr>
                <w:webHidden/>
              </w:rPr>
              <w:tab/>
            </w:r>
            <w:r w:rsidR="00CB0AF9" w:rsidRPr="00CB0AF9">
              <w:rPr>
                <w:webHidden/>
              </w:rPr>
              <w:fldChar w:fldCharType="begin"/>
            </w:r>
            <w:r w:rsidR="00CB0AF9" w:rsidRPr="00CB0AF9">
              <w:rPr>
                <w:webHidden/>
              </w:rPr>
              <w:instrText xml:space="preserve"> PAGEREF _Toc145616232 \h </w:instrText>
            </w:r>
            <w:r w:rsidR="00CB0AF9" w:rsidRPr="00CB0AF9">
              <w:rPr>
                <w:webHidden/>
              </w:rPr>
            </w:r>
            <w:r w:rsidR="00CB0AF9" w:rsidRPr="00CB0AF9">
              <w:rPr>
                <w:webHidden/>
              </w:rPr>
              <w:fldChar w:fldCharType="separate"/>
            </w:r>
            <w:r w:rsidR="00006F3E">
              <w:rPr>
                <w:webHidden/>
              </w:rPr>
              <w:t>220</w:t>
            </w:r>
            <w:r w:rsidR="00CB0AF9" w:rsidRPr="00CB0AF9">
              <w:rPr>
                <w:webHidden/>
              </w:rPr>
              <w:fldChar w:fldCharType="end"/>
            </w:r>
          </w:hyperlink>
        </w:p>
        <w:p w14:paraId="3F93BEC3" w14:textId="20B42319" w:rsidR="00CB0AF9" w:rsidRDefault="00830E04">
          <w:pPr>
            <w:pStyle w:val="TOC2"/>
            <w:rPr>
              <w:rFonts w:asciiTheme="minorHAnsi" w:eastAsiaTheme="minorEastAsia" w:hAnsiTheme="minorHAnsi" w:cstheme="minorBidi"/>
              <w:kern w:val="2"/>
              <w:sz w:val="22"/>
              <w:szCs w:val="22"/>
              <w:lang w:eastAsia="en-GB"/>
              <w14:ligatures w14:val="standardContextual"/>
            </w:rPr>
          </w:pPr>
          <w:hyperlink w:anchor="_Toc145616233" w:history="1">
            <w:r w:rsidR="00CB0AF9" w:rsidRPr="00CB0AF9">
              <w:rPr>
                <w:rStyle w:val="Hyperlink"/>
              </w:rPr>
              <w:t>6.3. Future Research</w:t>
            </w:r>
            <w:r w:rsidR="00CB0AF9" w:rsidRPr="00CB0AF9">
              <w:rPr>
                <w:webHidden/>
              </w:rPr>
              <w:tab/>
            </w:r>
            <w:r w:rsidR="00CB0AF9" w:rsidRPr="00CB0AF9">
              <w:rPr>
                <w:webHidden/>
              </w:rPr>
              <w:fldChar w:fldCharType="begin"/>
            </w:r>
            <w:r w:rsidR="00CB0AF9" w:rsidRPr="00CB0AF9">
              <w:rPr>
                <w:webHidden/>
              </w:rPr>
              <w:instrText xml:space="preserve"> PAGEREF _Toc145616233 \h </w:instrText>
            </w:r>
            <w:r w:rsidR="00CB0AF9" w:rsidRPr="00CB0AF9">
              <w:rPr>
                <w:webHidden/>
              </w:rPr>
            </w:r>
            <w:r w:rsidR="00CB0AF9" w:rsidRPr="00CB0AF9">
              <w:rPr>
                <w:webHidden/>
              </w:rPr>
              <w:fldChar w:fldCharType="separate"/>
            </w:r>
            <w:r w:rsidR="00006F3E">
              <w:rPr>
                <w:webHidden/>
              </w:rPr>
              <w:t>222</w:t>
            </w:r>
            <w:r w:rsidR="00CB0AF9" w:rsidRPr="00CB0AF9">
              <w:rPr>
                <w:webHidden/>
              </w:rPr>
              <w:fldChar w:fldCharType="end"/>
            </w:r>
          </w:hyperlink>
        </w:p>
        <w:p w14:paraId="5F7BE81F" w14:textId="220A269E" w:rsidR="000E5A33" w:rsidRDefault="000E5A33" w:rsidP="00DE7639">
          <w:pPr>
            <w:spacing w:line="360" w:lineRule="auto"/>
          </w:pPr>
          <w:r>
            <w:rPr>
              <w:b/>
              <w:bCs/>
              <w:noProof/>
            </w:rPr>
            <w:fldChar w:fldCharType="end"/>
          </w:r>
        </w:p>
      </w:sdtContent>
    </w:sdt>
    <w:p w14:paraId="35F83BEB" w14:textId="192CD8CE" w:rsidR="00CC629E" w:rsidRDefault="000E5A33" w:rsidP="00DE763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4A97EB00" w14:textId="77777777" w:rsidR="00CC629E" w:rsidRDefault="00CC629E">
      <w:pPr>
        <w:pStyle w:val="TableofFigures"/>
        <w:tabs>
          <w:tab w:val="right" w:leader="dot" w:pos="9465"/>
        </w:tabs>
        <w:rPr>
          <w:rFonts w:ascii="Times New Roman" w:hAnsi="Times New Roman" w:cs="Times New Roman"/>
          <w:sz w:val="24"/>
          <w:szCs w:val="24"/>
        </w:rPr>
      </w:pPr>
    </w:p>
    <w:p w14:paraId="68F65DB1" w14:textId="77777777" w:rsidR="00CC629E" w:rsidRDefault="00CC629E">
      <w:pPr>
        <w:pStyle w:val="TableofFigures"/>
        <w:tabs>
          <w:tab w:val="right" w:leader="dot" w:pos="9465"/>
        </w:tabs>
        <w:rPr>
          <w:rFonts w:ascii="Times New Roman" w:hAnsi="Times New Roman" w:cs="Times New Roman"/>
          <w:sz w:val="24"/>
          <w:szCs w:val="24"/>
        </w:rPr>
      </w:pPr>
    </w:p>
    <w:p w14:paraId="448BA5A3" w14:textId="77777777" w:rsidR="004D526B" w:rsidRPr="009E69CE" w:rsidRDefault="004D526B" w:rsidP="003C7A91">
      <w:pPr>
        <w:ind w:left="567"/>
        <w:rPr>
          <w:rFonts w:ascii="Times New Roman" w:hAnsi="Times New Roman" w:cs="Times New Roman"/>
          <w:i/>
          <w:iCs/>
          <w:sz w:val="24"/>
          <w:szCs w:val="24"/>
        </w:rPr>
      </w:pPr>
    </w:p>
    <w:p w14:paraId="55233D4B" w14:textId="77777777" w:rsidR="004D526B" w:rsidRDefault="004D526B" w:rsidP="003C7A91">
      <w:pPr>
        <w:ind w:left="567"/>
        <w:rPr>
          <w:rFonts w:ascii="Times New Roman" w:hAnsi="Times New Roman" w:cs="Times New Roman"/>
          <w:sz w:val="24"/>
          <w:szCs w:val="24"/>
        </w:rPr>
      </w:pPr>
    </w:p>
    <w:p w14:paraId="4F24C5F9" w14:textId="2B3F7AFD" w:rsidR="004E3535" w:rsidRDefault="004E3535" w:rsidP="00CC629E">
      <w:pPr>
        <w:pStyle w:val="Heading1"/>
      </w:pPr>
      <w:bookmarkStart w:id="5" w:name="_Toc145616157"/>
      <w:bookmarkStart w:id="6" w:name="_Hlk132316089"/>
      <w:r w:rsidRPr="009E69CE">
        <w:t>List of Tables</w:t>
      </w:r>
      <w:bookmarkEnd w:id="5"/>
    </w:p>
    <w:p w14:paraId="5402CA73" w14:textId="63FFAA91" w:rsidR="00EA5D4A" w:rsidRPr="00EA5D4A" w:rsidRDefault="00EA5D4A">
      <w:pPr>
        <w:pStyle w:val="TableofFigures"/>
        <w:tabs>
          <w:tab w:val="right" w:leader="dot" w:pos="9465"/>
        </w:tabs>
        <w:rPr>
          <w:rFonts w:ascii="Times New Roman" w:eastAsiaTheme="minorEastAsia" w:hAnsi="Times New Roman" w:cs="Times New Roman"/>
          <w:noProof/>
          <w:sz w:val="24"/>
          <w:szCs w:val="24"/>
          <w:lang w:eastAsia="en-GB"/>
        </w:rPr>
      </w:pPr>
      <w:r>
        <w:fldChar w:fldCharType="begin"/>
      </w:r>
      <w:r>
        <w:instrText xml:space="preserve"> TOC \h \z \c "Table" </w:instrText>
      </w:r>
      <w:r>
        <w:fldChar w:fldCharType="separate"/>
      </w:r>
      <w:hyperlink w:anchor="_Toc132437284" w:history="1">
        <w:r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1</w:t>
        </w:r>
        <w:r w:rsidRPr="00EA5D4A">
          <w:rPr>
            <w:rStyle w:val="Hyperlink"/>
            <w:rFonts w:ascii="Times New Roman" w:hAnsi="Times New Roman" w:cs="Times New Roman"/>
            <w:noProof/>
            <w:sz w:val="24"/>
            <w:szCs w:val="24"/>
          </w:rPr>
          <w:t>. Descriptive Statistics</w:t>
        </w:r>
        <w:r w:rsidRPr="00EA5D4A">
          <w:rPr>
            <w:rFonts w:ascii="Times New Roman" w:hAnsi="Times New Roman" w:cs="Times New Roman"/>
            <w:noProof/>
            <w:webHidden/>
            <w:sz w:val="24"/>
            <w:szCs w:val="24"/>
          </w:rPr>
          <w:tab/>
        </w:r>
        <w:r w:rsidRPr="00EA5D4A">
          <w:rPr>
            <w:rFonts w:ascii="Times New Roman" w:hAnsi="Times New Roman" w:cs="Times New Roman"/>
            <w:noProof/>
            <w:webHidden/>
            <w:sz w:val="24"/>
            <w:szCs w:val="24"/>
          </w:rPr>
          <w:fldChar w:fldCharType="begin"/>
        </w:r>
        <w:r w:rsidRPr="00EA5D4A">
          <w:rPr>
            <w:rFonts w:ascii="Times New Roman" w:hAnsi="Times New Roman" w:cs="Times New Roman"/>
            <w:noProof/>
            <w:webHidden/>
            <w:sz w:val="24"/>
            <w:szCs w:val="24"/>
          </w:rPr>
          <w:instrText xml:space="preserve"> PAGEREF _Toc132437284 \h </w:instrText>
        </w:r>
        <w:r w:rsidRPr="00EA5D4A">
          <w:rPr>
            <w:rFonts w:ascii="Times New Roman" w:hAnsi="Times New Roman" w:cs="Times New Roman"/>
            <w:noProof/>
            <w:webHidden/>
            <w:sz w:val="24"/>
            <w:szCs w:val="24"/>
          </w:rPr>
        </w:r>
        <w:r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70</w:t>
        </w:r>
        <w:r w:rsidRPr="00EA5D4A">
          <w:rPr>
            <w:rFonts w:ascii="Times New Roman" w:hAnsi="Times New Roman" w:cs="Times New Roman"/>
            <w:noProof/>
            <w:webHidden/>
            <w:sz w:val="24"/>
            <w:szCs w:val="24"/>
          </w:rPr>
          <w:fldChar w:fldCharType="end"/>
        </w:r>
      </w:hyperlink>
    </w:p>
    <w:p w14:paraId="0A1D7E70" w14:textId="36FA48AE"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85"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2</w:t>
        </w:r>
        <w:r w:rsidR="00EA5D4A" w:rsidRPr="00EA5D4A">
          <w:rPr>
            <w:rStyle w:val="Hyperlink"/>
            <w:rFonts w:ascii="Times New Roman" w:hAnsi="Times New Roman" w:cs="Times New Roman"/>
            <w:noProof/>
            <w:sz w:val="24"/>
            <w:szCs w:val="24"/>
          </w:rPr>
          <w:t>. Correlation Analysis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_Toc132437285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72</w:t>
        </w:r>
        <w:r w:rsidR="00EA5D4A" w:rsidRPr="00EA5D4A">
          <w:rPr>
            <w:rFonts w:ascii="Times New Roman" w:hAnsi="Times New Roman" w:cs="Times New Roman"/>
            <w:noProof/>
            <w:webHidden/>
            <w:sz w:val="24"/>
            <w:szCs w:val="24"/>
          </w:rPr>
          <w:fldChar w:fldCharType="end"/>
        </w:r>
      </w:hyperlink>
    </w:p>
    <w:p w14:paraId="28884E4E" w14:textId="6902C5C8"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86"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3</w:t>
        </w:r>
        <w:r w:rsidR="00EA5D4A" w:rsidRPr="00EA5D4A">
          <w:rPr>
            <w:rStyle w:val="Hyperlink"/>
            <w:rFonts w:ascii="Times New Roman" w:hAnsi="Times New Roman" w:cs="Times New Roman"/>
            <w:noProof/>
            <w:sz w:val="24"/>
            <w:szCs w:val="24"/>
          </w:rPr>
          <w:t>. Female CRO and Bank Risk -Base Line Estimation</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_Toc132437286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73</w:t>
        </w:r>
        <w:r w:rsidR="00EA5D4A" w:rsidRPr="00EA5D4A">
          <w:rPr>
            <w:rFonts w:ascii="Times New Roman" w:hAnsi="Times New Roman" w:cs="Times New Roman"/>
            <w:noProof/>
            <w:webHidden/>
            <w:sz w:val="24"/>
            <w:szCs w:val="24"/>
          </w:rPr>
          <w:fldChar w:fldCharType="end"/>
        </w:r>
      </w:hyperlink>
    </w:p>
    <w:p w14:paraId="1030C1FB" w14:textId="5040DC3F"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87"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4</w:t>
        </w:r>
        <w:r w:rsidR="00EA5D4A" w:rsidRPr="00EA5D4A">
          <w:rPr>
            <w:rStyle w:val="Hyperlink"/>
            <w:rFonts w:ascii="Times New Roman" w:hAnsi="Times New Roman" w:cs="Times New Roman"/>
            <w:noProof/>
            <w:sz w:val="24"/>
            <w:szCs w:val="24"/>
          </w:rPr>
          <w:t>. Female CRO and Moderating Role of Board Gender Diversity</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_Toc132437287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74</w:t>
        </w:r>
        <w:r w:rsidR="00EA5D4A" w:rsidRPr="00EA5D4A">
          <w:rPr>
            <w:rFonts w:ascii="Times New Roman" w:hAnsi="Times New Roman" w:cs="Times New Roman"/>
            <w:noProof/>
            <w:webHidden/>
            <w:sz w:val="24"/>
            <w:szCs w:val="24"/>
          </w:rPr>
          <w:fldChar w:fldCharType="end"/>
        </w:r>
      </w:hyperlink>
    </w:p>
    <w:p w14:paraId="398E8423" w14:textId="4A0F3552"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88" w:history="1">
        <w:r w:rsidR="00EA5D4A" w:rsidRPr="00EA5D4A">
          <w:rPr>
            <w:rStyle w:val="Hyperlink"/>
            <w:rFonts w:ascii="Times New Roman" w:hAnsi="Times New Roman" w:cs="Times New Roman"/>
            <w:noProof/>
            <w:sz w:val="24"/>
            <w:szCs w:val="24"/>
          </w:rPr>
          <w:t>Table 3.</w:t>
        </w:r>
        <w:r w:rsidR="008B4B1A">
          <w:rPr>
            <w:rStyle w:val="Hyperlink"/>
            <w:rFonts w:ascii="Times New Roman" w:hAnsi="Times New Roman" w:cs="Times New Roman"/>
            <w:noProof/>
            <w:sz w:val="24"/>
            <w:szCs w:val="24"/>
          </w:rPr>
          <w:t>5</w:t>
        </w:r>
        <w:r w:rsidR="00EA5D4A" w:rsidRPr="00EA5D4A">
          <w:rPr>
            <w:rStyle w:val="Hyperlink"/>
            <w:rFonts w:ascii="Times New Roman" w:hAnsi="Times New Roman" w:cs="Times New Roman"/>
            <w:noProof/>
            <w:sz w:val="24"/>
            <w:szCs w:val="24"/>
          </w:rPr>
          <w:t>. Female CRO and Moderating Role of Gender Diversity at Risk Committee</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_Toc132437288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75</w:t>
        </w:r>
        <w:r w:rsidR="00EA5D4A" w:rsidRPr="00EA5D4A">
          <w:rPr>
            <w:rFonts w:ascii="Times New Roman" w:hAnsi="Times New Roman" w:cs="Times New Roman"/>
            <w:noProof/>
            <w:webHidden/>
            <w:sz w:val="24"/>
            <w:szCs w:val="24"/>
          </w:rPr>
          <w:fldChar w:fldCharType="end"/>
        </w:r>
      </w:hyperlink>
    </w:p>
    <w:p w14:paraId="2B701745" w14:textId="19C0E3B5"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89"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6</w:t>
        </w:r>
        <w:r w:rsidR="00EA5D4A" w:rsidRPr="00EA5D4A">
          <w:rPr>
            <w:rStyle w:val="Hyperlink"/>
            <w:rFonts w:ascii="Times New Roman" w:hAnsi="Times New Roman" w:cs="Times New Roman"/>
            <w:noProof/>
            <w:sz w:val="24"/>
            <w:szCs w:val="24"/>
          </w:rPr>
          <w:t>. Female CRO and Moderating Role of CRO Reporting Line</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_Toc132437289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76</w:t>
        </w:r>
        <w:r w:rsidR="00EA5D4A" w:rsidRPr="00EA5D4A">
          <w:rPr>
            <w:rFonts w:ascii="Times New Roman" w:hAnsi="Times New Roman" w:cs="Times New Roman"/>
            <w:noProof/>
            <w:webHidden/>
            <w:sz w:val="24"/>
            <w:szCs w:val="24"/>
          </w:rPr>
          <w:fldChar w:fldCharType="end"/>
        </w:r>
      </w:hyperlink>
    </w:p>
    <w:p w14:paraId="063982C5" w14:textId="5E9AEE98"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0" w:history="1">
        <w:r w:rsidR="00EA5D4A" w:rsidRPr="00EA5D4A">
          <w:rPr>
            <w:rStyle w:val="Hyperlink"/>
            <w:rFonts w:ascii="Times New Roman" w:hAnsi="Times New Roman" w:cs="Times New Roman"/>
            <w:noProof/>
            <w:sz w:val="24"/>
            <w:szCs w:val="24"/>
          </w:rPr>
          <w:t>Table 3.</w:t>
        </w:r>
        <w:r w:rsidR="008B4B1A">
          <w:rPr>
            <w:rStyle w:val="Hyperlink"/>
            <w:rFonts w:ascii="Times New Roman" w:hAnsi="Times New Roman" w:cs="Times New Roman"/>
            <w:noProof/>
            <w:sz w:val="24"/>
            <w:szCs w:val="24"/>
          </w:rPr>
          <w:t>7</w:t>
        </w:r>
        <w:r w:rsidR="00EA5D4A" w:rsidRPr="00EA5D4A">
          <w:rPr>
            <w:rStyle w:val="Hyperlink"/>
            <w:rFonts w:ascii="Times New Roman" w:hAnsi="Times New Roman" w:cs="Times New Roman"/>
            <w:noProof/>
            <w:sz w:val="24"/>
            <w:szCs w:val="24"/>
          </w:rPr>
          <w:t>. Regression Estimates Using a Two-Stage Instrumental Variable (IV) Model</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_Toc132437290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77</w:t>
        </w:r>
        <w:r w:rsidR="00EA5D4A" w:rsidRPr="00EA5D4A">
          <w:rPr>
            <w:rFonts w:ascii="Times New Roman" w:hAnsi="Times New Roman" w:cs="Times New Roman"/>
            <w:noProof/>
            <w:webHidden/>
            <w:sz w:val="24"/>
            <w:szCs w:val="24"/>
          </w:rPr>
          <w:fldChar w:fldCharType="end"/>
        </w:r>
      </w:hyperlink>
    </w:p>
    <w:p w14:paraId="675A64BB" w14:textId="015D5148"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1"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8</w:t>
        </w:r>
        <w:r w:rsidR="00EA5D4A" w:rsidRPr="00EA5D4A">
          <w:rPr>
            <w:rStyle w:val="Hyperlink"/>
            <w:rFonts w:ascii="Times New Roman" w:hAnsi="Times New Roman" w:cs="Times New Roman"/>
            <w:noProof/>
            <w:sz w:val="24"/>
            <w:szCs w:val="24"/>
          </w:rPr>
          <w:t>. Table for Propensity Score Matching</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_Toc132437291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78</w:t>
        </w:r>
        <w:r w:rsidR="00EA5D4A" w:rsidRPr="00EA5D4A">
          <w:rPr>
            <w:rFonts w:ascii="Times New Roman" w:hAnsi="Times New Roman" w:cs="Times New Roman"/>
            <w:noProof/>
            <w:webHidden/>
            <w:sz w:val="24"/>
            <w:szCs w:val="24"/>
          </w:rPr>
          <w:fldChar w:fldCharType="end"/>
        </w:r>
      </w:hyperlink>
    </w:p>
    <w:p w14:paraId="11D7375F" w14:textId="55F3D306"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2"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3.</w:t>
        </w:r>
        <w:r w:rsidR="008B4B1A">
          <w:rPr>
            <w:rStyle w:val="Hyperlink"/>
            <w:rFonts w:ascii="Times New Roman" w:hAnsi="Times New Roman" w:cs="Times New Roman"/>
            <w:noProof/>
            <w:sz w:val="24"/>
            <w:szCs w:val="24"/>
          </w:rPr>
          <w:t>9</w:t>
        </w:r>
        <w:r w:rsidR="00EA5D4A" w:rsidRPr="00EA5D4A">
          <w:rPr>
            <w:rStyle w:val="Hyperlink"/>
            <w:rFonts w:ascii="Times New Roman" w:hAnsi="Times New Roman" w:cs="Times New Roman"/>
            <w:noProof/>
            <w:sz w:val="24"/>
            <w:szCs w:val="24"/>
          </w:rPr>
          <w:t>. Robustness Check</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_Toc132437292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80</w:t>
        </w:r>
        <w:r w:rsidR="00EA5D4A" w:rsidRPr="00EA5D4A">
          <w:rPr>
            <w:rFonts w:ascii="Times New Roman" w:hAnsi="Times New Roman" w:cs="Times New Roman"/>
            <w:noProof/>
            <w:webHidden/>
            <w:sz w:val="24"/>
            <w:szCs w:val="24"/>
          </w:rPr>
          <w:fldChar w:fldCharType="end"/>
        </w:r>
      </w:hyperlink>
    </w:p>
    <w:p w14:paraId="0873FE66" w14:textId="69FAB080"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3" w:history="1">
        <w:r w:rsidR="00EA5D4A" w:rsidRPr="00EA5D4A">
          <w:rPr>
            <w:rStyle w:val="Hyperlink"/>
            <w:rFonts w:ascii="Times New Roman" w:hAnsi="Times New Roman" w:cs="Times New Roman"/>
            <w:noProof/>
            <w:sz w:val="24"/>
            <w:szCs w:val="24"/>
          </w:rPr>
          <w:t>Table 3.1</w:t>
        </w:r>
        <w:r w:rsidR="008B4B1A">
          <w:rPr>
            <w:rStyle w:val="Hyperlink"/>
            <w:rFonts w:ascii="Times New Roman" w:hAnsi="Times New Roman" w:cs="Times New Roman"/>
            <w:noProof/>
            <w:sz w:val="24"/>
            <w:szCs w:val="24"/>
          </w:rPr>
          <w:t>0</w:t>
        </w:r>
        <w:r w:rsidR="00EA5D4A" w:rsidRPr="00EA5D4A">
          <w:rPr>
            <w:rStyle w:val="Hyperlink"/>
            <w:rFonts w:ascii="Times New Roman" w:hAnsi="Times New Roman" w:cs="Times New Roman"/>
            <w:noProof/>
            <w:sz w:val="24"/>
            <w:szCs w:val="24"/>
          </w:rPr>
          <w:t xml:space="preserve">. </w:t>
        </w:r>
        <w:r w:rsidR="005B1257" w:rsidRPr="00006F3E">
          <w:rPr>
            <w:rStyle w:val="Hyperlink"/>
            <w:rFonts w:ascii="Times New Roman" w:hAnsi="Times New Roman" w:cs="Times New Roman"/>
            <w:noProof/>
            <w:sz w:val="24"/>
            <w:szCs w:val="24"/>
          </w:rPr>
          <w:t>Female CRO and Bank Risk: Post 2009 Impact</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_Toc132437293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81</w:t>
        </w:r>
        <w:r w:rsidR="00EA5D4A" w:rsidRPr="00EA5D4A">
          <w:rPr>
            <w:rFonts w:ascii="Times New Roman" w:hAnsi="Times New Roman" w:cs="Times New Roman"/>
            <w:noProof/>
            <w:webHidden/>
            <w:sz w:val="24"/>
            <w:szCs w:val="24"/>
          </w:rPr>
          <w:fldChar w:fldCharType="end"/>
        </w:r>
      </w:hyperlink>
    </w:p>
    <w:p w14:paraId="64F33C16" w14:textId="247A8CC8"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4"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4.1. Descriptive Statistics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_Toc132437294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129</w:t>
        </w:r>
        <w:r w:rsidR="00EA5D4A" w:rsidRPr="00EA5D4A">
          <w:rPr>
            <w:rFonts w:ascii="Times New Roman" w:hAnsi="Times New Roman" w:cs="Times New Roman"/>
            <w:noProof/>
            <w:webHidden/>
            <w:sz w:val="24"/>
            <w:szCs w:val="24"/>
          </w:rPr>
          <w:fldChar w:fldCharType="end"/>
        </w:r>
      </w:hyperlink>
    </w:p>
    <w:p w14:paraId="6254F833" w14:textId="65BBD7D3"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5"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4.</w:t>
        </w:r>
        <w:r w:rsidR="008B4B1A">
          <w:rPr>
            <w:rStyle w:val="Hyperlink"/>
            <w:rFonts w:ascii="Times New Roman" w:hAnsi="Times New Roman" w:cs="Times New Roman"/>
            <w:noProof/>
            <w:sz w:val="24"/>
            <w:szCs w:val="24"/>
          </w:rPr>
          <w:t>2</w:t>
        </w:r>
        <w:r w:rsidR="00EA5D4A" w:rsidRPr="00EA5D4A">
          <w:rPr>
            <w:rStyle w:val="Hyperlink"/>
            <w:rFonts w:ascii="Times New Roman" w:hAnsi="Times New Roman" w:cs="Times New Roman"/>
            <w:noProof/>
            <w:sz w:val="24"/>
            <w:szCs w:val="24"/>
          </w:rPr>
          <w:t>. Correlation Matrix</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_Toc132437295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132</w:t>
        </w:r>
        <w:r w:rsidR="00EA5D4A" w:rsidRPr="00EA5D4A">
          <w:rPr>
            <w:rFonts w:ascii="Times New Roman" w:hAnsi="Times New Roman" w:cs="Times New Roman"/>
            <w:noProof/>
            <w:webHidden/>
            <w:sz w:val="24"/>
            <w:szCs w:val="24"/>
          </w:rPr>
          <w:fldChar w:fldCharType="end"/>
        </w:r>
      </w:hyperlink>
    </w:p>
    <w:p w14:paraId="70C29F0E" w14:textId="0F086F83"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6" w:history="1">
        <w:r w:rsidR="00EA5D4A" w:rsidRPr="00EA5D4A">
          <w:rPr>
            <w:rStyle w:val="Hyperlink"/>
            <w:rFonts w:ascii="Times New Roman" w:eastAsia="DengXian" w:hAnsi="Times New Roman" w:cs="Times New Roman"/>
            <w:noProof/>
            <w:sz w:val="24"/>
            <w:szCs w:val="24"/>
            <w:lang w:eastAsia="zh-CN"/>
          </w:rPr>
          <w:t>Table 4.</w:t>
        </w:r>
        <w:r w:rsidR="008B4B1A">
          <w:rPr>
            <w:rStyle w:val="Hyperlink"/>
            <w:rFonts w:ascii="Times New Roman" w:eastAsia="DengXian" w:hAnsi="Times New Roman" w:cs="Times New Roman"/>
            <w:noProof/>
            <w:sz w:val="24"/>
            <w:szCs w:val="24"/>
            <w:lang w:eastAsia="zh-CN"/>
          </w:rPr>
          <w:t>3</w:t>
        </w:r>
        <w:r w:rsidR="00EA5D4A" w:rsidRPr="00EA5D4A">
          <w:rPr>
            <w:rStyle w:val="Hyperlink"/>
            <w:rFonts w:ascii="Times New Roman" w:eastAsia="DengXian" w:hAnsi="Times New Roman" w:cs="Times New Roman"/>
            <w:noProof/>
            <w:sz w:val="24"/>
            <w:szCs w:val="24"/>
            <w:lang w:eastAsia="zh-CN"/>
          </w:rPr>
          <w:t>. Univariate Analysis Based on Board Gender Diversity</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_Toc132437296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133</w:t>
        </w:r>
        <w:r w:rsidR="00EA5D4A" w:rsidRPr="00EA5D4A">
          <w:rPr>
            <w:rFonts w:ascii="Times New Roman" w:hAnsi="Times New Roman" w:cs="Times New Roman"/>
            <w:noProof/>
            <w:webHidden/>
            <w:sz w:val="24"/>
            <w:szCs w:val="24"/>
          </w:rPr>
          <w:fldChar w:fldCharType="end"/>
        </w:r>
      </w:hyperlink>
    </w:p>
    <w:p w14:paraId="755CD6D1" w14:textId="1CE15020"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7" w:history="1">
        <w:r w:rsidR="00EA5D4A" w:rsidRPr="00EA5D4A">
          <w:rPr>
            <w:rStyle w:val="Hyperlink"/>
            <w:rFonts w:ascii="Times New Roman" w:hAnsi="Times New Roman" w:cs="Times New Roman"/>
            <w:noProof/>
            <w:sz w:val="24"/>
            <w:szCs w:val="24"/>
          </w:rPr>
          <w:t>Table 4.</w:t>
        </w:r>
        <w:r w:rsidR="008B4B1A">
          <w:rPr>
            <w:rStyle w:val="Hyperlink"/>
            <w:rFonts w:ascii="Times New Roman" w:hAnsi="Times New Roman" w:cs="Times New Roman"/>
            <w:noProof/>
            <w:sz w:val="24"/>
            <w:szCs w:val="24"/>
          </w:rPr>
          <w:t>4</w:t>
        </w:r>
        <w:r w:rsidR="00EA5D4A" w:rsidRPr="00EA5D4A">
          <w:rPr>
            <w:rStyle w:val="Hyperlink"/>
            <w:rFonts w:ascii="Times New Roman" w:hAnsi="Times New Roman" w:cs="Times New Roman"/>
            <w:noProof/>
            <w:sz w:val="24"/>
            <w:szCs w:val="24"/>
          </w:rPr>
          <w:t>. Bank Risk, Risk Culture and Board Gender Diversity</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_Toc132437297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134</w:t>
        </w:r>
        <w:r w:rsidR="00EA5D4A" w:rsidRPr="00EA5D4A">
          <w:rPr>
            <w:rFonts w:ascii="Times New Roman" w:hAnsi="Times New Roman" w:cs="Times New Roman"/>
            <w:noProof/>
            <w:webHidden/>
            <w:sz w:val="24"/>
            <w:szCs w:val="24"/>
          </w:rPr>
          <w:fldChar w:fldCharType="end"/>
        </w:r>
      </w:hyperlink>
    </w:p>
    <w:p w14:paraId="05A9FE26" w14:textId="3DE76DFF"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8" w:history="1">
        <w:r w:rsidR="00EA5D4A" w:rsidRPr="00EA5D4A">
          <w:rPr>
            <w:rStyle w:val="Hyperlink"/>
            <w:rFonts w:ascii="Times New Roman" w:eastAsia="DengXian" w:hAnsi="Times New Roman" w:cs="Times New Roman"/>
            <w:noProof/>
            <w:sz w:val="24"/>
            <w:szCs w:val="24"/>
            <w:lang w:eastAsia="zh-CN"/>
          </w:rPr>
          <w:t>Table</w:t>
        </w:r>
        <w:r w:rsidR="00D07445">
          <w:rPr>
            <w:rStyle w:val="Hyperlink"/>
            <w:rFonts w:ascii="Times New Roman" w:eastAsia="DengXian" w:hAnsi="Times New Roman" w:cs="Times New Roman"/>
            <w:noProof/>
            <w:sz w:val="24"/>
            <w:szCs w:val="24"/>
            <w:lang w:eastAsia="zh-CN"/>
          </w:rPr>
          <w:t xml:space="preserve"> </w:t>
        </w:r>
        <w:r w:rsidR="00EA5D4A" w:rsidRPr="00EA5D4A">
          <w:rPr>
            <w:rStyle w:val="Hyperlink"/>
            <w:rFonts w:ascii="Times New Roman" w:eastAsia="DengXian" w:hAnsi="Times New Roman" w:cs="Times New Roman"/>
            <w:noProof/>
            <w:sz w:val="24"/>
            <w:szCs w:val="24"/>
            <w:lang w:eastAsia="zh-CN"/>
          </w:rPr>
          <w:t>4.</w:t>
        </w:r>
        <w:r w:rsidR="008B4B1A">
          <w:rPr>
            <w:rStyle w:val="Hyperlink"/>
            <w:rFonts w:ascii="Times New Roman" w:eastAsia="DengXian" w:hAnsi="Times New Roman" w:cs="Times New Roman"/>
            <w:noProof/>
            <w:sz w:val="24"/>
            <w:szCs w:val="24"/>
            <w:lang w:eastAsia="zh-CN"/>
          </w:rPr>
          <w:t>5</w:t>
        </w:r>
        <w:r w:rsidR="00EA5D4A" w:rsidRPr="00EA5D4A">
          <w:rPr>
            <w:rStyle w:val="Hyperlink"/>
            <w:rFonts w:ascii="Times New Roman" w:eastAsia="DengXian" w:hAnsi="Times New Roman" w:cs="Times New Roman"/>
            <w:noProof/>
            <w:sz w:val="24"/>
            <w:szCs w:val="24"/>
            <w:lang w:eastAsia="zh-CN"/>
          </w:rPr>
          <w:t>. Board Gender Diversity, Risk Culture and Bank Risk- Critical Mass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_Toc132437298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135</w:t>
        </w:r>
        <w:r w:rsidR="00EA5D4A" w:rsidRPr="00EA5D4A">
          <w:rPr>
            <w:rFonts w:ascii="Times New Roman" w:hAnsi="Times New Roman" w:cs="Times New Roman"/>
            <w:noProof/>
            <w:webHidden/>
            <w:sz w:val="24"/>
            <w:szCs w:val="24"/>
          </w:rPr>
          <w:fldChar w:fldCharType="end"/>
        </w:r>
      </w:hyperlink>
    </w:p>
    <w:p w14:paraId="6587B2C5" w14:textId="5B6FF106"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299" w:history="1">
        <w:r w:rsidR="00EA5D4A" w:rsidRPr="00EA5D4A">
          <w:rPr>
            <w:rStyle w:val="Hyperlink"/>
            <w:rFonts w:ascii="Times New Roman" w:hAnsi="Times New Roman" w:cs="Times New Roman"/>
            <w:noProof/>
            <w:sz w:val="24"/>
            <w:szCs w:val="24"/>
          </w:rPr>
          <w:t>Table 4.</w:t>
        </w:r>
        <w:r w:rsidR="008B4B1A">
          <w:rPr>
            <w:rStyle w:val="Hyperlink"/>
            <w:rFonts w:ascii="Times New Roman" w:hAnsi="Times New Roman" w:cs="Times New Roman"/>
            <w:noProof/>
            <w:sz w:val="24"/>
            <w:szCs w:val="24"/>
          </w:rPr>
          <w:t>6</w:t>
        </w:r>
        <w:r w:rsidR="00EA5D4A" w:rsidRPr="00EA5D4A">
          <w:rPr>
            <w:rStyle w:val="Hyperlink"/>
            <w:rFonts w:ascii="Times New Roman" w:hAnsi="Times New Roman" w:cs="Times New Roman"/>
            <w:noProof/>
            <w:sz w:val="24"/>
            <w:szCs w:val="24"/>
          </w:rPr>
          <w:t xml:space="preserve"> Board Gender Diversity, Risk Culture and Bank Risk-Supportive Environment</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_Toc132437299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136</w:t>
        </w:r>
        <w:r w:rsidR="00EA5D4A" w:rsidRPr="00EA5D4A">
          <w:rPr>
            <w:rFonts w:ascii="Times New Roman" w:hAnsi="Times New Roman" w:cs="Times New Roman"/>
            <w:noProof/>
            <w:webHidden/>
            <w:sz w:val="24"/>
            <w:szCs w:val="24"/>
          </w:rPr>
          <w:fldChar w:fldCharType="end"/>
        </w:r>
      </w:hyperlink>
    </w:p>
    <w:p w14:paraId="21E22DE6" w14:textId="3A9C70A0"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0"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4.</w:t>
        </w:r>
        <w:r w:rsidR="008B4B1A">
          <w:rPr>
            <w:rStyle w:val="Hyperlink"/>
            <w:rFonts w:ascii="Times New Roman" w:hAnsi="Times New Roman" w:cs="Times New Roman"/>
            <w:noProof/>
            <w:sz w:val="24"/>
            <w:szCs w:val="24"/>
          </w:rPr>
          <w:t>7</w:t>
        </w:r>
        <w:r w:rsidR="00EA5D4A" w:rsidRPr="00EA5D4A">
          <w:rPr>
            <w:rStyle w:val="Hyperlink"/>
            <w:rFonts w:ascii="Times New Roman" w:hAnsi="Times New Roman" w:cs="Times New Roman"/>
            <w:noProof/>
            <w:sz w:val="24"/>
            <w:szCs w:val="24"/>
          </w:rPr>
          <w:t>. Risk Culture, Board Gender Diversity and Bank Risk: Post-2007 Impact</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_Toc132437300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137</w:t>
        </w:r>
        <w:r w:rsidR="00EA5D4A" w:rsidRPr="00EA5D4A">
          <w:rPr>
            <w:rFonts w:ascii="Times New Roman" w:hAnsi="Times New Roman" w:cs="Times New Roman"/>
            <w:noProof/>
            <w:webHidden/>
            <w:sz w:val="24"/>
            <w:szCs w:val="24"/>
          </w:rPr>
          <w:fldChar w:fldCharType="end"/>
        </w:r>
      </w:hyperlink>
    </w:p>
    <w:p w14:paraId="7D078D78" w14:textId="7F940CFD"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1"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4.</w:t>
        </w:r>
        <w:r w:rsidR="008B4B1A">
          <w:rPr>
            <w:rStyle w:val="Hyperlink"/>
            <w:rFonts w:ascii="Times New Roman" w:hAnsi="Times New Roman" w:cs="Times New Roman"/>
            <w:noProof/>
            <w:sz w:val="24"/>
            <w:szCs w:val="24"/>
          </w:rPr>
          <w:t>8</w:t>
        </w:r>
        <w:r w:rsidR="00EA5D4A" w:rsidRPr="00EA5D4A">
          <w:rPr>
            <w:rStyle w:val="Hyperlink"/>
            <w:rFonts w:ascii="Times New Roman" w:hAnsi="Times New Roman" w:cs="Times New Roman"/>
            <w:noProof/>
            <w:sz w:val="24"/>
            <w:szCs w:val="24"/>
          </w:rPr>
          <w:t>. Propensity Score Matching</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_Toc132437301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138</w:t>
        </w:r>
        <w:r w:rsidR="00EA5D4A" w:rsidRPr="00EA5D4A">
          <w:rPr>
            <w:rFonts w:ascii="Times New Roman" w:hAnsi="Times New Roman" w:cs="Times New Roman"/>
            <w:noProof/>
            <w:webHidden/>
            <w:sz w:val="24"/>
            <w:szCs w:val="24"/>
          </w:rPr>
          <w:fldChar w:fldCharType="end"/>
        </w:r>
      </w:hyperlink>
    </w:p>
    <w:p w14:paraId="25CB2849" w14:textId="77BBD466"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2"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4.</w:t>
        </w:r>
        <w:r w:rsidR="008B4B1A">
          <w:rPr>
            <w:rStyle w:val="Hyperlink"/>
            <w:rFonts w:ascii="Times New Roman" w:hAnsi="Times New Roman" w:cs="Times New Roman"/>
            <w:noProof/>
            <w:sz w:val="24"/>
            <w:szCs w:val="24"/>
          </w:rPr>
          <w:t>9</w:t>
        </w:r>
        <w:r w:rsidR="00EA5D4A" w:rsidRPr="00EA5D4A">
          <w:rPr>
            <w:rStyle w:val="Hyperlink"/>
            <w:rFonts w:ascii="Times New Roman" w:hAnsi="Times New Roman" w:cs="Times New Roman"/>
            <w:noProof/>
            <w:sz w:val="24"/>
            <w:szCs w:val="24"/>
          </w:rPr>
          <w:t>. Robustness Check</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_Toc132437302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139</w:t>
        </w:r>
        <w:r w:rsidR="00EA5D4A" w:rsidRPr="00EA5D4A">
          <w:rPr>
            <w:rFonts w:ascii="Times New Roman" w:hAnsi="Times New Roman" w:cs="Times New Roman"/>
            <w:noProof/>
            <w:webHidden/>
            <w:sz w:val="24"/>
            <w:szCs w:val="24"/>
          </w:rPr>
          <w:fldChar w:fldCharType="end"/>
        </w:r>
      </w:hyperlink>
    </w:p>
    <w:p w14:paraId="78A0894D" w14:textId="5B897261"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4" w:history="1">
        <w:r w:rsidR="00EA5D4A" w:rsidRPr="00EA5D4A">
          <w:rPr>
            <w:rStyle w:val="Hyperlink"/>
            <w:rFonts w:ascii="Times New Roman" w:hAnsi="Times New Roman" w:cs="Times New Roman"/>
            <w:noProof/>
            <w:sz w:val="24"/>
            <w:szCs w:val="24"/>
          </w:rPr>
          <w:t>Table 5.</w:t>
        </w:r>
        <w:r w:rsidR="008B4B1A">
          <w:rPr>
            <w:rStyle w:val="Hyperlink"/>
            <w:rFonts w:ascii="Times New Roman" w:hAnsi="Times New Roman" w:cs="Times New Roman"/>
            <w:noProof/>
            <w:sz w:val="24"/>
            <w:szCs w:val="24"/>
          </w:rPr>
          <w:t>1</w:t>
        </w:r>
        <w:r w:rsidR="00EA5D4A" w:rsidRPr="00EA5D4A">
          <w:rPr>
            <w:rStyle w:val="Hyperlink"/>
            <w:rFonts w:ascii="Times New Roman" w:hAnsi="Times New Roman" w:cs="Times New Roman"/>
            <w:noProof/>
            <w:sz w:val="24"/>
            <w:szCs w:val="24"/>
          </w:rPr>
          <w:t xml:space="preserve">. </w:t>
        </w:r>
        <w:r w:rsidR="00EA5D4A" w:rsidRPr="00EA5D4A">
          <w:rPr>
            <w:rStyle w:val="Hyperlink"/>
            <w:rFonts w:ascii="Times New Roman" w:eastAsia="Times New Roman" w:hAnsi="Times New Roman" w:cs="Times New Roman"/>
            <w:noProof/>
            <w:sz w:val="24"/>
            <w:szCs w:val="24"/>
          </w:rPr>
          <w:t>Bank Misconduct: Trend of Fines by Type</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_Toc132437304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183</w:t>
        </w:r>
        <w:r w:rsidR="00EA5D4A" w:rsidRPr="00EA5D4A">
          <w:rPr>
            <w:rFonts w:ascii="Times New Roman" w:hAnsi="Times New Roman" w:cs="Times New Roman"/>
            <w:noProof/>
            <w:webHidden/>
            <w:sz w:val="24"/>
            <w:szCs w:val="24"/>
          </w:rPr>
          <w:fldChar w:fldCharType="end"/>
        </w:r>
      </w:hyperlink>
    </w:p>
    <w:p w14:paraId="41C051DF" w14:textId="6C0F8B4B"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5" w:history="1">
        <w:r w:rsidR="00EA5D4A" w:rsidRPr="00EA5D4A">
          <w:rPr>
            <w:rStyle w:val="Hyperlink"/>
            <w:rFonts w:ascii="Times New Roman" w:hAnsi="Times New Roman" w:cs="Times New Roman"/>
            <w:noProof/>
            <w:sz w:val="24"/>
            <w:szCs w:val="24"/>
          </w:rPr>
          <w:t>Table</w:t>
        </w:r>
        <w:r w:rsidR="00D07445">
          <w:rPr>
            <w:rStyle w:val="Hyperlink"/>
            <w:rFonts w:ascii="Times New Roman" w:hAnsi="Times New Roman" w:cs="Times New Roman"/>
            <w:noProof/>
            <w:sz w:val="24"/>
            <w:szCs w:val="24"/>
          </w:rPr>
          <w:t xml:space="preserve"> </w:t>
        </w:r>
        <w:r w:rsidR="00EA5D4A" w:rsidRPr="00EA5D4A">
          <w:rPr>
            <w:rStyle w:val="Hyperlink"/>
            <w:rFonts w:ascii="Times New Roman" w:hAnsi="Times New Roman" w:cs="Times New Roman"/>
            <w:noProof/>
            <w:sz w:val="24"/>
            <w:szCs w:val="24"/>
          </w:rPr>
          <w:t>5.2. Descriptive Statistics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_Toc132437305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184</w:t>
        </w:r>
        <w:r w:rsidR="00EA5D4A" w:rsidRPr="00EA5D4A">
          <w:rPr>
            <w:rFonts w:ascii="Times New Roman" w:hAnsi="Times New Roman" w:cs="Times New Roman"/>
            <w:noProof/>
            <w:webHidden/>
            <w:sz w:val="24"/>
            <w:szCs w:val="24"/>
          </w:rPr>
          <w:fldChar w:fldCharType="end"/>
        </w:r>
      </w:hyperlink>
    </w:p>
    <w:p w14:paraId="0A11BE71" w14:textId="1226A107"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6" w:history="1">
        <w:r w:rsidR="00EA5D4A" w:rsidRPr="00EA5D4A">
          <w:rPr>
            <w:rStyle w:val="Hyperlink"/>
            <w:rFonts w:ascii="Times New Roman" w:hAnsi="Times New Roman" w:cs="Times New Roman"/>
            <w:noProof/>
            <w:sz w:val="24"/>
            <w:szCs w:val="24"/>
          </w:rPr>
          <w:t>Table 5.</w:t>
        </w:r>
        <w:r w:rsidR="008B4B1A">
          <w:rPr>
            <w:rStyle w:val="Hyperlink"/>
            <w:rFonts w:ascii="Times New Roman" w:hAnsi="Times New Roman" w:cs="Times New Roman"/>
            <w:noProof/>
            <w:sz w:val="24"/>
            <w:szCs w:val="24"/>
          </w:rPr>
          <w:t>3</w:t>
        </w:r>
        <w:r w:rsidR="00EA5D4A" w:rsidRPr="00EA5D4A">
          <w:rPr>
            <w:rStyle w:val="Hyperlink"/>
            <w:rFonts w:ascii="Times New Roman" w:hAnsi="Times New Roman" w:cs="Times New Roman"/>
            <w:noProof/>
            <w:sz w:val="24"/>
            <w:szCs w:val="24"/>
          </w:rPr>
          <w:t xml:space="preserve">. </w:t>
        </w:r>
        <w:r w:rsidR="00EA5D4A" w:rsidRPr="00EA5D4A">
          <w:rPr>
            <w:rStyle w:val="Hyperlink"/>
            <w:rFonts w:ascii="Times New Roman" w:eastAsia="Times New Roman" w:hAnsi="Times New Roman" w:cs="Times New Roman"/>
            <w:noProof/>
            <w:sz w:val="24"/>
            <w:szCs w:val="24"/>
          </w:rPr>
          <w:t>INED Attributes Heterogeneity And Bank Misconduct– Baseline Estimations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_Toc132437306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185</w:t>
        </w:r>
        <w:r w:rsidR="00EA5D4A" w:rsidRPr="00EA5D4A">
          <w:rPr>
            <w:rFonts w:ascii="Times New Roman" w:hAnsi="Times New Roman" w:cs="Times New Roman"/>
            <w:noProof/>
            <w:webHidden/>
            <w:sz w:val="24"/>
            <w:szCs w:val="24"/>
          </w:rPr>
          <w:fldChar w:fldCharType="end"/>
        </w:r>
      </w:hyperlink>
    </w:p>
    <w:p w14:paraId="65C3B423" w14:textId="600AFFFA"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7" w:history="1">
        <w:r w:rsidR="00EA5D4A" w:rsidRPr="00EA5D4A">
          <w:rPr>
            <w:rStyle w:val="Hyperlink"/>
            <w:rFonts w:ascii="Times New Roman" w:hAnsi="Times New Roman" w:cs="Times New Roman"/>
            <w:noProof/>
            <w:sz w:val="24"/>
            <w:szCs w:val="24"/>
          </w:rPr>
          <w:t>Table 5.</w:t>
        </w:r>
        <w:r w:rsidR="008B4B1A">
          <w:rPr>
            <w:rStyle w:val="Hyperlink"/>
            <w:rFonts w:ascii="Times New Roman" w:hAnsi="Times New Roman" w:cs="Times New Roman"/>
            <w:noProof/>
            <w:sz w:val="24"/>
            <w:szCs w:val="24"/>
          </w:rPr>
          <w:t>4</w:t>
        </w:r>
        <w:r w:rsidR="00EA5D4A" w:rsidRPr="00EA5D4A">
          <w:rPr>
            <w:rStyle w:val="Hyperlink"/>
            <w:rFonts w:ascii="Times New Roman" w:hAnsi="Times New Roman" w:cs="Times New Roman"/>
            <w:noProof/>
            <w:sz w:val="24"/>
            <w:szCs w:val="24"/>
          </w:rPr>
          <w:t xml:space="preserve">. </w:t>
        </w:r>
        <w:r w:rsidR="00EA5D4A" w:rsidRPr="00EA5D4A">
          <w:rPr>
            <w:rStyle w:val="Hyperlink"/>
            <w:rFonts w:ascii="Times New Roman" w:eastAsia="Times New Roman" w:hAnsi="Times New Roman" w:cs="Times New Roman"/>
            <w:noProof/>
            <w:sz w:val="24"/>
            <w:szCs w:val="24"/>
          </w:rPr>
          <w:t>Regression Estimates Using a 2SLS Two-Stage Instrumental Variable (IV) Model.</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_Toc132437307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187</w:t>
        </w:r>
        <w:r w:rsidR="00EA5D4A" w:rsidRPr="00EA5D4A">
          <w:rPr>
            <w:rFonts w:ascii="Times New Roman" w:hAnsi="Times New Roman" w:cs="Times New Roman"/>
            <w:noProof/>
            <w:webHidden/>
            <w:sz w:val="24"/>
            <w:szCs w:val="24"/>
          </w:rPr>
          <w:fldChar w:fldCharType="end"/>
        </w:r>
      </w:hyperlink>
    </w:p>
    <w:p w14:paraId="1FE2A0AC" w14:textId="3C046E23"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8" w:history="1">
        <w:r w:rsidR="00EA5D4A" w:rsidRPr="00EA5D4A">
          <w:rPr>
            <w:rStyle w:val="Hyperlink"/>
            <w:rFonts w:ascii="Times New Roman" w:hAnsi="Times New Roman" w:cs="Times New Roman"/>
            <w:noProof/>
            <w:sz w:val="24"/>
            <w:szCs w:val="24"/>
          </w:rPr>
          <w:t>Table 5.</w:t>
        </w:r>
        <w:r w:rsidR="008B4B1A">
          <w:rPr>
            <w:rStyle w:val="Hyperlink"/>
            <w:rFonts w:ascii="Times New Roman" w:hAnsi="Times New Roman" w:cs="Times New Roman"/>
            <w:noProof/>
            <w:sz w:val="24"/>
            <w:szCs w:val="24"/>
          </w:rPr>
          <w:t>5</w:t>
        </w:r>
        <w:r w:rsidR="00EA5D4A" w:rsidRPr="00EA5D4A">
          <w:rPr>
            <w:rStyle w:val="Hyperlink"/>
            <w:rFonts w:ascii="Times New Roman" w:hAnsi="Times New Roman" w:cs="Times New Roman"/>
            <w:noProof/>
            <w:sz w:val="24"/>
            <w:szCs w:val="24"/>
          </w:rPr>
          <w:t>.</w:t>
        </w:r>
        <w:r w:rsidR="00EA5D4A" w:rsidRPr="00EA5D4A">
          <w:rPr>
            <w:rStyle w:val="Hyperlink"/>
            <w:rFonts w:ascii="Times New Roman" w:eastAsia="Times New Roman" w:hAnsi="Times New Roman" w:cs="Times New Roman"/>
            <w:noProof/>
            <w:sz w:val="24"/>
            <w:szCs w:val="24"/>
          </w:rPr>
          <w:t xml:space="preserve"> INED Attributes Heterogeneity And Bank Misconduct– Propensity Score Matching (PSM)</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_Toc132437308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189</w:t>
        </w:r>
        <w:r w:rsidR="00EA5D4A" w:rsidRPr="00EA5D4A">
          <w:rPr>
            <w:rFonts w:ascii="Times New Roman" w:hAnsi="Times New Roman" w:cs="Times New Roman"/>
            <w:noProof/>
            <w:webHidden/>
            <w:sz w:val="24"/>
            <w:szCs w:val="24"/>
          </w:rPr>
          <w:fldChar w:fldCharType="end"/>
        </w:r>
      </w:hyperlink>
    </w:p>
    <w:p w14:paraId="543AA6EC" w14:textId="154602A9"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09" w:history="1">
        <w:r w:rsidR="00EA5D4A" w:rsidRPr="00EA5D4A">
          <w:rPr>
            <w:rStyle w:val="Hyperlink"/>
            <w:rFonts w:ascii="Times New Roman" w:hAnsi="Times New Roman" w:cs="Times New Roman"/>
            <w:noProof/>
            <w:sz w:val="24"/>
            <w:szCs w:val="24"/>
          </w:rPr>
          <w:t>Table 5.</w:t>
        </w:r>
        <w:r w:rsidR="008B4B1A">
          <w:rPr>
            <w:rStyle w:val="Hyperlink"/>
            <w:rFonts w:ascii="Times New Roman" w:hAnsi="Times New Roman" w:cs="Times New Roman"/>
            <w:noProof/>
            <w:sz w:val="24"/>
            <w:szCs w:val="24"/>
          </w:rPr>
          <w:t>6</w:t>
        </w:r>
        <w:r w:rsidR="00EA5D4A" w:rsidRPr="00EA5D4A">
          <w:rPr>
            <w:rStyle w:val="Hyperlink"/>
            <w:rFonts w:ascii="Times New Roman" w:eastAsia="Times New Roman" w:hAnsi="Times New Roman" w:cs="Times New Roman"/>
            <w:noProof/>
            <w:sz w:val="24"/>
            <w:szCs w:val="24"/>
          </w:rPr>
          <w:t xml:space="preserve"> Effect of Independent Director’s Attributes Heterogeneity and Bank Misconduct During and After Global Financial Crisis</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_Toc132437309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191</w:t>
        </w:r>
        <w:r w:rsidR="00EA5D4A" w:rsidRPr="00EA5D4A">
          <w:rPr>
            <w:rFonts w:ascii="Times New Roman" w:hAnsi="Times New Roman" w:cs="Times New Roman"/>
            <w:noProof/>
            <w:webHidden/>
            <w:sz w:val="24"/>
            <w:szCs w:val="24"/>
          </w:rPr>
          <w:fldChar w:fldCharType="end"/>
        </w:r>
      </w:hyperlink>
    </w:p>
    <w:p w14:paraId="69228DAA" w14:textId="7EE975F5"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10" w:history="1">
        <w:r w:rsidR="00EA5D4A" w:rsidRPr="00EA5D4A">
          <w:rPr>
            <w:rStyle w:val="Hyperlink"/>
            <w:rFonts w:ascii="Times New Roman" w:eastAsia="Times New Roman" w:hAnsi="Times New Roman" w:cs="Times New Roman"/>
            <w:noProof/>
            <w:sz w:val="24"/>
            <w:szCs w:val="24"/>
          </w:rPr>
          <w:t>Table</w:t>
        </w:r>
        <w:r w:rsidR="00D07445">
          <w:rPr>
            <w:rStyle w:val="Hyperlink"/>
            <w:rFonts w:ascii="Times New Roman" w:eastAsia="Times New Roman" w:hAnsi="Times New Roman" w:cs="Times New Roman"/>
            <w:noProof/>
            <w:sz w:val="24"/>
            <w:szCs w:val="24"/>
          </w:rPr>
          <w:t xml:space="preserve"> </w:t>
        </w:r>
        <w:r w:rsidR="00EA5D4A" w:rsidRPr="00EA5D4A">
          <w:rPr>
            <w:rStyle w:val="Hyperlink"/>
            <w:rFonts w:ascii="Times New Roman" w:eastAsia="Times New Roman" w:hAnsi="Times New Roman" w:cs="Times New Roman"/>
            <w:noProof/>
            <w:sz w:val="24"/>
            <w:szCs w:val="24"/>
          </w:rPr>
          <w:t>5.</w:t>
        </w:r>
        <w:r w:rsidR="008B4B1A">
          <w:rPr>
            <w:rStyle w:val="Hyperlink"/>
            <w:rFonts w:ascii="Times New Roman" w:eastAsia="Times New Roman" w:hAnsi="Times New Roman" w:cs="Times New Roman"/>
            <w:noProof/>
            <w:sz w:val="24"/>
            <w:szCs w:val="24"/>
          </w:rPr>
          <w:t>7</w:t>
        </w:r>
        <w:r w:rsidR="00EA5D4A" w:rsidRPr="00EA5D4A">
          <w:rPr>
            <w:rStyle w:val="Hyperlink"/>
            <w:rFonts w:ascii="Times New Roman" w:eastAsia="Times New Roman" w:hAnsi="Times New Roman" w:cs="Times New Roman"/>
            <w:noProof/>
            <w:sz w:val="24"/>
            <w:szCs w:val="24"/>
          </w:rPr>
          <w:t>. Channel Analysis For Information Asymmetry</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_Toc132437310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193</w:t>
        </w:r>
        <w:r w:rsidR="00EA5D4A" w:rsidRPr="00EA5D4A">
          <w:rPr>
            <w:rFonts w:ascii="Times New Roman" w:hAnsi="Times New Roman" w:cs="Times New Roman"/>
            <w:noProof/>
            <w:webHidden/>
            <w:sz w:val="24"/>
            <w:szCs w:val="24"/>
          </w:rPr>
          <w:fldChar w:fldCharType="end"/>
        </w:r>
      </w:hyperlink>
    </w:p>
    <w:p w14:paraId="6DA19C1B" w14:textId="258C8294" w:rsidR="00EA5D4A" w:rsidRPr="00EA5D4A" w:rsidRDefault="00830E04">
      <w:pPr>
        <w:pStyle w:val="TableofFigures"/>
        <w:tabs>
          <w:tab w:val="right" w:leader="dot" w:pos="9465"/>
        </w:tabs>
        <w:rPr>
          <w:rFonts w:ascii="Times New Roman" w:eastAsiaTheme="minorEastAsia" w:hAnsi="Times New Roman" w:cs="Times New Roman"/>
          <w:noProof/>
          <w:sz w:val="24"/>
          <w:szCs w:val="24"/>
          <w:lang w:eastAsia="en-GB"/>
        </w:rPr>
      </w:pPr>
      <w:hyperlink w:anchor="_Toc132437311" w:history="1">
        <w:r w:rsidR="00EA5D4A" w:rsidRPr="00EA5D4A">
          <w:rPr>
            <w:rStyle w:val="Hyperlink"/>
            <w:rFonts w:ascii="Times New Roman" w:eastAsia="Times New Roman" w:hAnsi="Times New Roman" w:cs="Times New Roman"/>
            <w:noProof/>
            <w:sz w:val="24"/>
            <w:szCs w:val="24"/>
          </w:rPr>
          <w:t>Table</w:t>
        </w:r>
        <w:r w:rsidR="00D07445">
          <w:rPr>
            <w:rStyle w:val="Hyperlink"/>
            <w:rFonts w:ascii="Times New Roman" w:eastAsia="Times New Roman" w:hAnsi="Times New Roman" w:cs="Times New Roman"/>
            <w:noProof/>
            <w:sz w:val="24"/>
            <w:szCs w:val="24"/>
          </w:rPr>
          <w:t xml:space="preserve"> </w:t>
        </w:r>
        <w:r w:rsidR="00EA5D4A" w:rsidRPr="00EA5D4A">
          <w:rPr>
            <w:rStyle w:val="Hyperlink"/>
            <w:rFonts w:ascii="Times New Roman" w:eastAsia="Times New Roman" w:hAnsi="Times New Roman" w:cs="Times New Roman"/>
            <w:noProof/>
            <w:sz w:val="24"/>
            <w:szCs w:val="24"/>
          </w:rPr>
          <w:t>5.</w:t>
        </w:r>
        <w:r w:rsidR="008B4B1A">
          <w:rPr>
            <w:rStyle w:val="Hyperlink"/>
            <w:rFonts w:ascii="Times New Roman" w:eastAsia="Times New Roman" w:hAnsi="Times New Roman" w:cs="Times New Roman"/>
            <w:noProof/>
            <w:sz w:val="24"/>
            <w:szCs w:val="24"/>
          </w:rPr>
          <w:t>8</w:t>
        </w:r>
        <w:r w:rsidR="00EA5D4A" w:rsidRPr="00EA5D4A">
          <w:rPr>
            <w:rStyle w:val="Hyperlink"/>
            <w:rFonts w:ascii="Times New Roman" w:eastAsia="Times New Roman" w:hAnsi="Times New Roman" w:cs="Times New Roman"/>
            <w:noProof/>
            <w:sz w:val="24"/>
            <w:szCs w:val="24"/>
          </w:rPr>
          <w:t>. Robustness Results for Bank Misconduct</w:t>
        </w:r>
        <w:r w:rsidR="00EA5D4A" w:rsidRPr="00EA5D4A">
          <w:rPr>
            <w:rFonts w:ascii="Times New Roman" w:hAnsi="Times New Roman" w:cs="Times New Roman"/>
            <w:noProof/>
            <w:webHidden/>
            <w:sz w:val="24"/>
            <w:szCs w:val="24"/>
          </w:rPr>
          <w:tab/>
        </w:r>
        <w:r w:rsidR="00EA5D4A" w:rsidRPr="00EA5D4A">
          <w:rPr>
            <w:rFonts w:ascii="Times New Roman" w:hAnsi="Times New Roman" w:cs="Times New Roman"/>
            <w:noProof/>
            <w:webHidden/>
            <w:sz w:val="24"/>
            <w:szCs w:val="24"/>
          </w:rPr>
          <w:fldChar w:fldCharType="begin"/>
        </w:r>
        <w:r w:rsidR="00EA5D4A" w:rsidRPr="00EA5D4A">
          <w:rPr>
            <w:rFonts w:ascii="Times New Roman" w:hAnsi="Times New Roman" w:cs="Times New Roman"/>
            <w:noProof/>
            <w:webHidden/>
            <w:sz w:val="24"/>
            <w:szCs w:val="24"/>
          </w:rPr>
          <w:instrText xml:space="preserve"> PAGEREF _Toc132437311 \h </w:instrText>
        </w:r>
        <w:r w:rsidR="00EA5D4A" w:rsidRPr="00EA5D4A">
          <w:rPr>
            <w:rFonts w:ascii="Times New Roman" w:hAnsi="Times New Roman" w:cs="Times New Roman"/>
            <w:noProof/>
            <w:webHidden/>
            <w:sz w:val="24"/>
            <w:szCs w:val="24"/>
          </w:rPr>
        </w:r>
        <w:r w:rsidR="00EA5D4A" w:rsidRPr="00EA5D4A">
          <w:rPr>
            <w:rFonts w:ascii="Times New Roman" w:hAnsi="Times New Roman" w:cs="Times New Roman"/>
            <w:noProof/>
            <w:webHidden/>
            <w:sz w:val="24"/>
            <w:szCs w:val="24"/>
          </w:rPr>
          <w:fldChar w:fldCharType="separate"/>
        </w:r>
        <w:r w:rsidR="00510EB9">
          <w:rPr>
            <w:rFonts w:ascii="Times New Roman" w:hAnsi="Times New Roman" w:cs="Times New Roman"/>
            <w:noProof/>
            <w:webHidden/>
            <w:sz w:val="24"/>
            <w:szCs w:val="24"/>
          </w:rPr>
          <w:t>194</w:t>
        </w:r>
        <w:r w:rsidR="00EA5D4A" w:rsidRPr="00EA5D4A">
          <w:rPr>
            <w:rFonts w:ascii="Times New Roman" w:hAnsi="Times New Roman" w:cs="Times New Roman"/>
            <w:noProof/>
            <w:webHidden/>
            <w:sz w:val="24"/>
            <w:szCs w:val="24"/>
          </w:rPr>
          <w:fldChar w:fldCharType="end"/>
        </w:r>
      </w:hyperlink>
    </w:p>
    <w:p w14:paraId="4C46592F" w14:textId="6BEEA07B" w:rsidR="00DE7639" w:rsidRDefault="00EA5D4A" w:rsidP="00EA5D4A">
      <w:pPr>
        <w:pStyle w:val="Caption"/>
      </w:pPr>
      <w:r>
        <w:fldChar w:fldCharType="end"/>
      </w:r>
    </w:p>
    <w:p w14:paraId="24C5BF4C" w14:textId="690D7BB3" w:rsidR="00EA5D4A" w:rsidRDefault="00EA5D4A"/>
    <w:p w14:paraId="66C584F3" w14:textId="77777777" w:rsidR="00DE7639" w:rsidRDefault="00DE7639" w:rsidP="00DE7639"/>
    <w:p w14:paraId="67E1A8BC" w14:textId="77777777" w:rsidR="00DE7639" w:rsidRPr="00DE7639" w:rsidRDefault="00DE7639" w:rsidP="00DE7639"/>
    <w:bookmarkEnd w:id="6"/>
    <w:p w14:paraId="2894D353" w14:textId="77777777" w:rsidR="00014FC3" w:rsidRDefault="00014FC3" w:rsidP="003C7A91">
      <w:pPr>
        <w:ind w:left="567"/>
        <w:rPr>
          <w:rFonts w:ascii="Times New Roman" w:hAnsi="Times New Roman" w:cs="Times New Roman"/>
          <w:sz w:val="24"/>
          <w:szCs w:val="24"/>
        </w:rPr>
      </w:pPr>
    </w:p>
    <w:p w14:paraId="22E575E5" w14:textId="28E2008F" w:rsidR="00750BC4" w:rsidRDefault="00750BC4" w:rsidP="00CC629E">
      <w:pPr>
        <w:pStyle w:val="Heading1"/>
      </w:pPr>
      <w:bookmarkStart w:id="7" w:name="_Toc145616158"/>
      <w:r w:rsidRPr="009E69CE">
        <w:t>List of Figures</w:t>
      </w:r>
      <w:bookmarkEnd w:id="7"/>
    </w:p>
    <w:p w14:paraId="662E23B3" w14:textId="1915329B" w:rsidR="000329D3" w:rsidRDefault="000329D3" w:rsidP="000329D3"/>
    <w:p w14:paraId="3F787F17" w14:textId="14E5ED6B" w:rsidR="001D52C0" w:rsidRDefault="001D52C0" w:rsidP="001D52C0">
      <w:pPr>
        <w:spacing w:line="480" w:lineRule="auto"/>
        <w:rPr>
          <w:rFonts w:ascii="Times New Roman" w:eastAsia="Calibri" w:hAnsi="Times New Roman" w:cs="Times New Roman"/>
          <w:sz w:val="24"/>
          <w:szCs w:val="24"/>
        </w:rPr>
      </w:pPr>
      <w:r w:rsidRPr="001D52C0">
        <w:rPr>
          <w:rFonts w:ascii="Times New Roman" w:eastAsia="Calibri" w:hAnsi="Times New Roman" w:cs="Times New Roman"/>
          <w:sz w:val="24"/>
          <w:szCs w:val="24"/>
        </w:rPr>
        <w:t>Figure 1: Existing Literature on Risk Governance</w:t>
      </w:r>
      <w:r w:rsidR="005C731A">
        <w:rPr>
          <w:rFonts w:ascii="Times New Roman" w:eastAsia="Calibri" w:hAnsi="Times New Roman" w:cs="Times New Roman"/>
          <w:sz w:val="24"/>
          <w:szCs w:val="24"/>
        </w:rPr>
        <w:t>……………………………………………….11</w:t>
      </w:r>
    </w:p>
    <w:p w14:paraId="36742172" w14:textId="2D5F9DEC" w:rsidR="005C731A" w:rsidRDefault="001D52C0" w:rsidP="005C731A">
      <w:pPr>
        <w:spacing w:line="480" w:lineRule="auto"/>
        <w:rPr>
          <w:rFonts w:ascii="Times New Roman" w:eastAsia="Calibri" w:hAnsi="Times New Roman" w:cs="Times New Roman"/>
          <w:sz w:val="24"/>
          <w:szCs w:val="24"/>
        </w:rPr>
      </w:pPr>
      <w:r w:rsidRPr="001D52C0">
        <w:rPr>
          <w:rFonts w:ascii="Times New Roman" w:eastAsia="Calibri" w:hAnsi="Times New Roman" w:cs="Times New Roman"/>
          <w:sz w:val="24"/>
          <w:szCs w:val="24"/>
        </w:rPr>
        <w:t>Figure2: Contribution in Empirical Chapter 3</w:t>
      </w:r>
      <w:r w:rsidR="005C731A">
        <w:rPr>
          <w:rFonts w:ascii="Times New Roman" w:eastAsia="Calibri" w:hAnsi="Times New Roman" w:cs="Times New Roman"/>
          <w:sz w:val="24"/>
          <w:szCs w:val="24"/>
        </w:rPr>
        <w:t>…………………………………………………….12</w:t>
      </w:r>
    </w:p>
    <w:p w14:paraId="3D640C23" w14:textId="4C15A67A" w:rsidR="001D52C0" w:rsidRPr="005C731A" w:rsidRDefault="001D52C0" w:rsidP="005C731A">
      <w:pPr>
        <w:spacing w:line="480" w:lineRule="auto"/>
        <w:rPr>
          <w:rFonts w:ascii="Times New Roman" w:eastAsia="Calibri" w:hAnsi="Times New Roman" w:cs="Times New Roman"/>
          <w:sz w:val="24"/>
          <w:szCs w:val="24"/>
        </w:rPr>
      </w:pPr>
      <w:r w:rsidRPr="001D52C0">
        <w:rPr>
          <w:rFonts w:ascii="Times New Roman" w:hAnsi="Times New Roman"/>
          <w:sz w:val="24"/>
          <w:szCs w:val="24"/>
        </w:rPr>
        <w:t>Figure 3: Contribution in Empirical Chapter 4</w:t>
      </w:r>
      <w:r w:rsidR="005C731A">
        <w:rPr>
          <w:rFonts w:ascii="Times New Roman" w:hAnsi="Times New Roman"/>
          <w:sz w:val="24"/>
          <w:szCs w:val="24"/>
        </w:rPr>
        <w:t>……………………………………………………12</w:t>
      </w:r>
    </w:p>
    <w:p w14:paraId="47405450" w14:textId="4C6C9696" w:rsidR="001D52C0" w:rsidRPr="001D52C0" w:rsidRDefault="001D52C0" w:rsidP="001D52C0">
      <w:pPr>
        <w:rPr>
          <w:rFonts w:ascii="Times New Roman" w:hAnsi="Times New Roman"/>
          <w:sz w:val="24"/>
          <w:szCs w:val="24"/>
        </w:rPr>
      </w:pPr>
      <w:r w:rsidRPr="001D52C0">
        <w:rPr>
          <w:rFonts w:ascii="Times New Roman" w:hAnsi="Times New Roman"/>
          <w:sz w:val="24"/>
          <w:szCs w:val="24"/>
        </w:rPr>
        <w:t>Figure 4: Contribution in Empirical Chapter 5</w:t>
      </w:r>
      <w:r w:rsidR="005C731A">
        <w:rPr>
          <w:rFonts w:ascii="Times New Roman" w:hAnsi="Times New Roman"/>
          <w:sz w:val="24"/>
          <w:szCs w:val="24"/>
        </w:rPr>
        <w:t>……………………………………………………13</w:t>
      </w:r>
    </w:p>
    <w:p w14:paraId="49D33298" w14:textId="67D1C0E5" w:rsidR="000329D3" w:rsidRPr="000329D3" w:rsidRDefault="000329D3"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r>
        <w:fldChar w:fldCharType="begin"/>
      </w:r>
      <w:r>
        <w:instrText xml:space="preserve"> TOC \h \z \c "Figure" </w:instrText>
      </w:r>
      <w:r>
        <w:fldChar w:fldCharType="separate"/>
      </w:r>
      <w:hyperlink w:anchor="_Toc132391461" w:history="1">
        <w:r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5</w:t>
        </w:r>
        <w:r w:rsidRPr="000329D3">
          <w:rPr>
            <w:rStyle w:val="Hyperlink"/>
            <w:rFonts w:ascii="Times New Roman" w:hAnsi="Times New Roman" w:cs="Times New Roman"/>
            <w:noProof/>
            <w:sz w:val="24"/>
          </w:rPr>
          <w:t>. Female Representation in the U.S. Banking Industry</w:t>
        </w:r>
        <w:r w:rsidRPr="000329D3">
          <w:rPr>
            <w:rFonts w:ascii="Times New Roman" w:hAnsi="Times New Roman" w:cs="Times New Roman"/>
            <w:noProof/>
            <w:webHidden/>
            <w:sz w:val="24"/>
          </w:rPr>
          <w:tab/>
        </w:r>
        <w:r w:rsidRPr="000329D3">
          <w:rPr>
            <w:rFonts w:ascii="Times New Roman" w:hAnsi="Times New Roman" w:cs="Times New Roman"/>
            <w:noProof/>
            <w:webHidden/>
            <w:sz w:val="24"/>
          </w:rPr>
          <w:fldChar w:fldCharType="begin"/>
        </w:r>
        <w:r w:rsidRPr="000329D3">
          <w:rPr>
            <w:rFonts w:ascii="Times New Roman" w:hAnsi="Times New Roman" w:cs="Times New Roman"/>
            <w:noProof/>
            <w:webHidden/>
            <w:sz w:val="24"/>
          </w:rPr>
          <w:instrText xml:space="preserve"> PAGEREF _Toc132391461 \h </w:instrText>
        </w:r>
        <w:r w:rsidRPr="000329D3">
          <w:rPr>
            <w:rFonts w:ascii="Times New Roman" w:hAnsi="Times New Roman" w:cs="Times New Roman"/>
            <w:noProof/>
            <w:webHidden/>
            <w:sz w:val="24"/>
          </w:rPr>
        </w:r>
        <w:r w:rsidRPr="000329D3">
          <w:rPr>
            <w:rFonts w:ascii="Times New Roman" w:hAnsi="Times New Roman" w:cs="Times New Roman"/>
            <w:noProof/>
            <w:webHidden/>
            <w:sz w:val="24"/>
          </w:rPr>
          <w:fldChar w:fldCharType="separate"/>
        </w:r>
        <w:r w:rsidR="00510EB9">
          <w:rPr>
            <w:rFonts w:ascii="Times New Roman" w:hAnsi="Times New Roman" w:cs="Times New Roman"/>
            <w:noProof/>
            <w:webHidden/>
            <w:sz w:val="24"/>
          </w:rPr>
          <w:t>69</w:t>
        </w:r>
        <w:r w:rsidRPr="000329D3">
          <w:rPr>
            <w:rFonts w:ascii="Times New Roman" w:hAnsi="Times New Roman" w:cs="Times New Roman"/>
            <w:noProof/>
            <w:webHidden/>
            <w:sz w:val="24"/>
          </w:rPr>
          <w:fldChar w:fldCharType="end"/>
        </w:r>
      </w:hyperlink>
    </w:p>
    <w:p w14:paraId="4648CAFC" w14:textId="1C2D2A9F"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w:anchor="_Toc132391462"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6</w:t>
        </w:r>
        <w:r w:rsidR="000329D3" w:rsidRPr="000329D3">
          <w:rPr>
            <w:rStyle w:val="Hyperlink"/>
            <w:rFonts w:ascii="Times New Roman" w:hAnsi="Times New Roman" w:cs="Times New Roman"/>
            <w:noProof/>
            <w:sz w:val="24"/>
          </w:rPr>
          <w:t>. Four Cultural Dimensions (Cameron et al., 2006)</w:t>
        </w:r>
        <w:r w:rsidR="000329D3" w:rsidRPr="000329D3">
          <w:rPr>
            <w:rFonts w:ascii="Times New Roman" w:hAnsi="Times New Roman" w:cs="Times New Roman"/>
            <w:noProof/>
            <w:webHidden/>
            <w:sz w:val="24"/>
          </w:rPr>
          <w:tab/>
        </w:r>
        <w:r w:rsidR="000329D3" w:rsidRPr="000329D3">
          <w:rPr>
            <w:rFonts w:ascii="Times New Roman" w:hAnsi="Times New Roman" w:cs="Times New Roman"/>
            <w:noProof/>
            <w:webHidden/>
            <w:sz w:val="24"/>
          </w:rPr>
          <w:fldChar w:fldCharType="begin"/>
        </w:r>
        <w:r w:rsidR="000329D3" w:rsidRPr="000329D3">
          <w:rPr>
            <w:rFonts w:ascii="Times New Roman" w:hAnsi="Times New Roman" w:cs="Times New Roman"/>
            <w:noProof/>
            <w:webHidden/>
            <w:sz w:val="24"/>
          </w:rPr>
          <w:instrText xml:space="preserve"> PAGEREF _Toc132391462 \h </w:instrText>
        </w:r>
        <w:r w:rsidR="000329D3" w:rsidRPr="000329D3">
          <w:rPr>
            <w:rFonts w:ascii="Times New Roman" w:hAnsi="Times New Roman" w:cs="Times New Roman"/>
            <w:noProof/>
            <w:webHidden/>
            <w:sz w:val="24"/>
          </w:rPr>
        </w:r>
        <w:r w:rsidR="000329D3" w:rsidRPr="000329D3">
          <w:rPr>
            <w:rFonts w:ascii="Times New Roman" w:hAnsi="Times New Roman" w:cs="Times New Roman"/>
            <w:noProof/>
            <w:webHidden/>
            <w:sz w:val="24"/>
          </w:rPr>
          <w:fldChar w:fldCharType="separate"/>
        </w:r>
        <w:r w:rsidR="00510EB9">
          <w:rPr>
            <w:rFonts w:ascii="Times New Roman" w:hAnsi="Times New Roman" w:cs="Times New Roman"/>
            <w:noProof/>
            <w:webHidden/>
            <w:sz w:val="24"/>
          </w:rPr>
          <w:t>127</w:t>
        </w:r>
        <w:r w:rsidR="000329D3" w:rsidRPr="000329D3">
          <w:rPr>
            <w:rFonts w:ascii="Times New Roman" w:hAnsi="Times New Roman" w:cs="Times New Roman"/>
            <w:noProof/>
            <w:webHidden/>
            <w:sz w:val="24"/>
          </w:rPr>
          <w:fldChar w:fldCharType="end"/>
        </w:r>
      </w:hyperlink>
    </w:p>
    <w:p w14:paraId="719FF03F" w14:textId="325869C3"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w:anchor="_Toc132391463"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7</w:t>
        </w:r>
        <w:r w:rsidR="000329D3" w:rsidRPr="000329D3">
          <w:rPr>
            <w:rStyle w:val="Hyperlink"/>
            <w:rFonts w:ascii="Times New Roman" w:hAnsi="Times New Roman" w:cs="Times New Roman"/>
            <w:noProof/>
            <w:sz w:val="24"/>
          </w:rPr>
          <w:t>.  Bag of Words for Culture Estimation</w:t>
        </w:r>
        <w:r w:rsidR="000329D3" w:rsidRPr="000329D3">
          <w:rPr>
            <w:rFonts w:ascii="Times New Roman" w:hAnsi="Times New Roman" w:cs="Times New Roman"/>
            <w:noProof/>
            <w:webHidden/>
            <w:sz w:val="24"/>
          </w:rPr>
          <w:tab/>
        </w:r>
        <w:r w:rsidR="000329D3" w:rsidRPr="000329D3">
          <w:rPr>
            <w:rFonts w:ascii="Times New Roman" w:hAnsi="Times New Roman" w:cs="Times New Roman"/>
            <w:noProof/>
            <w:webHidden/>
            <w:sz w:val="24"/>
          </w:rPr>
          <w:fldChar w:fldCharType="begin"/>
        </w:r>
        <w:r w:rsidR="000329D3" w:rsidRPr="000329D3">
          <w:rPr>
            <w:rFonts w:ascii="Times New Roman" w:hAnsi="Times New Roman" w:cs="Times New Roman"/>
            <w:noProof/>
            <w:webHidden/>
            <w:sz w:val="24"/>
          </w:rPr>
          <w:instrText xml:space="preserve"> PAGEREF _Toc132391463 \h </w:instrText>
        </w:r>
        <w:r w:rsidR="000329D3" w:rsidRPr="000329D3">
          <w:rPr>
            <w:rFonts w:ascii="Times New Roman" w:hAnsi="Times New Roman" w:cs="Times New Roman"/>
            <w:noProof/>
            <w:webHidden/>
            <w:sz w:val="24"/>
          </w:rPr>
        </w:r>
        <w:r w:rsidR="000329D3" w:rsidRPr="000329D3">
          <w:rPr>
            <w:rFonts w:ascii="Times New Roman" w:hAnsi="Times New Roman" w:cs="Times New Roman"/>
            <w:noProof/>
            <w:webHidden/>
            <w:sz w:val="24"/>
          </w:rPr>
          <w:fldChar w:fldCharType="separate"/>
        </w:r>
        <w:r w:rsidR="00510EB9">
          <w:rPr>
            <w:rFonts w:ascii="Times New Roman" w:hAnsi="Times New Roman" w:cs="Times New Roman"/>
            <w:noProof/>
            <w:webHidden/>
            <w:sz w:val="24"/>
          </w:rPr>
          <w:t>127</w:t>
        </w:r>
        <w:r w:rsidR="000329D3" w:rsidRPr="000329D3">
          <w:rPr>
            <w:rFonts w:ascii="Times New Roman" w:hAnsi="Times New Roman" w:cs="Times New Roman"/>
            <w:noProof/>
            <w:webHidden/>
            <w:sz w:val="24"/>
          </w:rPr>
          <w:fldChar w:fldCharType="end"/>
        </w:r>
      </w:hyperlink>
    </w:p>
    <w:p w14:paraId="1FD0A4C3" w14:textId="5AF12C8E"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w:anchor="_Toc132391464"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8</w:t>
        </w:r>
        <w:r w:rsidR="000329D3" w:rsidRPr="000329D3">
          <w:rPr>
            <w:rStyle w:val="Hyperlink"/>
            <w:rFonts w:ascii="Times New Roman" w:hAnsi="Times New Roman" w:cs="Times New Roman"/>
            <w:noProof/>
            <w:sz w:val="24"/>
          </w:rPr>
          <w:t>.  Trend In Bank Culture by Year</w:t>
        </w:r>
        <w:r w:rsidR="000329D3" w:rsidRPr="000329D3">
          <w:rPr>
            <w:rFonts w:ascii="Times New Roman" w:hAnsi="Times New Roman" w:cs="Times New Roman"/>
            <w:noProof/>
            <w:webHidden/>
            <w:sz w:val="24"/>
          </w:rPr>
          <w:tab/>
        </w:r>
        <w:r w:rsidR="000329D3" w:rsidRPr="000329D3">
          <w:rPr>
            <w:rFonts w:ascii="Times New Roman" w:hAnsi="Times New Roman" w:cs="Times New Roman"/>
            <w:noProof/>
            <w:webHidden/>
            <w:sz w:val="24"/>
          </w:rPr>
          <w:fldChar w:fldCharType="begin"/>
        </w:r>
        <w:r w:rsidR="000329D3" w:rsidRPr="000329D3">
          <w:rPr>
            <w:rFonts w:ascii="Times New Roman" w:hAnsi="Times New Roman" w:cs="Times New Roman"/>
            <w:noProof/>
            <w:webHidden/>
            <w:sz w:val="24"/>
          </w:rPr>
          <w:instrText xml:space="preserve"> PAGEREF _Toc132391464 \h </w:instrText>
        </w:r>
        <w:r w:rsidR="000329D3" w:rsidRPr="000329D3">
          <w:rPr>
            <w:rFonts w:ascii="Times New Roman" w:hAnsi="Times New Roman" w:cs="Times New Roman"/>
            <w:noProof/>
            <w:webHidden/>
            <w:sz w:val="24"/>
          </w:rPr>
        </w:r>
        <w:r w:rsidR="000329D3" w:rsidRPr="000329D3">
          <w:rPr>
            <w:rFonts w:ascii="Times New Roman" w:hAnsi="Times New Roman" w:cs="Times New Roman"/>
            <w:noProof/>
            <w:webHidden/>
            <w:sz w:val="24"/>
          </w:rPr>
          <w:fldChar w:fldCharType="separate"/>
        </w:r>
        <w:r w:rsidR="00510EB9">
          <w:rPr>
            <w:rFonts w:ascii="Times New Roman" w:hAnsi="Times New Roman" w:cs="Times New Roman"/>
            <w:noProof/>
            <w:webHidden/>
            <w:sz w:val="24"/>
          </w:rPr>
          <w:t>128</w:t>
        </w:r>
        <w:r w:rsidR="000329D3" w:rsidRPr="000329D3">
          <w:rPr>
            <w:rFonts w:ascii="Times New Roman" w:hAnsi="Times New Roman" w:cs="Times New Roman"/>
            <w:noProof/>
            <w:webHidden/>
            <w:sz w:val="24"/>
          </w:rPr>
          <w:fldChar w:fldCharType="end"/>
        </w:r>
      </w:hyperlink>
    </w:p>
    <w:p w14:paraId="224D9AB1" w14:textId="53378E20"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w:anchor="_Toc132391465"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9</w:t>
        </w:r>
        <w:r w:rsidR="000329D3" w:rsidRPr="000329D3">
          <w:rPr>
            <w:rStyle w:val="Hyperlink"/>
            <w:rFonts w:ascii="Times New Roman" w:hAnsi="Times New Roman" w:cs="Times New Roman"/>
            <w:noProof/>
            <w:sz w:val="24"/>
          </w:rPr>
          <w:t>.  No of Banks and their Culture over the Years</w:t>
        </w:r>
        <w:r w:rsidR="000329D3" w:rsidRPr="000329D3">
          <w:rPr>
            <w:rFonts w:ascii="Times New Roman" w:hAnsi="Times New Roman" w:cs="Times New Roman"/>
            <w:noProof/>
            <w:webHidden/>
            <w:sz w:val="24"/>
          </w:rPr>
          <w:tab/>
        </w:r>
        <w:r w:rsidR="000329D3" w:rsidRPr="000329D3">
          <w:rPr>
            <w:rFonts w:ascii="Times New Roman" w:hAnsi="Times New Roman" w:cs="Times New Roman"/>
            <w:noProof/>
            <w:webHidden/>
            <w:sz w:val="24"/>
          </w:rPr>
          <w:fldChar w:fldCharType="begin"/>
        </w:r>
        <w:r w:rsidR="000329D3" w:rsidRPr="000329D3">
          <w:rPr>
            <w:rFonts w:ascii="Times New Roman" w:hAnsi="Times New Roman" w:cs="Times New Roman"/>
            <w:noProof/>
            <w:webHidden/>
            <w:sz w:val="24"/>
          </w:rPr>
          <w:instrText xml:space="preserve"> PAGEREF _Toc132391465 \h </w:instrText>
        </w:r>
        <w:r w:rsidR="000329D3" w:rsidRPr="000329D3">
          <w:rPr>
            <w:rFonts w:ascii="Times New Roman" w:hAnsi="Times New Roman" w:cs="Times New Roman"/>
            <w:noProof/>
            <w:webHidden/>
            <w:sz w:val="24"/>
          </w:rPr>
        </w:r>
        <w:r w:rsidR="000329D3" w:rsidRPr="000329D3">
          <w:rPr>
            <w:rFonts w:ascii="Times New Roman" w:hAnsi="Times New Roman" w:cs="Times New Roman"/>
            <w:noProof/>
            <w:webHidden/>
            <w:sz w:val="24"/>
          </w:rPr>
          <w:fldChar w:fldCharType="separate"/>
        </w:r>
        <w:r w:rsidR="00510EB9">
          <w:rPr>
            <w:rFonts w:ascii="Times New Roman" w:hAnsi="Times New Roman" w:cs="Times New Roman"/>
            <w:noProof/>
            <w:webHidden/>
            <w:sz w:val="24"/>
          </w:rPr>
          <w:t>128</w:t>
        </w:r>
        <w:r w:rsidR="000329D3" w:rsidRPr="000329D3">
          <w:rPr>
            <w:rFonts w:ascii="Times New Roman" w:hAnsi="Times New Roman" w:cs="Times New Roman"/>
            <w:noProof/>
            <w:webHidden/>
            <w:sz w:val="24"/>
          </w:rPr>
          <w:fldChar w:fldCharType="end"/>
        </w:r>
      </w:hyperlink>
    </w:p>
    <w:p w14:paraId="16344794" w14:textId="06C51CE3"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r:id="rId9" w:anchor="_Toc132391466"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10</w:t>
        </w:r>
        <w:r w:rsidR="000329D3" w:rsidRPr="000329D3">
          <w:rPr>
            <w:rStyle w:val="Hyperlink"/>
            <w:rFonts w:ascii="Times New Roman" w:hAnsi="Times New Roman" w:cs="Times New Roman"/>
            <w:noProof/>
            <w:sz w:val="24"/>
          </w:rPr>
          <w:t>. The Trend in INED Heterogeneity</w:t>
        </w:r>
        <w:r w:rsidR="000329D3" w:rsidRPr="000329D3">
          <w:rPr>
            <w:rFonts w:ascii="Times New Roman" w:hAnsi="Times New Roman" w:cs="Times New Roman"/>
            <w:noProof/>
            <w:webHidden/>
            <w:sz w:val="24"/>
          </w:rPr>
          <w:tab/>
        </w:r>
        <w:r w:rsidR="00EA5D4A">
          <w:rPr>
            <w:rFonts w:ascii="Times New Roman" w:hAnsi="Times New Roman" w:cs="Times New Roman"/>
            <w:noProof/>
            <w:webHidden/>
            <w:sz w:val="24"/>
          </w:rPr>
          <w:t>18</w:t>
        </w:r>
        <w:r w:rsidR="008B4B1A">
          <w:rPr>
            <w:rFonts w:ascii="Times New Roman" w:hAnsi="Times New Roman" w:cs="Times New Roman"/>
            <w:noProof/>
            <w:webHidden/>
            <w:sz w:val="24"/>
          </w:rPr>
          <w:t>1</w:t>
        </w:r>
      </w:hyperlink>
    </w:p>
    <w:p w14:paraId="6EAAB2FB" w14:textId="3B5113DC" w:rsidR="000329D3" w:rsidRPr="000329D3" w:rsidRDefault="00830E04" w:rsidP="000329D3">
      <w:pPr>
        <w:pStyle w:val="TableofFigures"/>
        <w:tabs>
          <w:tab w:val="right" w:leader="dot" w:pos="9465"/>
        </w:tabs>
        <w:spacing w:line="480" w:lineRule="auto"/>
        <w:rPr>
          <w:rFonts w:ascii="Times New Roman" w:eastAsiaTheme="minorEastAsia" w:hAnsi="Times New Roman" w:cs="Times New Roman"/>
          <w:noProof/>
          <w:sz w:val="24"/>
          <w:lang w:eastAsia="en-GB"/>
        </w:rPr>
      </w:pPr>
      <w:hyperlink w:anchor="_Toc132391467" w:history="1">
        <w:r w:rsidR="000329D3" w:rsidRPr="000329D3">
          <w:rPr>
            <w:rStyle w:val="Hyperlink"/>
            <w:rFonts w:ascii="Times New Roman" w:hAnsi="Times New Roman" w:cs="Times New Roman"/>
            <w:noProof/>
            <w:sz w:val="24"/>
          </w:rPr>
          <w:t xml:space="preserve">Figure </w:t>
        </w:r>
        <w:r w:rsidR="001D52C0">
          <w:rPr>
            <w:rStyle w:val="Hyperlink"/>
            <w:rFonts w:ascii="Times New Roman" w:hAnsi="Times New Roman" w:cs="Times New Roman"/>
            <w:noProof/>
            <w:sz w:val="24"/>
          </w:rPr>
          <w:t>11</w:t>
        </w:r>
        <w:r w:rsidR="000329D3" w:rsidRPr="000329D3">
          <w:rPr>
            <w:rStyle w:val="Hyperlink"/>
            <w:rFonts w:ascii="Times New Roman" w:hAnsi="Times New Roman" w:cs="Times New Roman"/>
            <w:noProof/>
            <w:sz w:val="24"/>
          </w:rPr>
          <w:t xml:space="preserve">. </w:t>
        </w:r>
        <w:r w:rsidR="000329D3">
          <w:rPr>
            <w:rStyle w:val="Hyperlink"/>
            <w:rFonts w:ascii="Times New Roman" w:hAnsi="Times New Roman" w:cs="Times New Roman"/>
            <w:noProof/>
            <w:sz w:val="24"/>
          </w:rPr>
          <w:t xml:space="preserve">The </w:t>
        </w:r>
        <w:r w:rsidR="000329D3" w:rsidRPr="000329D3">
          <w:rPr>
            <w:rStyle w:val="Hyperlink"/>
            <w:rFonts w:ascii="Times New Roman" w:hAnsi="Times New Roman" w:cs="Times New Roman"/>
            <w:noProof/>
            <w:sz w:val="24"/>
          </w:rPr>
          <w:t>Trend in Bank Misconduct Datat</w:t>
        </w:r>
        <w:r w:rsidR="000329D3" w:rsidRPr="000329D3">
          <w:rPr>
            <w:rFonts w:ascii="Times New Roman" w:hAnsi="Times New Roman" w:cs="Times New Roman"/>
            <w:noProof/>
            <w:webHidden/>
            <w:sz w:val="24"/>
          </w:rPr>
          <w:tab/>
        </w:r>
        <w:r w:rsidR="00EA5D4A">
          <w:rPr>
            <w:rFonts w:ascii="Times New Roman" w:hAnsi="Times New Roman" w:cs="Times New Roman"/>
            <w:noProof/>
            <w:webHidden/>
            <w:sz w:val="24"/>
          </w:rPr>
          <w:t>18</w:t>
        </w:r>
        <w:r w:rsidR="008B4B1A">
          <w:rPr>
            <w:rFonts w:ascii="Times New Roman" w:hAnsi="Times New Roman" w:cs="Times New Roman"/>
            <w:noProof/>
            <w:webHidden/>
            <w:sz w:val="24"/>
          </w:rPr>
          <w:t>1</w:t>
        </w:r>
      </w:hyperlink>
    </w:p>
    <w:p w14:paraId="1970F013" w14:textId="3B117C0E" w:rsidR="00EA5D4A" w:rsidRPr="00EA5D4A" w:rsidRDefault="000329D3" w:rsidP="00EA5D4A">
      <w:pPr>
        <w:pStyle w:val="TableofFigures"/>
        <w:tabs>
          <w:tab w:val="right" w:leader="dot" w:pos="9465"/>
        </w:tabs>
        <w:spacing w:line="480" w:lineRule="auto"/>
        <w:rPr>
          <w:rFonts w:ascii="Times New Roman" w:eastAsiaTheme="minorEastAsia" w:hAnsi="Times New Roman" w:cs="Times New Roman"/>
          <w:noProof/>
          <w:sz w:val="24"/>
          <w:lang w:eastAsia="en-GB"/>
        </w:rPr>
      </w:pPr>
      <w:r>
        <w:fldChar w:fldCharType="end"/>
      </w:r>
      <w:r w:rsidR="00EA5D4A" w:rsidRPr="00EA5D4A">
        <w:rPr>
          <w:rStyle w:val="Hyperlink"/>
          <w:rFonts w:ascii="Times New Roman" w:hAnsi="Times New Roman" w:cs="Times New Roman"/>
          <w:noProof/>
          <w:color w:val="auto"/>
          <w:sz w:val="24"/>
          <w:u w:val="none"/>
        </w:rPr>
        <w:t xml:space="preserve">Figure </w:t>
      </w:r>
      <w:r w:rsidR="001D52C0">
        <w:rPr>
          <w:rStyle w:val="Hyperlink"/>
          <w:rFonts w:ascii="Times New Roman" w:hAnsi="Times New Roman" w:cs="Times New Roman"/>
          <w:noProof/>
          <w:color w:val="auto"/>
          <w:sz w:val="24"/>
          <w:u w:val="none"/>
        </w:rPr>
        <w:t>12</w:t>
      </w:r>
      <w:r w:rsidR="00EA5D4A" w:rsidRPr="00EA5D4A">
        <w:rPr>
          <w:rStyle w:val="Hyperlink"/>
          <w:rFonts w:ascii="Times New Roman" w:hAnsi="Times New Roman" w:cs="Times New Roman"/>
          <w:noProof/>
          <w:color w:val="auto"/>
          <w:sz w:val="24"/>
          <w:u w:val="none"/>
        </w:rPr>
        <w:t xml:space="preserve">. The Trend in Bank Misconduct </w:t>
      </w:r>
      <w:r w:rsidR="00EA5D4A">
        <w:rPr>
          <w:rStyle w:val="Hyperlink"/>
          <w:rFonts w:ascii="Times New Roman" w:hAnsi="Times New Roman" w:cs="Times New Roman"/>
          <w:noProof/>
          <w:color w:val="auto"/>
          <w:sz w:val="24"/>
          <w:u w:val="none"/>
        </w:rPr>
        <w:t>By Type</w:t>
      </w:r>
      <w:r w:rsidR="00EA5D4A" w:rsidRPr="00EA5D4A">
        <w:rPr>
          <w:rFonts w:ascii="Times New Roman" w:hAnsi="Times New Roman" w:cs="Times New Roman"/>
          <w:noProof/>
          <w:webHidden/>
          <w:sz w:val="24"/>
        </w:rPr>
        <w:tab/>
        <w:t>18</w:t>
      </w:r>
      <w:r w:rsidR="008B4B1A">
        <w:rPr>
          <w:rFonts w:ascii="Times New Roman" w:hAnsi="Times New Roman" w:cs="Times New Roman"/>
          <w:noProof/>
          <w:webHidden/>
          <w:sz w:val="24"/>
        </w:rPr>
        <w:t>2</w:t>
      </w:r>
    </w:p>
    <w:p w14:paraId="779B881C" w14:textId="1CB6CB84" w:rsidR="000329D3" w:rsidRPr="00EA5D4A" w:rsidRDefault="000329D3" w:rsidP="000329D3"/>
    <w:p w14:paraId="26E20A42" w14:textId="7E2D9C2C" w:rsidR="003C7A91" w:rsidRDefault="003C7A91" w:rsidP="003C7A91">
      <w:pPr>
        <w:ind w:left="567"/>
        <w:rPr>
          <w:rFonts w:ascii="Times New Roman" w:hAnsi="Times New Roman" w:cs="Times New Roman"/>
          <w:sz w:val="24"/>
          <w:szCs w:val="24"/>
        </w:rPr>
      </w:pPr>
    </w:p>
    <w:p w14:paraId="79586E68" w14:textId="1CDF882D" w:rsidR="00DA161D" w:rsidRDefault="00DA161D" w:rsidP="00CC629E">
      <w:pPr>
        <w:pStyle w:val="Heading1"/>
      </w:pPr>
      <w:bookmarkStart w:id="8" w:name="_Toc145616159"/>
      <w:r w:rsidRPr="009E69CE">
        <w:t>List of Appendixes</w:t>
      </w:r>
      <w:bookmarkEnd w:id="8"/>
    </w:p>
    <w:p w14:paraId="3D6130A5" w14:textId="77777777" w:rsidR="00E30E2D" w:rsidRPr="00E30E2D" w:rsidRDefault="00E30E2D" w:rsidP="00E30E2D"/>
    <w:p w14:paraId="4677D913" w14:textId="1082CA95" w:rsidR="00DA161D" w:rsidRDefault="00E30E2D" w:rsidP="003C7A91">
      <w:pPr>
        <w:ind w:left="567"/>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DA161D" w:rsidRPr="009E69CE">
        <w:rPr>
          <w:rFonts w:ascii="Times New Roman" w:hAnsi="Times New Roman" w:cs="Times New Roman"/>
          <w:b/>
          <w:bCs/>
          <w:sz w:val="24"/>
          <w:szCs w:val="24"/>
        </w:rPr>
        <w:tab/>
      </w:r>
      <w:r w:rsidR="00DA161D" w:rsidRPr="009E69CE">
        <w:rPr>
          <w:rFonts w:ascii="Times New Roman" w:hAnsi="Times New Roman" w:cs="Times New Roman"/>
          <w:b/>
          <w:bCs/>
          <w:sz w:val="24"/>
          <w:szCs w:val="24"/>
        </w:rPr>
        <w:tab/>
      </w:r>
      <w:r w:rsidR="00DA161D" w:rsidRPr="009E69CE">
        <w:rPr>
          <w:rFonts w:ascii="Times New Roman" w:hAnsi="Times New Roman" w:cs="Times New Roman"/>
          <w:b/>
          <w:bCs/>
          <w:sz w:val="24"/>
          <w:szCs w:val="24"/>
        </w:rPr>
        <w:tab/>
      </w:r>
      <w:r w:rsidR="00DA161D" w:rsidRPr="009E69CE">
        <w:rPr>
          <w:rFonts w:ascii="Times New Roman" w:hAnsi="Times New Roman" w:cs="Times New Roman"/>
          <w:b/>
          <w:bCs/>
          <w:sz w:val="24"/>
          <w:szCs w:val="24"/>
        </w:rPr>
        <w:tab/>
      </w:r>
      <w:r w:rsidR="00DA161D" w:rsidRPr="009E69CE">
        <w:rPr>
          <w:rFonts w:ascii="Times New Roman" w:hAnsi="Times New Roman" w:cs="Times New Roman"/>
          <w:b/>
          <w:bCs/>
          <w:sz w:val="24"/>
          <w:szCs w:val="24"/>
        </w:rPr>
        <w:tab/>
      </w:r>
      <w:r w:rsidR="00DA161D" w:rsidRPr="009E69CE">
        <w:rPr>
          <w:rFonts w:ascii="Times New Roman" w:hAnsi="Times New Roman" w:cs="Times New Roman"/>
          <w:b/>
          <w:bCs/>
          <w:sz w:val="24"/>
          <w:szCs w:val="24"/>
        </w:rPr>
        <w:tab/>
      </w:r>
    </w:p>
    <w:p w14:paraId="7FC22CEC" w14:textId="1FAA5B8A" w:rsidR="00DA161D" w:rsidRDefault="00DA161D" w:rsidP="00D07445">
      <w:pPr>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List of Sanctions and Sanctioning Regulatory Agencies</w:t>
      </w:r>
      <w:r w:rsidR="00D07445">
        <w:rPr>
          <w:rFonts w:ascii="Times New Roman" w:hAnsi="Times New Roman" w:cs="Times New Roman"/>
          <w:sz w:val="24"/>
          <w:szCs w:val="24"/>
        </w:rPr>
        <w:t>…………………………...</w:t>
      </w:r>
      <w:r>
        <w:rPr>
          <w:rFonts w:ascii="Times New Roman" w:hAnsi="Times New Roman" w:cs="Times New Roman"/>
          <w:sz w:val="24"/>
          <w:szCs w:val="24"/>
        </w:rPr>
        <w:tab/>
      </w:r>
      <w:r w:rsidR="008B4B1A">
        <w:rPr>
          <w:rFonts w:ascii="Times New Roman" w:hAnsi="Times New Roman" w:cs="Times New Roman"/>
          <w:sz w:val="24"/>
          <w:szCs w:val="24"/>
        </w:rPr>
        <w:t>….196</w:t>
      </w:r>
      <w:r>
        <w:rPr>
          <w:rFonts w:ascii="Times New Roman" w:hAnsi="Times New Roman" w:cs="Times New Roman"/>
          <w:sz w:val="24"/>
          <w:szCs w:val="24"/>
        </w:rPr>
        <w:tab/>
      </w:r>
    </w:p>
    <w:p w14:paraId="4A290E7F" w14:textId="0DD02CC7" w:rsidR="00DA161D" w:rsidRDefault="00DA161D" w:rsidP="00D07445">
      <w:pP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Variable Description</w:t>
      </w:r>
      <w:r w:rsidR="008B4B1A">
        <w:rPr>
          <w:rFonts w:ascii="Times New Roman" w:hAnsi="Times New Roman" w:cs="Times New Roman"/>
          <w:sz w:val="24"/>
          <w:szCs w:val="24"/>
        </w:rPr>
        <w:t>……………………………………………………………………198</w:t>
      </w:r>
      <w:r>
        <w:rPr>
          <w:rFonts w:ascii="Times New Roman" w:hAnsi="Times New Roman" w:cs="Times New Roman"/>
          <w:sz w:val="24"/>
          <w:szCs w:val="24"/>
        </w:rPr>
        <w:tab/>
      </w:r>
    </w:p>
    <w:p w14:paraId="264FD26F" w14:textId="47F3169E" w:rsidR="00DA161D" w:rsidRDefault="00DA161D" w:rsidP="00D07445">
      <w:pPr>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Correlation Matrix</w:t>
      </w:r>
      <w:r w:rsidR="008B4B1A">
        <w:rPr>
          <w:rFonts w:ascii="Times New Roman" w:hAnsi="Times New Roman" w:cs="Times New Roman"/>
          <w:sz w:val="24"/>
          <w:szCs w:val="24"/>
        </w:rPr>
        <w:t>………………………………………………………………………199</w:t>
      </w:r>
    </w:p>
    <w:p w14:paraId="06201B3E" w14:textId="30F3E578" w:rsidR="00DA161D" w:rsidRPr="009E69CE" w:rsidRDefault="00DA161D" w:rsidP="00D07445">
      <w:pPr>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r>
      <w:r w:rsidR="0001059E">
        <w:rPr>
          <w:rFonts w:ascii="Times New Roman" w:hAnsi="Times New Roman" w:cs="Times New Roman"/>
          <w:sz w:val="24"/>
          <w:szCs w:val="24"/>
        </w:rPr>
        <w:t>Non-Linearity</w:t>
      </w:r>
      <w:r>
        <w:rPr>
          <w:rFonts w:ascii="Times New Roman" w:hAnsi="Times New Roman" w:cs="Times New Roman"/>
          <w:sz w:val="24"/>
          <w:szCs w:val="24"/>
        </w:rPr>
        <w:t xml:space="preserve"> Effects of INED attributes and Bank Misconduct</w:t>
      </w:r>
      <w:r w:rsidR="008B4B1A">
        <w:rPr>
          <w:rFonts w:ascii="Times New Roman" w:hAnsi="Times New Roman" w:cs="Times New Roman"/>
          <w:sz w:val="24"/>
          <w:szCs w:val="24"/>
        </w:rPr>
        <w:t>………………………201</w:t>
      </w:r>
    </w:p>
    <w:p w14:paraId="4DA6D866" w14:textId="2594A49C" w:rsidR="0037662B" w:rsidRDefault="0037662B" w:rsidP="009E69CE">
      <w:pPr>
        <w:rPr>
          <w:rFonts w:ascii="Times New Roman" w:hAnsi="Times New Roman" w:cs="Times New Roman"/>
          <w:sz w:val="24"/>
          <w:szCs w:val="24"/>
        </w:rPr>
      </w:pPr>
    </w:p>
    <w:p w14:paraId="33E935CC" w14:textId="77777777" w:rsidR="0037662B" w:rsidRDefault="0037662B" w:rsidP="009E69CE">
      <w:pPr>
        <w:ind w:left="284"/>
        <w:rPr>
          <w:rFonts w:ascii="Times New Roman" w:hAnsi="Times New Roman" w:cs="Times New Roman"/>
          <w:sz w:val="24"/>
          <w:szCs w:val="24"/>
        </w:rPr>
      </w:pPr>
    </w:p>
    <w:p w14:paraId="1F7CDF6B" w14:textId="7EE8B5B8" w:rsidR="007071D3" w:rsidRDefault="007071D3">
      <w:pPr>
        <w:rPr>
          <w:rFonts w:ascii="Times New Roman" w:hAnsi="Times New Roman" w:cs="Times New Roman"/>
          <w:sz w:val="24"/>
          <w:szCs w:val="24"/>
        </w:rPr>
      </w:pPr>
    </w:p>
    <w:p w14:paraId="2F14D8B3" w14:textId="067A24D6" w:rsidR="0037662B" w:rsidRPr="009E69CE" w:rsidRDefault="007071D3" w:rsidP="00CC629E">
      <w:pPr>
        <w:pStyle w:val="Heading1"/>
      </w:pPr>
      <w:bookmarkStart w:id="9" w:name="_Toc145616160"/>
      <w:r w:rsidRPr="009E69CE">
        <w:t>List of Abbreviations</w:t>
      </w:r>
      <w:bookmarkEnd w:id="9"/>
    </w:p>
    <w:p w14:paraId="16E3DC98" w14:textId="77777777" w:rsidR="007071D3" w:rsidRPr="0037662B" w:rsidRDefault="007071D3" w:rsidP="009E69CE">
      <w:pPr>
        <w:ind w:left="567"/>
        <w:rPr>
          <w:rFonts w:ascii="Times New Roman" w:hAnsi="Times New Roman" w:cs="Times New Roman"/>
          <w:sz w:val="24"/>
          <w:szCs w:val="24"/>
        </w:rPr>
      </w:pPr>
    </w:p>
    <w:p w14:paraId="5839BF30" w14:textId="292518F3" w:rsidR="007071D3" w:rsidRDefault="007071D3" w:rsidP="00A0792C">
      <w:pPr>
        <w:rPr>
          <w:rFonts w:ascii="Times New Roman" w:hAnsi="Times New Roman" w:cs="Times New Roman"/>
          <w:sz w:val="24"/>
          <w:szCs w:val="24"/>
        </w:rPr>
      </w:pPr>
      <w:r>
        <w:rPr>
          <w:rFonts w:ascii="Times New Roman" w:hAnsi="Times New Roman" w:cs="Times New Roman"/>
          <w:sz w:val="24"/>
          <w:szCs w:val="24"/>
        </w:rPr>
        <w:t>GFC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Global Financial Crisis</w:t>
      </w:r>
      <w:r w:rsidR="00B13FB0">
        <w:rPr>
          <w:rFonts w:ascii="Times New Roman" w:hAnsi="Times New Roman" w:cs="Times New Roman"/>
          <w:sz w:val="24"/>
          <w:szCs w:val="24"/>
        </w:rPr>
        <w:t xml:space="preserve"> 2007-2009</w:t>
      </w:r>
    </w:p>
    <w:p w14:paraId="5EB1BB15" w14:textId="690D9CA5" w:rsidR="007071D3" w:rsidRDefault="007071D3" w:rsidP="00A0792C">
      <w:pPr>
        <w:rPr>
          <w:rFonts w:ascii="Times New Roman" w:hAnsi="Times New Roman" w:cs="Times New Roman"/>
          <w:sz w:val="24"/>
          <w:szCs w:val="24"/>
        </w:rPr>
      </w:pPr>
      <w:r>
        <w:rPr>
          <w:rFonts w:ascii="Times New Roman" w:hAnsi="Times New Roman" w:cs="Times New Roman"/>
          <w:sz w:val="24"/>
          <w:szCs w:val="24"/>
        </w:rPr>
        <w:t>CRO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Chief Risk Officer</w:t>
      </w:r>
    </w:p>
    <w:p w14:paraId="4A3F4C38" w14:textId="01C2F649" w:rsidR="007071D3" w:rsidRDefault="007071D3" w:rsidP="00A0792C">
      <w:pPr>
        <w:rPr>
          <w:rFonts w:ascii="Times New Roman" w:hAnsi="Times New Roman" w:cs="Times New Roman"/>
          <w:sz w:val="24"/>
          <w:szCs w:val="24"/>
        </w:rPr>
      </w:pPr>
      <w:r>
        <w:rPr>
          <w:rFonts w:ascii="Times New Roman" w:hAnsi="Times New Roman" w:cs="Times New Roman"/>
          <w:sz w:val="24"/>
          <w:szCs w:val="24"/>
        </w:rPr>
        <w: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United States of America.</w:t>
      </w:r>
    </w:p>
    <w:p w14:paraId="2F6EF1E3" w14:textId="53504486" w:rsidR="007071D3" w:rsidRDefault="007071D3" w:rsidP="00A0792C">
      <w:pPr>
        <w:rPr>
          <w:rFonts w:ascii="Times New Roman" w:hAnsi="Times New Roman" w:cs="Times New Roman"/>
          <w:sz w:val="24"/>
          <w:szCs w:val="24"/>
        </w:rPr>
      </w:pPr>
      <w:r>
        <w:rPr>
          <w:rFonts w:ascii="Times New Roman" w:hAnsi="Times New Roman" w:cs="Times New Roman"/>
          <w:sz w:val="24"/>
          <w:szCs w:val="24"/>
        </w:rPr>
        <w:t>CVF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Competing Value Framework</w:t>
      </w:r>
    </w:p>
    <w:p w14:paraId="4961B3C1" w14:textId="739657A9" w:rsidR="007071D3" w:rsidRDefault="007071D3" w:rsidP="00A0792C">
      <w:pPr>
        <w:rPr>
          <w:rFonts w:ascii="Times New Roman" w:hAnsi="Times New Roman" w:cs="Times New Roman"/>
          <w:sz w:val="24"/>
          <w:szCs w:val="24"/>
        </w:rPr>
      </w:pPr>
      <w:r>
        <w:rPr>
          <w:rFonts w:ascii="Times New Roman" w:hAnsi="Times New Roman" w:cs="Times New Roman"/>
          <w:sz w:val="24"/>
          <w:szCs w:val="24"/>
        </w:rPr>
        <w:t>BHC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Bank Holding Companies</w:t>
      </w:r>
    </w:p>
    <w:p w14:paraId="69ADD14C" w14:textId="26C18B04" w:rsidR="007071D3" w:rsidRDefault="007071D3" w:rsidP="00A0792C">
      <w:pPr>
        <w:rPr>
          <w:rFonts w:ascii="Times New Roman" w:hAnsi="Times New Roman" w:cs="Times New Roman"/>
          <w:sz w:val="24"/>
          <w:szCs w:val="24"/>
        </w:rPr>
      </w:pPr>
      <w:r>
        <w:rPr>
          <w:rFonts w:ascii="Times New Roman" w:hAnsi="Times New Roman" w:cs="Times New Roman"/>
          <w:sz w:val="24"/>
          <w:szCs w:val="24"/>
        </w:rPr>
        <w:t>INED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Independent Non- Executive </w:t>
      </w:r>
      <w:r w:rsidR="00057265">
        <w:rPr>
          <w:rFonts w:ascii="Times New Roman" w:hAnsi="Times New Roman" w:cs="Times New Roman"/>
          <w:sz w:val="24"/>
          <w:szCs w:val="24"/>
        </w:rPr>
        <w:t>Directors</w:t>
      </w:r>
    </w:p>
    <w:p w14:paraId="032D6993" w14:textId="219A05E1" w:rsidR="007071D3" w:rsidRDefault="007071D3" w:rsidP="00A0792C">
      <w:pPr>
        <w:rPr>
          <w:rFonts w:ascii="Times New Roman" w:hAnsi="Times New Roman" w:cs="Times New Roman"/>
          <w:sz w:val="24"/>
          <w:szCs w:val="24"/>
        </w:rPr>
      </w:pPr>
      <w:r>
        <w:rPr>
          <w:rFonts w:ascii="Times New Roman" w:hAnsi="Times New Roman" w:cs="Times New Roman"/>
          <w:sz w:val="24"/>
          <w:szCs w:val="24"/>
        </w:rPr>
        <w:t>FSB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Financial Stability Board</w:t>
      </w:r>
    </w:p>
    <w:p w14:paraId="2CE03DA4" w14:textId="4EA2A3FE" w:rsidR="007071D3" w:rsidRDefault="007071D3" w:rsidP="00A0792C">
      <w:pPr>
        <w:rPr>
          <w:rFonts w:ascii="Times New Roman" w:hAnsi="Times New Roman" w:cs="Times New Roman"/>
          <w:sz w:val="24"/>
          <w:szCs w:val="24"/>
        </w:rPr>
      </w:pPr>
      <w:r>
        <w:rPr>
          <w:rFonts w:ascii="Times New Roman" w:hAnsi="Times New Roman" w:cs="Times New Roman"/>
          <w:sz w:val="24"/>
          <w:szCs w:val="24"/>
        </w:rPr>
        <w:t>BIS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Bank of International Settlements</w:t>
      </w:r>
    </w:p>
    <w:p w14:paraId="507A1CD7" w14:textId="36BE9C98" w:rsidR="007071D3" w:rsidRDefault="007071D3" w:rsidP="00A0792C">
      <w:pPr>
        <w:rPr>
          <w:rFonts w:ascii="Times New Roman" w:hAnsi="Times New Roman" w:cs="Times New Roman"/>
          <w:sz w:val="24"/>
          <w:szCs w:val="24"/>
        </w:rPr>
      </w:pPr>
      <w:r>
        <w:rPr>
          <w:rFonts w:ascii="Times New Roman" w:hAnsi="Times New Roman" w:cs="Times New Roman"/>
          <w:sz w:val="24"/>
          <w:szCs w:val="24"/>
        </w:rPr>
        <w:t>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Risk Committee.</w:t>
      </w:r>
    </w:p>
    <w:p w14:paraId="498A511B" w14:textId="6766A7D4" w:rsidR="007071D3" w:rsidRDefault="007071D3" w:rsidP="00A0792C">
      <w:pPr>
        <w:rPr>
          <w:rFonts w:ascii="Times New Roman" w:hAnsi="Times New Roman" w:cs="Times New Roman"/>
          <w:sz w:val="24"/>
          <w:szCs w:val="24"/>
        </w:rPr>
      </w:pPr>
      <w:r>
        <w:rPr>
          <w:rFonts w:ascii="Times New Roman" w:hAnsi="Times New Roman" w:cs="Times New Roman"/>
          <w:sz w:val="24"/>
          <w:szCs w:val="24"/>
        </w:rPr>
        <w:t>ERM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Enterprise Risk Management</w:t>
      </w:r>
    </w:p>
    <w:p w14:paraId="68415012" w14:textId="79AB66F9" w:rsidR="00057265" w:rsidRDefault="00057265" w:rsidP="00A0792C">
      <w:pPr>
        <w:rPr>
          <w:rFonts w:ascii="Times New Roman" w:hAnsi="Times New Roman" w:cs="Times New Roman"/>
          <w:sz w:val="24"/>
          <w:szCs w:val="24"/>
        </w:rPr>
      </w:pPr>
      <w:r>
        <w:rPr>
          <w:rFonts w:ascii="Times New Roman" w:hAnsi="Times New Roman" w:cs="Times New Roman"/>
          <w:sz w:val="24"/>
          <w:szCs w:val="24"/>
        </w:rPr>
        <w:t>UET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Upper Echelon Theory</w:t>
      </w:r>
    </w:p>
    <w:p w14:paraId="3F9A4961" w14:textId="162973C5" w:rsidR="001648AB" w:rsidRDefault="001648AB" w:rsidP="00A0792C">
      <w:pPr>
        <w:rPr>
          <w:rFonts w:ascii="Times New Roman" w:hAnsi="Times New Roman" w:cs="Times New Roman"/>
          <w:sz w:val="24"/>
          <w:szCs w:val="24"/>
        </w:rPr>
      </w:pPr>
      <w:r>
        <w:rPr>
          <w:rFonts w:ascii="Times New Roman" w:hAnsi="Times New Roman" w:cs="Times New Roman"/>
          <w:sz w:val="24"/>
          <w:szCs w:val="24"/>
        </w:rPr>
        <w:t>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Risk Committee</w:t>
      </w:r>
    </w:p>
    <w:p w14:paraId="4C842BCC" w14:textId="77777777" w:rsidR="007071D3" w:rsidRDefault="007071D3" w:rsidP="00A0792C">
      <w:pPr>
        <w:rPr>
          <w:rFonts w:ascii="Times New Roman" w:hAnsi="Times New Roman" w:cs="Times New Roman"/>
          <w:sz w:val="24"/>
          <w:szCs w:val="24"/>
        </w:rPr>
      </w:pPr>
    </w:p>
    <w:p w14:paraId="43FC2172" w14:textId="77777777" w:rsidR="007071D3" w:rsidRPr="00BE62C6" w:rsidRDefault="007071D3" w:rsidP="00A0792C">
      <w:pPr>
        <w:rPr>
          <w:rFonts w:ascii="Times New Roman" w:hAnsi="Times New Roman" w:cs="Times New Roman"/>
          <w:sz w:val="24"/>
          <w:szCs w:val="24"/>
        </w:rPr>
      </w:pPr>
    </w:p>
    <w:p w14:paraId="59CDF14D" w14:textId="704C43BE" w:rsidR="00A0792C" w:rsidRPr="00BE62C6" w:rsidRDefault="00A0792C" w:rsidP="00A0792C">
      <w:pPr>
        <w:rPr>
          <w:rFonts w:ascii="Times New Roman" w:hAnsi="Times New Roman" w:cs="Times New Roman"/>
          <w:sz w:val="24"/>
          <w:szCs w:val="24"/>
        </w:rPr>
      </w:pPr>
      <w:r w:rsidRPr="00BE62C6">
        <w:rPr>
          <w:rFonts w:ascii="Times New Roman" w:hAnsi="Times New Roman" w:cs="Times New Roman"/>
          <w:sz w:val="24"/>
          <w:szCs w:val="24"/>
        </w:rPr>
        <w:br w:type="page"/>
      </w:r>
    </w:p>
    <w:p w14:paraId="495B18F3" w14:textId="77777777" w:rsidR="00D32A9F" w:rsidRDefault="00D32A9F">
      <w:pPr>
        <w:rPr>
          <w:rFonts w:ascii="Times New Roman" w:hAnsi="Times New Roman" w:cs="Times New Roman"/>
          <w:sz w:val="24"/>
          <w:szCs w:val="24"/>
        </w:rPr>
      </w:pPr>
    </w:p>
    <w:bookmarkEnd w:id="4"/>
    <w:p w14:paraId="2C816150" w14:textId="77777777" w:rsidR="00E15452" w:rsidRDefault="00E15452" w:rsidP="00D32A9F">
      <w:pPr>
        <w:spacing w:line="480" w:lineRule="auto"/>
        <w:jc w:val="center"/>
        <w:rPr>
          <w:rFonts w:ascii="Times New Roman" w:hAnsi="Times New Roman" w:cs="Times New Roman"/>
          <w:b/>
          <w:bCs/>
          <w:i/>
          <w:iCs/>
          <w:sz w:val="32"/>
          <w:szCs w:val="32"/>
        </w:rPr>
      </w:pPr>
    </w:p>
    <w:p w14:paraId="71DAFBD0" w14:textId="35EEFD8A" w:rsidR="00C80A9C" w:rsidRDefault="00D32A9F" w:rsidP="00CC629E">
      <w:pPr>
        <w:pStyle w:val="Heading1"/>
      </w:pPr>
      <w:bookmarkStart w:id="10" w:name="_Toc145616161"/>
      <w:r w:rsidRPr="00D32A9F">
        <w:t>Abstract</w:t>
      </w:r>
      <w:bookmarkEnd w:id="10"/>
    </w:p>
    <w:p w14:paraId="661859C1" w14:textId="634BA607" w:rsidR="00D32A9F" w:rsidRDefault="00D32A9F" w:rsidP="00624886">
      <w:pPr>
        <w:spacing w:line="480" w:lineRule="auto"/>
        <w:jc w:val="both"/>
        <w:rPr>
          <w:rFonts w:ascii="Times New Roman" w:hAnsi="Times New Roman" w:cs="Times New Roman"/>
          <w:sz w:val="24"/>
          <w:szCs w:val="24"/>
          <w:lang w:val="en-US"/>
        </w:rPr>
      </w:pPr>
      <w:r w:rsidRPr="00D32A9F">
        <w:rPr>
          <w:rFonts w:ascii="Times New Roman" w:hAnsi="Times New Roman" w:cs="Times New Roman"/>
          <w:sz w:val="24"/>
          <w:szCs w:val="24"/>
          <w:lang w:val="en-US"/>
        </w:rPr>
        <w:t xml:space="preserve">This </w:t>
      </w:r>
      <w:r w:rsidR="00DF66E9">
        <w:rPr>
          <w:rFonts w:ascii="Times New Roman" w:hAnsi="Times New Roman" w:cs="Times New Roman"/>
          <w:sz w:val="24"/>
          <w:szCs w:val="24"/>
          <w:lang w:val="en-US"/>
        </w:rPr>
        <w:t>thesis</w:t>
      </w:r>
      <w:r w:rsidR="00DF66E9" w:rsidRPr="00D32A9F">
        <w:rPr>
          <w:rFonts w:ascii="Times New Roman" w:hAnsi="Times New Roman" w:cs="Times New Roman"/>
          <w:sz w:val="24"/>
          <w:szCs w:val="24"/>
          <w:lang w:val="en-US"/>
        </w:rPr>
        <w:t xml:space="preserve"> </w:t>
      </w:r>
      <w:r w:rsidR="00355D8F">
        <w:rPr>
          <w:rFonts w:ascii="Times New Roman" w:hAnsi="Times New Roman" w:cs="Times New Roman"/>
          <w:sz w:val="24"/>
          <w:szCs w:val="24"/>
          <w:lang w:val="en-US"/>
        </w:rPr>
        <w:t>examines</w:t>
      </w:r>
      <w:r w:rsidRPr="00D32A9F">
        <w:rPr>
          <w:rFonts w:ascii="Times New Roman" w:hAnsi="Times New Roman" w:cs="Times New Roman"/>
          <w:sz w:val="24"/>
          <w:szCs w:val="24"/>
          <w:lang w:val="en-US"/>
        </w:rPr>
        <w:t xml:space="preserve"> recent regulatory reforms </w:t>
      </w:r>
      <w:r>
        <w:rPr>
          <w:rFonts w:ascii="Times New Roman" w:hAnsi="Times New Roman" w:cs="Times New Roman"/>
          <w:sz w:val="24"/>
          <w:szCs w:val="24"/>
          <w:lang w:val="en-US"/>
        </w:rPr>
        <w:t>on</w:t>
      </w:r>
      <w:r w:rsidRPr="00D32A9F">
        <w:rPr>
          <w:rFonts w:ascii="Times New Roman" w:hAnsi="Times New Roman" w:cs="Times New Roman"/>
          <w:sz w:val="24"/>
          <w:szCs w:val="24"/>
          <w:lang w:val="en-US"/>
        </w:rPr>
        <w:t xml:space="preserve"> risk governance</w:t>
      </w:r>
      <w:r w:rsidR="00624886">
        <w:rPr>
          <w:rFonts w:ascii="Times New Roman" w:hAnsi="Times New Roman" w:cs="Times New Roman"/>
          <w:sz w:val="24"/>
          <w:szCs w:val="24"/>
          <w:lang w:val="en-US"/>
        </w:rPr>
        <w:t xml:space="preserve"> and </w:t>
      </w:r>
      <w:r w:rsidR="00355D8F">
        <w:rPr>
          <w:rFonts w:ascii="Times New Roman" w:hAnsi="Times New Roman" w:cs="Times New Roman"/>
          <w:sz w:val="24"/>
          <w:szCs w:val="24"/>
          <w:lang w:val="en-US"/>
        </w:rPr>
        <w:t>focu</w:t>
      </w:r>
      <w:r w:rsidR="00A54B4F">
        <w:rPr>
          <w:rFonts w:ascii="Times New Roman" w:hAnsi="Times New Roman" w:cs="Times New Roman"/>
          <w:sz w:val="24"/>
          <w:szCs w:val="24"/>
          <w:lang w:val="en-US"/>
        </w:rPr>
        <w:t>se</w:t>
      </w:r>
      <w:r w:rsidR="00355D8F">
        <w:rPr>
          <w:rFonts w:ascii="Times New Roman" w:hAnsi="Times New Roman" w:cs="Times New Roman"/>
          <w:sz w:val="24"/>
          <w:szCs w:val="24"/>
          <w:lang w:val="en-US"/>
        </w:rPr>
        <w:t xml:space="preserve">s on </w:t>
      </w:r>
      <w:r w:rsidR="00624886">
        <w:rPr>
          <w:rFonts w:ascii="Times New Roman" w:hAnsi="Times New Roman" w:cs="Times New Roman"/>
          <w:sz w:val="24"/>
          <w:szCs w:val="24"/>
          <w:lang w:val="en-US"/>
        </w:rPr>
        <w:t xml:space="preserve">three </w:t>
      </w:r>
      <w:r w:rsidR="00355D8F">
        <w:rPr>
          <w:rFonts w:ascii="Times New Roman" w:hAnsi="Times New Roman" w:cs="Times New Roman"/>
          <w:sz w:val="24"/>
          <w:szCs w:val="24"/>
          <w:lang w:val="en-US"/>
        </w:rPr>
        <w:t>key areas</w:t>
      </w:r>
      <w:r w:rsidR="00624886">
        <w:rPr>
          <w:rFonts w:ascii="Times New Roman" w:hAnsi="Times New Roman" w:cs="Times New Roman"/>
          <w:sz w:val="24"/>
          <w:szCs w:val="24"/>
          <w:lang w:val="en-US"/>
        </w:rPr>
        <w:t xml:space="preserve">: the role of the chief risk officer, risk culture and board diversity. </w:t>
      </w:r>
      <w:r w:rsidR="00355D8F">
        <w:rPr>
          <w:rFonts w:ascii="Times New Roman" w:hAnsi="Times New Roman" w:cs="Times New Roman"/>
          <w:sz w:val="24"/>
          <w:szCs w:val="24"/>
          <w:lang w:val="en-US"/>
        </w:rPr>
        <w:t>T</w:t>
      </w:r>
      <w:r w:rsidR="00624886" w:rsidRPr="00624886">
        <w:rPr>
          <w:rFonts w:ascii="Times New Roman" w:hAnsi="Times New Roman" w:cs="Times New Roman"/>
          <w:sz w:val="24"/>
          <w:szCs w:val="24"/>
          <w:lang w:val="en-US"/>
        </w:rPr>
        <w:t xml:space="preserve">his study is </w:t>
      </w:r>
      <w:r w:rsidR="00355D8F">
        <w:rPr>
          <w:rFonts w:ascii="Times New Roman" w:hAnsi="Times New Roman" w:cs="Times New Roman"/>
          <w:sz w:val="24"/>
          <w:szCs w:val="24"/>
          <w:lang w:val="en-US"/>
        </w:rPr>
        <w:t>aimed to</w:t>
      </w:r>
      <w:r w:rsidR="00624886" w:rsidRPr="00624886">
        <w:rPr>
          <w:rFonts w:ascii="Times New Roman" w:hAnsi="Times New Roman" w:cs="Times New Roman"/>
          <w:sz w:val="24"/>
          <w:szCs w:val="24"/>
          <w:lang w:val="en-US"/>
        </w:rPr>
        <w:t xml:space="preserve"> clos</w:t>
      </w:r>
      <w:r w:rsidR="00355D8F">
        <w:rPr>
          <w:rFonts w:ascii="Times New Roman" w:hAnsi="Times New Roman" w:cs="Times New Roman"/>
          <w:sz w:val="24"/>
          <w:szCs w:val="24"/>
          <w:lang w:val="en-US"/>
        </w:rPr>
        <w:t>e</w:t>
      </w:r>
      <w:r w:rsidR="00624886" w:rsidRPr="00624886">
        <w:rPr>
          <w:rFonts w:ascii="Times New Roman" w:hAnsi="Times New Roman" w:cs="Times New Roman"/>
          <w:sz w:val="24"/>
          <w:szCs w:val="24"/>
          <w:lang w:val="en-US"/>
        </w:rPr>
        <w:t xml:space="preserve"> the gap between corporate governance and </w:t>
      </w:r>
      <w:r w:rsidR="00355D8F">
        <w:rPr>
          <w:rFonts w:ascii="Times New Roman" w:hAnsi="Times New Roman" w:cs="Times New Roman"/>
          <w:sz w:val="24"/>
          <w:szCs w:val="24"/>
          <w:lang w:val="en-US"/>
        </w:rPr>
        <w:t xml:space="preserve">bank </w:t>
      </w:r>
      <w:r w:rsidR="00624886" w:rsidRPr="00624886">
        <w:rPr>
          <w:rFonts w:ascii="Times New Roman" w:hAnsi="Times New Roman" w:cs="Times New Roman"/>
          <w:sz w:val="24"/>
          <w:szCs w:val="24"/>
          <w:lang w:val="en-US"/>
        </w:rPr>
        <w:t>risk management</w:t>
      </w:r>
      <w:r w:rsidR="00E35EED">
        <w:rPr>
          <w:rFonts w:ascii="Times New Roman" w:hAnsi="Times New Roman" w:cs="Times New Roman"/>
          <w:sz w:val="24"/>
          <w:szCs w:val="24"/>
          <w:lang w:val="en-US"/>
        </w:rPr>
        <w:t xml:space="preserve">. This thesis consists of three empirical chapters. </w:t>
      </w:r>
    </w:p>
    <w:p w14:paraId="2A1F8CC3" w14:textId="0F3AEF02" w:rsidR="00624886" w:rsidRDefault="00624886" w:rsidP="00624886">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In </w:t>
      </w:r>
      <w:r w:rsidR="00E35EED">
        <w:rPr>
          <w:rFonts w:ascii="Times New Roman" w:hAnsi="Times New Roman" w:cs="Times New Roman"/>
          <w:sz w:val="24"/>
          <w:szCs w:val="24"/>
          <w:lang w:val="en-US"/>
        </w:rPr>
        <w:t>the empirical chapter (</w:t>
      </w:r>
      <w:r w:rsidRPr="00624886">
        <w:rPr>
          <w:rFonts w:ascii="Times New Roman" w:hAnsi="Times New Roman" w:cs="Times New Roman"/>
          <w:i/>
          <w:iCs/>
          <w:sz w:val="24"/>
          <w:szCs w:val="24"/>
          <w:lang w:val="en-US"/>
        </w:rPr>
        <w:t>Chapter 3</w:t>
      </w:r>
      <w:r w:rsidR="00E35EED">
        <w:rPr>
          <w:rFonts w:ascii="Times New Roman" w:hAnsi="Times New Roman" w:cs="Times New Roman"/>
          <w:i/>
          <w:iCs/>
          <w:sz w:val="24"/>
          <w:szCs w:val="24"/>
          <w:lang w:val="en-US"/>
        </w:rPr>
        <w:t>)</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sidR="00DF66E9">
        <w:rPr>
          <w:rFonts w:ascii="Times New Roman" w:hAnsi="Times New Roman" w:cs="Times New Roman"/>
          <w:sz w:val="24"/>
          <w:szCs w:val="24"/>
          <w:lang w:val="en-US"/>
        </w:rPr>
        <w:t>I</w:t>
      </w:r>
      <w:r w:rsidR="00A17A6A">
        <w:rPr>
          <w:rFonts w:ascii="Times New Roman" w:hAnsi="Times New Roman" w:cs="Times New Roman"/>
          <w:sz w:val="24"/>
          <w:szCs w:val="24"/>
          <w:lang w:val="en-US"/>
        </w:rPr>
        <w:t xml:space="preserve"> </w:t>
      </w:r>
      <w:r w:rsidRPr="00624886">
        <w:rPr>
          <w:rFonts w:ascii="Times New Roman" w:hAnsi="Times New Roman" w:cs="Times New Roman"/>
          <w:sz w:val="24"/>
          <w:szCs w:val="24"/>
        </w:rPr>
        <w:t>investigate how the presence of female chief risk officers (CROs) affects risk practices in banks.</w:t>
      </w:r>
      <w:r>
        <w:rPr>
          <w:rFonts w:ascii="Times New Roman" w:hAnsi="Times New Roman" w:cs="Times New Roman"/>
          <w:sz w:val="24"/>
          <w:szCs w:val="24"/>
        </w:rPr>
        <w:t xml:space="preserve"> </w:t>
      </w:r>
      <w:r w:rsidRPr="00624886">
        <w:rPr>
          <w:rFonts w:ascii="Times New Roman" w:hAnsi="Times New Roman" w:cs="Times New Roman"/>
          <w:sz w:val="24"/>
          <w:szCs w:val="24"/>
        </w:rPr>
        <w:t>Using a unique dataset of 120 US banks</w:t>
      </w:r>
      <w:r w:rsidR="00A17A6A">
        <w:rPr>
          <w:rFonts w:ascii="Times New Roman" w:hAnsi="Times New Roman" w:cs="Times New Roman"/>
          <w:sz w:val="24"/>
          <w:szCs w:val="24"/>
        </w:rPr>
        <w:t xml:space="preserve"> and Bank holding Companies</w:t>
      </w:r>
      <w:r w:rsidRPr="00624886">
        <w:rPr>
          <w:rFonts w:ascii="Times New Roman" w:hAnsi="Times New Roman" w:cs="Times New Roman"/>
          <w:sz w:val="24"/>
          <w:szCs w:val="24"/>
        </w:rPr>
        <w:t xml:space="preserve"> for 2004–2018, </w:t>
      </w:r>
      <w:r w:rsidR="00DF66E9">
        <w:rPr>
          <w:rFonts w:ascii="Times New Roman" w:hAnsi="Times New Roman" w:cs="Times New Roman"/>
          <w:sz w:val="24"/>
          <w:szCs w:val="24"/>
        </w:rPr>
        <w:t xml:space="preserve">I </w:t>
      </w:r>
      <w:r w:rsidRPr="00624886">
        <w:rPr>
          <w:rFonts w:ascii="Times New Roman" w:hAnsi="Times New Roman" w:cs="Times New Roman"/>
          <w:sz w:val="24"/>
          <w:szCs w:val="24"/>
        </w:rPr>
        <w:t>find that female CROs tak</w:t>
      </w:r>
      <w:r w:rsidR="00355D8F">
        <w:rPr>
          <w:rFonts w:ascii="Times New Roman" w:hAnsi="Times New Roman" w:cs="Times New Roman"/>
          <w:sz w:val="24"/>
          <w:szCs w:val="24"/>
        </w:rPr>
        <w:t>e</w:t>
      </w:r>
      <w:r w:rsidRPr="00624886">
        <w:rPr>
          <w:rFonts w:ascii="Times New Roman" w:hAnsi="Times New Roman" w:cs="Times New Roman"/>
          <w:sz w:val="24"/>
          <w:szCs w:val="24"/>
        </w:rPr>
        <w:t xml:space="preserve"> higher risks</w:t>
      </w:r>
      <w:r w:rsidR="00A54B4F">
        <w:rPr>
          <w:rFonts w:ascii="Times New Roman" w:hAnsi="Times New Roman" w:cs="Times New Roman"/>
          <w:sz w:val="24"/>
          <w:szCs w:val="24"/>
        </w:rPr>
        <w:t>,</w:t>
      </w:r>
      <w:r w:rsidR="00355D8F">
        <w:rPr>
          <w:rFonts w:ascii="Times New Roman" w:hAnsi="Times New Roman" w:cs="Times New Roman"/>
          <w:sz w:val="24"/>
          <w:szCs w:val="24"/>
        </w:rPr>
        <w:t xml:space="preserve"> but </w:t>
      </w:r>
      <w:r w:rsidRPr="00624886">
        <w:rPr>
          <w:rFonts w:ascii="Times New Roman" w:hAnsi="Times New Roman" w:cs="Times New Roman"/>
          <w:sz w:val="24"/>
          <w:szCs w:val="24"/>
        </w:rPr>
        <w:t>female presence on risk committees and in boardrooms moderate</w:t>
      </w:r>
      <w:r>
        <w:rPr>
          <w:rFonts w:ascii="Times New Roman" w:hAnsi="Times New Roman" w:cs="Times New Roman"/>
          <w:sz w:val="24"/>
          <w:szCs w:val="24"/>
        </w:rPr>
        <w:t>s</w:t>
      </w:r>
      <w:r w:rsidRPr="00624886">
        <w:rPr>
          <w:rFonts w:ascii="Times New Roman" w:hAnsi="Times New Roman" w:cs="Times New Roman"/>
          <w:sz w:val="24"/>
          <w:szCs w:val="24"/>
        </w:rPr>
        <w:t xml:space="preserve"> the risk behaviour of the female CROs. Interestingly, female CROs reporting to the board instead of the CEO results in a low level of risk by banks. </w:t>
      </w:r>
      <w:r w:rsidR="00355D8F">
        <w:rPr>
          <w:rFonts w:ascii="Times New Roman" w:hAnsi="Times New Roman" w:cs="Times New Roman"/>
          <w:sz w:val="24"/>
          <w:szCs w:val="24"/>
        </w:rPr>
        <w:t xml:space="preserve">The </w:t>
      </w:r>
      <w:r w:rsidRPr="00624886">
        <w:rPr>
          <w:rFonts w:ascii="Times New Roman" w:hAnsi="Times New Roman" w:cs="Times New Roman"/>
          <w:sz w:val="24"/>
          <w:szCs w:val="24"/>
        </w:rPr>
        <w:t xml:space="preserve">results have important implications for regulators and corporate boards, showing that </w:t>
      </w:r>
      <w:r w:rsidR="00A54B4F">
        <w:rPr>
          <w:rFonts w:ascii="Times New Roman" w:hAnsi="Times New Roman" w:cs="Times New Roman"/>
          <w:sz w:val="24"/>
          <w:szCs w:val="24"/>
        </w:rPr>
        <w:t>appointing a female risk officer is in</w:t>
      </w:r>
      <w:r w:rsidRPr="00624886">
        <w:rPr>
          <w:rFonts w:ascii="Times New Roman" w:hAnsi="Times New Roman" w:cs="Times New Roman"/>
          <w:sz w:val="24"/>
          <w:szCs w:val="24"/>
        </w:rPr>
        <w:t xml:space="preserve">sufficient to reduce risk. </w:t>
      </w:r>
    </w:p>
    <w:p w14:paraId="58267AEA" w14:textId="48994015" w:rsidR="00624886" w:rsidRPr="00624886" w:rsidRDefault="002E04CA" w:rsidP="00624886">
      <w:pPr>
        <w:spacing w:line="480" w:lineRule="auto"/>
        <w:jc w:val="both"/>
        <w:rPr>
          <w:rFonts w:ascii="Times New Roman" w:hAnsi="Times New Roman" w:cs="Times New Roman"/>
          <w:sz w:val="24"/>
          <w:szCs w:val="24"/>
        </w:rPr>
      </w:pPr>
      <w:r w:rsidRPr="00A17A6A">
        <w:rPr>
          <w:rFonts w:ascii="Times New Roman" w:hAnsi="Times New Roman" w:cs="Times New Roman"/>
          <w:sz w:val="24"/>
          <w:szCs w:val="24"/>
        </w:rPr>
        <w:t>T</w:t>
      </w:r>
      <w:r w:rsidR="00875429" w:rsidRPr="00A17A6A">
        <w:rPr>
          <w:rFonts w:ascii="Times New Roman" w:hAnsi="Times New Roman" w:cs="Times New Roman"/>
          <w:sz w:val="24"/>
          <w:szCs w:val="24"/>
        </w:rPr>
        <w:t xml:space="preserve">he </w:t>
      </w:r>
      <w:r w:rsidR="00A17A6A">
        <w:rPr>
          <w:rFonts w:ascii="Times New Roman" w:hAnsi="Times New Roman" w:cs="Times New Roman"/>
          <w:sz w:val="24"/>
          <w:szCs w:val="24"/>
        </w:rPr>
        <w:t>e</w:t>
      </w:r>
      <w:r w:rsidR="00875429" w:rsidRPr="00A17A6A">
        <w:rPr>
          <w:rFonts w:ascii="Times New Roman" w:hAnsi="Times New Roman" w:cs="Times New Roman"/>
          <w:sz w:val="24"/>
          <w:szCs w:val="24"/>
        </w:rPr>
        <w:t>mpirical</w:t>
      </w:r>
      <w:r w:rsidR="00875429">
        <w:rPr>
          <w:rFonts w:ascii="Times New Roman" w:hAnsi="Times New Roman" w:cs="Times New Roman"/>
          <w:i/>
          <w:iCs/>
          <w:sz w:val="24"/>
          <w:szCs w:val="24"/>
        </w:rPr>
        <w:t xml:space="preserve"> </w:t>
      </w:r>
      <w:r w:rsidR="00A17A6A">
        <w:rPr>
          <w:rFonts w:ascii="Times New Roman" w:hAnsi="Times New Roman" w:cs="Times New Roman"/>
          <w:sz w:val="24"/>
          <w:szCs w:val="24"/>
        </w:rPr>
        <w:t>chapter</w:t>
      </w:r>
      <w:r w:rsidR="00875429">
        <w:rPr>
          <w:rFonts w:ascii="Times New Roman" w:hAnsi="Times New Roman" w:cs="Times New Roman"/>
          <w:i/>
          <w:iCs/>
          <w:sz w:val="24"/>
          <w:szCs w:val="24"/>
        </w:rPr>
        <w:t xml:space="preserve"> (</w:t>
      </w:r>
      <w:r w:rsidR="00624886" w:rsidRPr="00624886">
        <w:rPr>
          <w:rFonts w:ascii="Times New Roman" w:hAnsi="Times New Roman" w:cs="Times New Roman"/>
          <w:i/>
          <w:iCs/>
          <w:sz w:val="24"/>
          <w:szCs w:val="24"/>
        </w:rPr>
        <w:t>Chapter 4</w:t>
      </w:r>
      <w:r w:rsidR="00875429">
        <w:rPr>
          <w:rFonts w:ascii="Times New Roman" w:hAnsi="Times New Roman" w:cs="Times New Roman"/>
          <w:i/>
          <w:iCs/>
          <w:sz w:val="24"/>
          <w:szCs w:val="24"/>
        </w:rPr>
        <w:t xml:space="preserve">) </w:t>
      </w:r>
      <w:r w:rsidR="00624886" w:rsidRPr="00B6684C">
        <w:rPr>
          <w:rFonts w:ascii="Times New Roman" w:hAnsi="Times New Roman" w:cs="Times New Roman"/>
          <w:color w:val="000000" w:themeColor="text1"/>
          <w:sz w:val="24"/>
          <w:szCs w:val="24"/>
        </w:rPr>
        <w:t>explore</w:t>
      </w:r>
      <w:r w:rsidR="00A54B4F">
        <w:rPr>
          <w:rFonts w:ascii="Times New Roman" w:hAnsi="Times New Roman" w:cs="Times New Roman"/>
          <w:color w:val="000000" w:themeColor="text1"/>
          <w:sz w:val="24"/>
          <w:szCs w:val="24"/>
        </w:rPr>
        <w:t>s</w:t>
      </w:r>
      <w:r w:rsidR="00624886" w:rsidRPr="00B6684C">
        <w:rPr>
          <w:rFonts w:ascii="Times New Roman" w:hAnsi="Times New Roman" w:cs="Times New Roman"/>
          <w:color w:val="000000" w:themeColor="text1"/>
          <w:sz w:val="24"/>
          <w:szCs w:val="24"/>
        </w:rPr>
        <w:t xml:space="preserve"> the impact of corporate </w:t>
      </w:r>
      <w:r w:rsidR="00624886">
        <w:rPr>
          <w:rFonts w:ascii="Times New Roman" w:hAnsi="Times New Roman" w:cs="Times New Roman"/>
          <w:color w:val="000000" w:themeColor="text1"/>
          <w:sz w:val="24"/>
          <w:szCs w:val="24"/>
        </w:rPr>
        <w:t xml:space="preserve">risk </w:t>
      </w:r>
      <w:r w:rsidR="00624886" w:rsidRPr="00B6684C">
        <w:rPr>
          <w:rFonts w:ascii="Times New Roman" w:hAnsi="Times New Roman" w:cs="Times New Roman"/>
          <w:color w:val="000000" w:themeColor="text1"/>
          <w:sz w:val="24"/>
          <w:szCs w:val="24"/>
        </w:rPr>
        <w:t xml:space="preserve">culture and board gender diversity </w:t>
      </w:r>
      <w:r w:rsidR="00C55858">
        <w:rPr>
          <w:rFonts w:ascii="Times New Roman" w:hAnsi="Times New Roman" w:cs="Times New Roman"/>
          <w:color w:val="000000" w:themeColor="text1"/>
          <w:sz w:val="24"/>
          <w:szCs w:val="24"/>
        </w:rPr>
        <w:t xml:space="preserve">on </w:t>
      </w:r>
      <w:r w:rsidR="00624886" w:rsidRPr="00B6684C">
        <w:rPr>
          <w:rFonts w:ascii="Times New Roman" w:hAnsi="Times New Roman" w:cs="Times New Roman"/>
          <w:color w:val="000000" w:themeColor="text1"/>
          <w:sz w:val="24"/>
          <w:szCs w:val="24"/>
        </w:rPr>
        <w:t xml:space="preserve">bank risk behaviour. Using a Competing Value Framework to measure the corporate risk culture of </w:t>
      </w:r>
      <w:r w:rsidR="00A17A6A">
        <w:rPr>
          <w:rFonts w:ascii="Times New Roman" w:hAnsi="Times New Roman" w:cs="Times New Roman"/>
          <w:color w:val="000000" w:themeColor="text1"/>
          <w:sz w:val="24"/>
          <w:szCs w:val="24"/>
        </w:rPr>
        <w:t xml:space="preserve">120 </w:t>
      </w:r>
      <w:r w:rsidR="00624886" w:rsidRPr="00B6684C">
        <w:rPr>
          <w:rFonts w:ascii="Times New Roman" w:hAnsi="Times New Roman" w:cs="Times New Roman"/>
          <w:color w:val="000000" w:themeColor="text1"/>
          <w:sz w:val="24"/>
          <w:szCs w:val="24"/>
        </w:rPr>
        <w:t>U.S</w:t>
      </w:r>
      <w:r w:rsidR="00A54B4F">
        <w:rPr>
          <w:rFonts w:ascii="Times New Roman" w:hAnsi="Times New Roman" w:cs="Times New Roman"/>
          <w:color w:val="000000" w:themeColor="text1"/>
          <w:sz w:val="24"/>
          <w:szCs w:val="24"/>
        </w:rPr>
        <w:t>.</w:t>
      </w:r>
      <w:r w:rsidR="00624886" w:rsidRPr="00B6684C">
        <w:rPr>
          <w:rFonts w:ascii="Times New Roman" w:hAnsi="Times New Roman" w:cs="Times New Roman"/>
          <w:color w:val="000000" w:themeColor="text1"/>
          <w:sz w:val="24"/>
          <w:szCs w:val="24"/>
        </w:rPr>
        <w:t xml:space="preserve"> banks and bank holding companies for 2004-2018, this research provides empirical evidence that enhanced board gender diversity interacts with the risk culture, leading to less risk</w:t>
      </w:r>
      <w:r w:rsidR="001278ED">
        <w:rPr>
          <w:rFonts w:ascii="Times New Roman" w:hAnsi="Times New Roman" w:cs="Times New Roman"/>
          <w:color w:val="000000" w:themeColor="text1"/>
          <w:sz w:val="24"/>
          <w:szCs w:val="24"/>
        </w:rPr>
        <w:t xml:space="preserve"> </w:t>
      </w:r>
      <w:r w:rsidR="00C55858">
        <w:rPr>
          <w:rFonts w:ascii="Times New Roman" w:hAnsi="Times New Roman" w:cs="Times New Roman"/>
          <w:color w:val="000000" w:themeColor="text1"/>
          <w:sz w:val="24"/>
          <w:szCs w:val="24"/>
        </w:rPr>
        <w:t>in</w:t>
      </w:r>
      <w:r w:rsidR="001278ED">
        <w:rPr>
          <w:rFonts w:ascii="Times New Roman" w:hAnsi="Times New Roman" w:cs="Times New Roman"/>
          <w:color w:val="000000" w:themeColor="text1"/>
          <w:sz w:val="24"/>
          <w:szCs w:val="24"/>
        </w:rPr>
        <w:t xml:space="preserve"> banks</w:t>
      </w:r>
      <w:r w:rsidR="00624886" w:rsidRPr="00B6684C">
        <w:rPr>
          <w:rFonts w:ascii="Times New Roman" w:hAnsi="Times New Roman" w:cs="Times New Roman"/>
          <w:color w:val="000000" w:themeColor="text1"/>
          <w:sz w:val="24"/>
          <w:szCs w:val="24"/>
        </w:rPr>
        <w:t xml:space="preserve">. </w:t>
      </w:r>
      <w:r w:rsidR="00624886" w:rsidRPr="00361CD7">
        <w:rPr>
          <w:rFonts w:ascii="Times New Roman" w:hAnsi="Times New Roman" w:cs="Times New Roman"/>
          <w:color w:val="000000" w:themeColor="text1"/>
          <w:sz w:val="24"/>
          <w:szCs w:val="24"/>
        </w:rPr>
        <w:t xml:space="preserve">The </w:t>
      </w:r>
      <w:r w:rsidR="000460F4" w:rsidRPr="00361CD7">
        <w:rPr>
          <w:rFonts w:ascii="Times New Roman" w:hAnsi="Times New Roman" w:cs="Times New Roman"/>
          <w:color w:val="000000" w:themeColor="text1"/>
          <w:sz w:val="24"/>
          <w:szCs w:val="24"/>
        </w:rPr>
        <w:t>process</w:t>
      </w:r>
      <w:r w:rsidR="00624886" w:rsidRPr="00361CD7">
        <w:rPr>
          <w:rFonts w:ascii="Times New Roman" w:hAnsi="Times New Roman" w:cs="Times New Roman"/>
          <w:color w:val="000000" w:themeColor="text1"/>
          <w:sz w:val="24"/>
          <w:szCs w:val="24"/>
        </w:rPr>
        <w:t xml:space="preserve"> through which gender diversity </w:t>
      </w:r>
      <w:r w:rsidR="000460F4" w:rsidRPr="00361CD7">
        <w:rPr>
          <w:rFonts w:ascii="Times New Roman" w:hAnsi="Times New Roman" w:cs="Times New Roman"/>
          <w:color w:val="000000" w:themeColor="text1"/>
          <w:sz w:val="24"/>
          <w:szCs w:val="24"/>
        </w:rPr>
        <w:t>influences</w:t>
      </w:r>
      <w:r w:rsidR="00624886" w:rsidRPr="00361CD7">
        <w:rPr>
          <w:rFonts w:ascii="Times New Roman" w:hAnsi="Times New Roman" w:cs="Times New Roman"/>
          <w:color w:val="000000" w:themeColor="text1"/>
          <w:sz w:val="24"/>
          <w:szCs w:val="24"/>
        </w:rPr>
        <w:t xml:space="preserve"> board </w:t>
      </w:r>
      <w:r w:rsidR="000460F4" w:rsidRPr="00361CD7">
        <w:rPr>
          <w:rFonts w:ascii="Times New Roman" w:hAnsi="Times New Roman" w:cs="Times New Roman"/>
          <w:color w:val="000000" w:themeColor="text1"/>
          <w:sz w:val="24"/>
          <w:szCs w:val="24"/>
        </w:rPr>
        <w:t>efficiency</w:t>
      </w:r>
      <w:r w:rsidR="00624886" w:rsidRPr="00361CD7">
        <w:rPr>
          <w:rFonts w:ascii="Times New Roman" w:hAnsi="Times New Roman" w:cs="Times New Roman"/>
          <w:color w:val="000000" w:themeColor="text1"/>
          <w:sz w:val="24"/>
          <w:szCs w:val="24"/>
        </w:rPr>
        <w:t xml:space="preserve"> in </w:t>
      </w:r>
      <w:r w:rsidR="000460F4">
        <w:rPr>
          <w:rFonts w:ascii="Times New Roman" w:hAnsi="Times New Roman" w:cs="Times New Roman"/>
          <w:color w:val="000000" w:themeColor="text1"/>
          <w:sz w:val="24"/>
          <w:szCs w:val="24"/>
        </w:rPr>
        <w:t>moderating</w:t>
      </w:r>
      <w:r w:rsidR="00624886">
        <w:rPr>
          <w:rFonts w:ascii="Times New Roman" w:hAnsi="Times New Roman" w:cs="Times New Roman"/>
          <w:color w:val="000000" w:themeColor="text1"/>
          <w:sz w:val="24"/>
          <w:szCs w:val="24"/>
        </w:rPr>
        <w:t xml:space="preserve"> risk</w:t>
      </w:r>
      <w:r w:rsidR="00624886" w:rsidRPr="00361CD7">
        <w:rPr>
          <w:rFonts w:ascii="Times New Roman" w:hAnsi="Times New Roman" w:cs="Times New Roman"/>
          <w:color w:val="000000" w:themeColor="text1"/>
          <w:sz w:val="24"/>
          <w:szCs w:val="24"/>
        </w:rPr>
        <w:t xml:space="preserve"> </w:t>
      </w:r>
      <w:r w:rsidR="000460F4">
        <w:rPr>
          <w:rFonts w:ascii="Times New Roman" w:hAnsi="Times New Roman" w:cs="Times New Roman"/>
          <w:color w:val="000000" w:themeColor="text1"/>
          <w:sz w:val="24"/>
          <w:szCs w:val="24"/>
        </w:rPr>
        <w:t xml:space="preserve">comes </w:t>
      </w:r>
      <w:r w:rsidR="00624886" w:rsidRPr="00361CD7">
        <w:rPr>
          <w:rFonts w:ascii="Times New Roman" w:hAnsi="Times New Roman" w:cs="Times New Roman"/>
          <w:color w:val="000000" w:themeColor="text1"/>
          <w:sz w:val="24"/>
          <w:szCs w:val="24"/>
        </w:rPr>
        <w:t xml:space="preserve">from the </w:t>
      </w:r>
      <w:r w:rsidR="00A54B4F">
        <w:rPr>
          <w:rFonts w:ascii="Times New Roman" w:hAnsi="Times New Roman" w:cs="Times New Roman"/>
          <w:color w:val="000000" w:themeColor="text1"/>
          <w:sz w:val="24"/>
          <w:szCs w:val="24"/>
        </w:rPr>
        <w:t>female directors' ethical and risk-averse nature</w:t>
      </w:r>
      <w:r w:rsidR="00624886">
        <w:rPr>
          <w:rFonts w:ascii="Times New Roman" w:hAnsi="Times New Roman" w:cs="Times New Roman"/>
          <w:color w:val="000000" w:themeColor="text1"/>
          <w:sz w:val="24"/>
          <w:szCs w:val="24"/>
        </w:rPr>
        <w:t xml:space="preserve">. </w:t>
      </w:r>
      <w:r w:rsidR="00F66CAB">
        <w:rPr>
          <w:rFonts w:ascii="Times New Roman" w:hAnsi="Times New Roman" w:cs="Times New Roman"/>
          <w:color w:val="000000" w:themeColor="text1"/>
          <w:sz w:val="24"/>
          <w:szCs w:val="24"/>
        </w:rPr>
        <w:t>It</w:t>
      </w:r>
      <w:r w:rsidR="00624886" w:rsidRPr="00B6684C">
        <w:rPr>
          <w:rFonts w:ascii="Times New Roman" w:hAnsi="Times New Roman" w:cs="Times New Roman"/>
          <w:color w:val="000000" w:themeColor="text1"/>
          <w:sz w:val="24"/>
          <w:szCs w:val="24"/>
        </w:rPr>
        <w:t xml:space="preserve"> further confirms that female directors influence the risk culture when their number reaches a critical mass. This study also reveals that the impact of greater </w:t>
      </w:r>
      <w:r w:rsidR="00624886">
        <w:rPr>
          <w:rFonts w:ascii="Times New Roman" w:hAnsi="Times New Roman" w:cs="Times New Roman"/>
          <w:color w:val="000000" w:themeColor="text1"/>
          <w:sz w:val="24"/>
          <w:szCs w:val="24"/>
        </w:rPr>
        <w:t xml:space="preserve">board </w:t>
      </w:r>
      <w:r w:rsidR="00624886" w:rsidRPr="00B6684C">
        <w:rPr>
          <w:rFonts w:ascii="Times New Roman" w:hAnsi="Times New Roman" w:cs="Times New Roman"/>
          <w:color w:val="000000" w:themeColor="text1"/>
          <w:sz w:val="24"/>
          <w:szCs w:val="24"/>
        </w:rPr>
        <w:t xml:space="preserve">gender diversity on risk culture has </w:t>
      </w:r>
      <w:r w:rsidR="000460F4" w:rsidRPr="00B6684C">
        <w:rPr>
          <w:rFonts w:ascii="Times New Roman" w:hAnsi="Times New Roman" w:cs="Times New Roman"/>
          <w:color w:val="000000" w:themeColor="text1"/>
          <w:sz w:val="24"/>
          <w:szCs w:val="24"/>
        </w:rPr>
        <w:t>considerably</w:t>
      </w:r>
      <w:r w:rsidR="00624886" w:rsidRPr="00B6684C">
        <w:rPr>
          <w:rFonts w:ascii="Times New Roman" w:hAnsi="Times New Roman" w:cs="Times New Roman"/>
          <w:color w:val="000000" w:themeColor="text1"/>
          <w:sz w:val="24"/>
          <w:szCs w:val="24"/>
        </w:rPr>
        <w:t xml:space="preserve"> </w:t>
      </w:r>
      <w:r w:rsidR="000460F4">
        <w:rPr>
          <w:rFonts w:ascii="Times New Roman" w:hAnsi="Times New Roman" w:cs="Times New Roman"/>
          <w:color w:val="000000" w:themeColor="text1"/>
          <w:sz w:val="24"/>
          <w:szCs w:val="24"/>
        </w:rPr>
        <w:t xml:space="preserve">resulted in </w:t>
      </w:r>
      <w:r w:rsidR="00A54B4F">
        <w:rPr>
          <w:rFonts w:ascii="Times New Roman" w:hAnsi="Times New Roman" w:cs="Times New Roman"/>
          <w:color w:val="000000" w:themeColor="text1"/>
          <w:sz w:val="24"/>
          <w:szCs w:val="24"/>
        </w:rPr>
        <w:t xml:space="preserve">a </w:t>
      </w:r>
      <w:r w:rsidR="000460F4">
        <w:rPr>
          <w:rFonts w:ascii="Times New Roman" w:hAnsi="Times New Roman" w:cs="Times New Roman"/>
          <w:color w:val="000000" w:themeColor="text1"/>
          <w:sz w:val="24"/>
          <w:szCs w:val="24"/>
        </w:rPr>
        <w:t xml:space="preserve">low level of </w:t>
      </w:r>
      <w:r w:rsidR="00624886" w:rsidRPr="00B6684C">
        <w:rPr>
          <w:rFonts w:ascii="Times New Roman" w:hAnsi="Times New Roman" w:cs="Times New Roman"/>
          <w:color w:val="000000" w:themeColor="text1"/>
          <w:sz w:val="24"/>
          <w:szCs w:val="24"/>
        </w:rPr>
        <w:t xml:space="preserve">banks' risk in the post-2009 </w:t>
      </w:r>
      <w:r w:rsidR="000460F4" w:rsidRPr="00B6684C">
        <w:rPr>
          <w:rFonts w:ascii="Times New Roman" w:hAnsi="Times New Roman" w:cs="Times New Roman"/>
          <w:color w:val="000000" w:themeColor="text1"/>
          <w:sz w:val="24"/>
          <w:szCs w:val="24"/>
        </w:rPr>
        <w:t>time</w:t>
      </w:r>
      <w:r w:rsidR="00624886" w:rsidRPr="00B6684C">
        <w:rPr>
          <w:rFonts w:ascii="Times New Roman" w:hAnsi="Times New Roman" w:cs="Times New Roman"/>
          <w:color w:val="000000" w:themeColor="text1"/>
          <w:sz w:val="24"/>
          <w:szCs w:val="24"/>
        </w:rPr>
        <w:t xml:space="preserve">. The findings are robust to alternative proxies for </w:t>
      </w:r>
      <w:r w:rsidR="00624886">
        <w:rPr>
          <w:rFonts w:ascii="Times New Roman" w:hAnsi="Times New Roman" w:cs="Times New Roman"/>
          <w:color w:val="000000" w:themeColor="text1"/>
          <w:sz w:val="24"/>
          <w:szCs w:val="24"/>
        </w:rPr>
        <w:t xml:space="preserve">bank </w:t>
      </w:r>
      <w:r w:rsidR="00624886" w:rsidRPr="00B6684C">
        <w:rPr>
          <w:rFonts w:ascii="Times New Roman" w:hAnsi="Times New Roman" w:cs="Times New Roman"/>
          <w:color w:val="000000" w:themeColor="text1"/>
          <w:sz w:val="24"/>
          <w:szCs w:val="24"/>
        </w:rPr>
        <w:t xml:space="preserve">risk, risk culture and sub-sample analysis. The results </w:t>
      </w:r>
      <w:r w:rsidR="00A17A6A">
        <w:rPr>
          <w:rFonts w:ascii="Times New Roman" w:hAnsi="Times New Roman" w:cs="Times New Roman"/>
          <w:color w:val="000000" w:themeColor="text1"/>
          <w:sz w:val="24"/>
          <w:szCs w:val="24"/>
        </w:rPr>
        <w:t xml:space="preserve">also </w:t>
      </w:r>
      <w:r w:rsidR="00624886" w:rsidRPr="00B6684C">
        <w:rPr>
          <w:rFonts w:ascii="Times New Roman" w:hAnsi="Times New Roman" w:cs="Times New Roman"/>
          <w:color w:val="000000" w:themeColor="text1"/>
          <w:sz w:val="24"/>
          <w:szCs w:val="24"/>
        </w:rPr>
        <w:t xml:space="preserve">support the regulatory stance of "tone from the top" as an important driver of corporate culture </w:t>
      </w:r>
      <w:r w:rsidR="00624886">
        <w:rPr>
          <w:rFonts w:ascii="Times New Roman" w:hAnsi="Times New Roman" w:cs="Times New Roman"/>
          <w:color w:val="000000" w:themeColor="text1"/>
          <w:sz w:val="24"/>
          <w:szCs w:val="24"/>
        </w:rPr>
        <w:t>affecting bank</w:t>
      </w:r>
      <w:r w:rsidR="00624886" w:rsidRPr="00B6684C">
        <w:rPr>
          <w:rFonts w:ascii="Times New Roman" w:hAnsi="Times New Roman" w:cs="Times New Roman"/>
          <w:color w:val="000000" w:themeColor="text1"/>
          <w:sz w:val="24"/>
          <w:szCs w:val="24"/>
        </w:rPr>
        <w:t xml:space="preserve"> risk. </w:t>
      </w:r>
    </w:p>
    <w:p w14:paraId="34A2AA9A" w14:textId="77777777" w:rsidR="00CC629E" w:rsidRDefault="00DF66E9" w:rsidP="00624886">
      <w:pPr>
        <w:spacing w:line="480" w:lineRule="auto"/>
        <w:jc w:val="both"/>
        <w:rPr>
          <w:rFonts w:ascii="Times New Roman" w:hAnsi="Times New Roman" w:cs="Times New Roman"/>
          <w:sz w:val="24"/>
          <w:szCs w:val="24"/>
        </w:rPr>
        <w:sectPr w:rsidR="00CC629E" w:rsidSect="00CC629E">
          <w:headerReference w:type="default" r:id="rId10"/>
          <w:footerReference w:type="default" r:id="rId11"/>
          <w:pgSz w:w="11906" w:h="16838"/>
          <w:pgMar w:top="1440" w:right="991" w:bottom="1440" w:left="1440" w:header="708" w:footer="708" w:gutter="0"/>
          <w:pgNumType w:fmt="lowerRoman" w:start="1"/>
          <w:cols w:space="708"/>
          <w:titlePg/>
          <w:docGrid w:linePitch="360"/>
        </w:sectPr>
      </w:pPr>
      <w:r>
        <w:rPr>
          <w:rFonts w:ascii="Times New Roman" w:hAnsi="Times New Roman" w:cs="Times New Roman"/>
          <w:i/>
          <w:iCs/>
          <w:sz w:val="24"/>
          <w:szCs w:val="24"/>
        </w:rPr>
        <w:t xml:space="preserve">The </w:t>
      </w:r>
      <w:r w:rsidR="00A17A6A">
        <w:rPr>
          <w:rFonts w:ascii="Times New Roman" w:hAnsi="Times New Roman" w:cs="Times New Roman"/>
          <w:i/>
          <w:iCs/>
          <w:sz w:val="24"/>
          <w:szCs w:val="24"/>
        </w:rPr>
        <w:t>e</w:t>
      </w:r>
      <w:r>
        <w:rPr>
          <w:rFonts w:ascii="Times New Roman" w:hAnsi="Times New Roman" w:cs="Times New Roman"/>
          <w:i/>
          <w:iCs/>
          <w:sz w:val="24"/>
          <w:szCs w:val="24"/>
        </w:rPr>
        <w:t xml:space="preserve">mpirical </w:t>
      </w:r>
      <w:r w:rsidR="00A17A6A">
        <w:rPr>
          <w:rFonts w:ascii="Times New Roman" w:hAnsi="Times New Roman" w:cs="Times New Roman"/>
          <w:i/>
          <w:iCs/>
          <w:sz w:val="24"/>
          <w:szCs w:val="24"/>
        </w:rPr>
        <w:t>c</w:t>
      </w:r>
      <w:r>
        <w:rPr>
          <w:rFonts w:ascii="Times New Roman" w:hAnsi="Times New Roman" w:cs="Times New Roman"/>
          <w:i/>
          <w:iCs/>
          <w:sz w:val="24"/>
          <w:szCs w:val="24"/>
        </w:rPr>
        <w:t>hapter (</w:t>
      </w:r>
      <w:r w:rsidRPr="00624886">
        <w:rPr>
          <w:rFonts w:ascii="Times New Roman" w:hAnsi="Times New Roman" w:cs="Times New Roman"/>
          <w:i/>
          <w:iCs/>
          <w:sz w:val="24"/>
          <w:szCs w:val="24"/>
        </w:rPr>
        <w:t>Chapter 5</w:t>
      </w:r>
      <w:r>
        <w:rPr>
          <w:rFonts w:ascii="Times New Roman" w:hAnsi="Times New Roman" w:cs="Times New Roman"/>
          <w:i/>
          <w:iCs/>
          <w:sz w:val="24"/>
          <w:szCs w:val="24"/>
        </w:rPr>
        <w:t>)</w:t>
      </w:r>
      <w:r w:rsidR="00875429">
        <w:rPr>
          <w:rFonts w:ascii="Times New Roman" w:hAnsi="Times New Roman" w:cs="Times New Roman"/>
          <w:i/>
          <w:iCs/>
          <w:sz w:val="24"/>
          <w:szCs w:val="24"/>
        </w:rPr>
        <w:t xml:space="preserve"> </w:t>
      </w:r>
      <w:r w:rsidR="00624886" w:rsidRPr="00624886">
        <w:rPr>
          <w:rFonts w:ascii="Times New Roman" w:hAnsi="Times New Roman" w:cs="Times New Roman"/>
          <w:sz w:val="24"/>
          <w:szCs w:val="24"/>
        </w:rPr>
        <w:t>examine</w:t>
      </w:r>
      <w:r>
        <w:rPr>
          <w:rFonts w:ascii="Times New Roman" w:hAnsi="Times New Roman" w:cs="Times New Roman"/>
          <w:sz w:val="24"/>
          <w:szCs w:val="24"/>
        </w:rPr>
        <w:t>s</w:t>
      </w:r>
      <w:r w:rsidR="00624886" w:rsidRPr="00624886">
        <w:rPr>
          <w:rFonts w:ascii="Times New Roman" w:hAnsi="Times New Roman" w:cs="Times New Roman"/>
          <w:sz w:val="24"/>
          <w:szCs w:val="24"/>
        </w:rPr>
        <w:t xml:space="preserve"> the effect of heterogeneity in independent directors' attributes on bank misconduct. </w:t>
      </w:r>
      <w:r>
        <w:rPr>
          <w:rFonts w:ascii="Times New Roman" w:hAnsi="Times New Roman" w:cs="Times New Roman"/>
          <w:sz w:val="24"/>
          <w:szCs w:val="24"/>
        </w:rPr>
        <w:t>In this chapter</w:t>
      </w:r>
      <w:r w:rsidR="00A54B4F">
        <w:rPr>
          <w:rFonts w:ascii="Times New Roman" w:hAnsi="Times New Roman" w:cs="Times New Roman"/>
          <w:sz w:val="24"/>
          <w:szCs w:val="24"/>
        </w:rPr>
        <w:t>,</w:t>
      </w:r>
      <w:r>
        <w:rPr>
          <w:rFonts w:ascii="Times New Roman" w:hAnsi="Times New Roman" w:cs="Times New Roman"/>
          <w:sz w:val="24"/>
          <w:szCs w:val="24"/>
        </w:rPr>
        <w:t xml:space="preserve"> I</w:t>
      </w:r>
      <w:r w:rsidR="00624886" w:rsidRPr="00624886">
        <w:rPr>
          <w:rFonts w:ascii="Times New Roman" w:hAnsi="Times New Roman" w:cs="Times New Roman"/>
          <w:sz w:val="24"/>
          <w:szCs w:val="24"/>
        </w:rPr>
        <w:t xml:space="preserve"> construct a heterogeneity index based on gender, financial expertise, and tenure of independent directors. Examining a sample of </w:t>
      </w:r>
      <w:r w:rsidR="00C55858">
        <w:rPr>
          <w:rFonts w:ascii="Times New Roman" w:hAnsi="Times New Roman" w:cs="Times New Roman"/>
          <w:sz w:val="24"/>
          <w:szCs w:val="24"/>
        </w:rPr>
        <w:t>69</w:t>
      </w:r>
      <w:r w:rsidR="00624886" w:rsidRPr="00624886">
        <w:rPr>
          <w:rFonts w:ascii="Times New Roman" w:hAnsi="Times New Roman" w:cs="Times New Roman"/>
          <w:sz w:val="24"/>
          <w:szCs w:val="24"/>
        </w:rPr>
        <w:t xml:space="preserve"> U.S</w:t>
      </w:r>
      <w:r w:rsidR="00624886">
        <w:rPr>
          <w:rFonts w:ascii="Times New Roman" w:hAnsi="Times New Roman" w:cs="Times New Roman"/>
          <w:sz w:val="24"/>
          <w:szCs w:val="24"/>
        </w:rPr>
        <w:t>.</w:t>
      </w:r>
      <w:r w:rsidR="00624886" w:rsidRPr="00624886">
        <w:rPr>
          <w:rFonts w:ascii="Times New Roman" w:hAnsi="Times New Roman" w:cs="Times New Roman"/>
          <w:sz w:val="24"/>
          <w:szCs w:val="24"/>
        </w:rPr>
        <w:t xml:space="preserve"> banks and bank holding companies </w:t>
      </w:r>
      <w:r w:rsidR="00624886">
        <w:rPr>
          <w:rFonts w:ascii="Times New Roman" w:hAnsi="Times New Roman" w:cs="Times New Roman"/>
          <w:sz w:val="24"/>
          <w:szCs w:val="24"/>
        </w:rPr>
        <w:t xml:space="preserve">from 2004 to </w:t>
      </w:r>
      <w:r w:rsidR="00624886" w:rsidRPr="00624886">
        <w:rPr>
          <w:rFonts w:ascii="Times New Roman" w:hAnsi="Times New Roman" w:cs="Times New Roman"/>
          <w:sz w:val="24"/>
          <w:szCs w:val="24"/>
        </w:rPr>
        <w:t>2020</w:t>
      </w:r>
      <w:r>
        <w:rPr>
          <w:rFonts w:ascii="Times New Roman" w:hAnsi="Times New Roman" w:cs="Times New Roman"/>
          <w:sz w:val="24"/>
          <w:szCs w:val="24"/>
        </w:rPr>
        <w:t xml:space="preserve"> reveals</w:t>
      </w:r>
      <w:r w:rsidR="00624886" w:rsidRPr="00624886">
        <w:rPr>
          <w:rFonts w:ascii="Times New Roman" w:hAnsi="Times New Roman" w:cs="Times New Roman"/>
          <w:sz w:val="24"/>
          <w:szCs w:val="24"/>
        </w:rPr>
        <w:t xml:space="preserve"> that heterogeneity in independent directors' attributes helps mitigate bank misconduct</w:t>
      </w:r>
      <w:r w:rsidR="00C55858">
        <w:rPr>
          <w:rFonts w:ascii="Times New Roman" w:hAnsi="Times New Roman" w:cs="Times New Roman"/>
          <w:sz w:val="24"/>
          <w:szCs w:val="24"/>
        </w:rPr>
        <w:t xml:space="preserve">, particularly </w:t>
      </w:r>
      <w:r w:rsidR="00624886" w:rsidRPr="00624886">
        <w:rPr>
          <w:rFonts w:ascii="Times New Roman" w:hAnsi="Times New Roman" w:cs="Times New Roman"/>
          <w:sz w:val="24"/>
          <w:szCs w:val="24"/>
        </w:rPr>
        <w:t xml:space="preserve">for banks with a higher information asymmetry. </w:t>
      </w:r>
      <w:r>
        <w:rPr>
          <w:rFonts w:ascii="Times New Roman" w:hAnsi="Times New Roman" w:cs="Times New Roman"/>
          <w:sz w:val="24"/>
          <w:szCs w:val="24"/>
        </w:rPr>
        <w:t xml:space="preserve">The </w:t>
      </w:r>
      <w:r w:rsidR="00A54B4F">
        <w:rPr>
          <w:rFonts w:ascii="Times New Roman" w:hAnsi="Times New Roman" w:cs="Times New Roman"/>
          <w:sz w:val="24"/>
          <w:szCs w:val="24"/>
        </w:rPr>
        <w:t>chapter's findings also show</w:t>
      </w:r>
      <w:r w:rsidRPr="00624886">
        <w:rPr>
          <w:rFonts w:ascii="Times New Roman" w:hAnsi="Times New Roman" w:cs="Times New Roman"/>
          <w:sz w:val="24"/>
          <w:szCs w:val="24"/>
        </w:rPr>
        <w:t xml:space="preserve"> </w:t>
      </w:r>
      <w:r w:rsidR="00624886" w:rsidRPr="00624886">
        <w:rPr>
          <w:rFonts w:ascii="Times New Roman" w:hAnsi="Times New Roman" w:cs="Times New Roman"/>
          <w:sz w:val="24"/>
          <w:szCs w:val="24"/>
        </w:rPr>
        <w:t xml:space="preserve">that heterogeneity in independent director attributes </w:t>
      </w:r>
      <w:r w:rsidR="001278ED">
        <w:rPr>
          <w:rFonts w:ascii="Times New Roman" w:hAnsi="Times New Roman" w:cs="Times New Roman"/>
          <w:sz w:val="24"/>
          <w:szCs w:val="24"/>
        </w:rPr>
        <w:t>significantly reduced bank misconduct</w:t>
      </w:r>
      <w:r w:rsidR="00624886">
        <w:rPr>
          <w:rFonts w:ascii="Times New Roman" w:hAnsi="Times New Roman" w:cs="Times New Roman"/>
          <w:sz w:val="24"/>
          <w:szCs w:val="24"/>
        </w:rPr>
        <w:t xml:space="preserve"> post-2009</w:t>
      </w:r>
      <w:r w:rsidR="00624886" w:rsidRPr="00624886">
        <w:rPr>
          <w:rFonts w:ascii="Times New Roman" w:hAnsi="Times New Roman" w:cs="Times New Roman"/>
          <w:sz w:val="24"/>
          <w:szCs w:val="24"/>
        </w:rPr>
        <w:t xml:space="preserve">. </w:t>
      </w:r>
      <w:r>
        <w:rPr>
          <w:rFonts w:ascii="Times New Roman" w:hAnsi="Times New Roman" w:cs="Times New Roman"/>
          <w:sz w:val="24"/>
          <w:szCs w:val="24"/>
        </w:rPr>
        <w:t>The</w:t>
      </w:r>
      <w:r w:rsidRPr="00624886">
        <w:rPr>
          <w:rFonts w:ascii="Times New Roman" w:hAnsi="Times New Roman" w:cs="Times New Roman"/>
          <w:sz w:val="24"/>
          <w:szCs w:val="24"/>
        </w:rPr>
        <w:t xml:space="preserve"> </w:t>
      </w:r>
      <w:r w:rsidR="00624886" w:rsidRPr="00624886">
        <w:rPr>
          <w:rFonts w:ascii="Times New Roman" w:hAnsi="Times New Roman" w:cs="Times New Roman"/>
          <w:sz w:val="24"/>
          <w:szCs w:val="24"/>
        </w:rPr>
        <w:t xml:space="preserve">finding is robust to alternative measures of bank misconduct, heterogeneity index and model specifications. This study provides important implications for regulators and policymakers on </w:t>
      </w:r>
      <w:r w:rsidR="00624886">
        <w:rPr>
          <w:rFonts w:ascii="Times New Roman" w:hAnsi="Times New Roman" w:cs="Times New Roman"/>
          <w:sz w:val="24"/>
          <w:szCs w:val="24"/>
        </w:rPr>
        <w:t>structuring</w:t>
      </w:r>
      <w:r w:rsidR="00624886" w:rsidRPr="00624886">
        <w:rPr>
          <w:rFonts w:ascii="Times New Roman" w:hAnsi="Times New Roman" w:cs="Times New Roman"/>
          <w:sz w:val="24"/>
          <w:szCs w:val="24"/>
        </w:rPr>
        <w:t xml:space="preserve"> bank boards.</w:t>
      </w:r>
    </w:p>
    <w:p w14:paraId="713CE7A5" w14:textId="343AD9D6" w:rsidR="000E5A33" w:rsidRDefault="000E5A33" w:rsidP="00624886">
      <w:pPr>
        <w:spacing w:line="480" w:lineRule="auto"/>
        <w:jc w:val="both"/>
        <w:rPr>
          <w:rFonts w:ascii="Times New Roman" w:hAnsi="Times New Roman" w:cs="Times New Roman"/>
          <w:sz w:val="24"/>
          <w:szCs w:val="24"/>
        </w:rPr>
      </w:pPr>
    </w:p>
    <w:p w14:paraId="50C3BEDB" w14:textId="5F77AE82" w:rsidR="000E5A33" w:rsidRDefault="000E5A33">
      <w:pPr>
        <w:rPr>
          <w:rFonts w:ascii="Times New Roman" w:hAnsi="Times New Roman" w:cs="Times New Roman"/>
          <w:sz w:val="24"/>
          <w:szCs w:val="24"/>
        </w:rPr>
      </w:pPr>
    </w:p>
    <w:p w14:paraId="4B3B1253" w14:textId="77777777" w:rsidR="00624886" w:rsidRDefault="00624886" w:rsidP="00624886">
      <w:pPr>
        <w:spacing w:line="480" w:lineRule="auto"/>
        <w:jc w:val="both"/>
        <w:rPr>
          <w:rFonts w:ascii="Times New Roman" w:hAnsi="Times New Roman" w:cs="Times New Roman"/>
          <w:sz w:val="24"/>
          <w:szCs w:val="24"/>
        </w:rPr>
      </w:pPr>
    </w:p>
    <w:p w14:paraId="69D35376" w14:textId="77777777" w:rsidR="000E5A33" w:rsidRDefault="000E5A33" w:rsidP="00624886">
      <w:pPr>
        <w:spacing w:line="480" w:lineRule="auto"/>
        <w:jc w:val="both"/>
        <w:rPr>
          <w:rFonts w:ascii="Times New Roman" w:hAnsi="Times New Roman" w:cs="Times New Roman"/>
          <w:sz w:val="24"/>
          <w:szCs w:val="24"/>
        </w:rPr>
      </w:pPr>
    </w:p>
    <w:p w14:paraId="0AF7E700" w14:textId="77777777" w:rsidR="000E5A33" w:rsidRDefault="000E5A33" w:rsidP="00624886">
      <w:pPr>
        <w:spacing w:line="480" w:lineRule="auto"/>
        <w:jc w:val="both"/>
        <w:rPr>
          <w:rFonts w:ascii="Times New Roman" w:hAnsi="Times New Roman" w:cs="Times New Roman"/>
          <w:sz w:val="24"/>
          <w:szCs w:val="24"/>
        </w:rPr>
      </w:pPr>
    </w:p>
    <w:p w14:paraId="4C49C252" w14:textId="77777777" w:rsidR="000E5A33" w:rsidRDefault="000E5A33" w:rsidP="00624886">
      <w:pPr>
        <w:spacing w:line="480" w:lineRule="auto"/>
        <w:jc w:val="both"/>
        <w:rPr>
          <w:rFonts w:ascii="Times New Roman" w:hAnsi="Times New Roman" w:cs="Times New Roman"/>
          <w:sz w:val="24"/>
          <w:szCs w:val="24"/>
        </w:rPr>
      </w:pPr>
    </w:p>
    <w:p w14:paraId="690E9B8C" w14:textId="77777777" w:rsidR="003C7034" w:rsidRDefault="003C7034" w:rsidP="00624886">
      <w:pPr>
        <w:spacing w:line="480" w:lineRule="auto"/>
        <w:jc w:val="both"/>
        <w:rPr>
          <w:rFonts w:ascii="Times New Roman" w:hAnsi="Times New Roman" w:cs="Times New Roman"/>
          <w:sz w:val="24"/>
          <w:szCs w:val="24"/>
        </w:rPr>
      </w:pPr>
    </w:p>
    <w:p w14:paraId="0134E471" w14:textId="77777777" w:rsidR="003C7034" w:rsidRDefault="003C7034" w:rsidP="00624886">
      <w:pPr>
        <w:spacing w:line="480" w:lineRule="auto"/>
        <w:jc w:val="both"/>
        <w:rPr>
          <w:rFonts w:ascii="Times New Roman" w:hAnsi="Times New Roman" w:cs="Times New Roman"/>
          <w:sz w:val="24"/>
          <w:szCs w:val="24"/>
        </w:rPr>
      </w:pPr>
    </w:p>
    <w:p w14:paraId="748C3F60" w14:textId="77777777" w:rsidR="000E5A33" w:rsidRDefault="000E5A33" w:rsidP="00624886">
      <w:pPr>
        <w:spacing w:line="480" w:lineRule="auto"/>
        <w:jc w:val="both"/>
        <w:rPr>
          <w:rFonts w:ascii="Times New Roman" w:hAnsi="Times New Roman" w:cs="Times New Roman"/>
          <w:sz w:val="24"/>
          <w:szCs w:val="24"/>
        </w:rPr>
      </w:pPr>
    </w:p>
    <w:p w14:paraId="0F4D2D79" w14:textId="540A820F" w:rsidR="000E5A33" w:rsidRPr="000E5A33" w:rsidRDefault="000E5A33" w:rsidP="000E5A33">
      <w:pPr>
        <w:spacing w:line="480" w:lineRule="auto"/>
        <w:jc w:val="center"/>
        <w:rPr>
          <w:rFonts w:ascii="Times New Roman" w:hAnsi="Times New Roman" w:cs="Times New Roman"/>
          <w:caps/>
          <w:sz w:val="48"/>
          <w:szCs w:val="48"/>
        </w:rPr>
      </w:pPr>
      <w:r w:rsidRPr="000E5A33">
        <w:rPr>
          <w:rFonts w:ascii="Times New Roman" w:hAnsi="Times New Roman" w:cs="Times New Roman"/>
          <w:b/>
          <w:caps/>
          <w:sz w:val="48"/>
          <w:szCs w:val="48"/>
        </w:rPr>
        <w:t>Chapter 1</w:t>
      </w:r>
    </w:p>
    <w:p w14:paraId="5F242F84" w14:textId="22A88AFE" w:rsidR="000E5A33" w:rsidRDefault="00624886">
      <w:pPr>
        <w:rPr>
          <w:rFonts w:ascii="Times New Roman" w:hAnsi="Times New Roman" w:cs="Times New Roman"/>
          <w:sz w:val="24"/>
          <w:szCs w:val="24"/>
        </w:rPr>
      </w:pPr>
      <w:r>
        <w:rPr>
          <w:rFonts w:ascii="Times New Roman" w:hAnsi="Times New Roman" w:cs="Times New Roman"/>
          <w:sz w:val="24"/>
          <w:szCs w:val="24"/>
        </w:rPr>
        <w:br w:type="page"/>
      </w:r>
    </w:p>
    <w:p w14:paraId="595079D6" w14:textId="77777777" w:rsidR="00624886" w:rsidRDefault="00624886">
      <w:pPr>
        <w:rPr>
          <w:rFonts w:ascii="Times New Roman" w:hAnsi="Times New Roman" w:cs="Times New Roman"/>
          <w:sz w:val="24"/>
          <w:szCs w:val="24"/>
        </w:rPr>
      </w:pPr>
    </w:p>
    <w:p w14:paraId="4D3D90EC" w14:textId="0A3FD0E5" w:rsidR="00624886" w:rsidRDefault="00624886" w:rsidP="00624886">
      <w:pPr>
        <w:spacing w:line="480" w:lineRule="auto"/>
        <w:jc w:val="both"/>
        <w:rPr>
          <w:rFonts w:ascii="Times New Roman" w:hAnsi="Times New Roman" w:cs="Times New Roman"/>
          <w:sz w:val="24"/>
          <w:szCs w:val="24"/>
        </w:rPr>
      </w:pPr>
    </w:p>
    <w:p w14:paraId="08394F37" w14:textId="77777777" w:rsidR="00516366" w:rsidRDefault="00516366" w:rsidP="00624886">
      <w:pPr>
        <w:spacing w:line="480" w:lineRule="auto"/>
        <w:jc w:val="both"/>
        <w:rPr>
          <w:rFonts w:ascii="Times New Roman" w:hAnsi="Times New Roman" w:cs="Times New Roman"/>
          <w:b/>
          <w:sz w:val="24"/>
          <w:szCs w:val="24"/>
        </w:rPr>
      </w:pPr>
    </w:p>
    <w:p w14:paraId="2AD56F6A" w14:textId="25C4D7F8" w:rsidR="00624886" w:rsidRDefault="00624886" w:rsidP="004D34A5">
      <w:pPr>
        <w:pStyle w:val="Heading1"/>
        <w:numPr>
          <w:ilvl w:val="0"/>
          <w:numId w:val="25"/>
        </w:numPr>
        <w:rPr>
          <w:sz w:val="36"/>
          <w:szCs w:val="36"/>
        </w:rPr>
      </w:pPr>
      <w:bookmarkStart w:id="11" w:name="_Toc145616162"/>
      <w:r w:rsidRPr="003C7034">
        <w:rPr>
          <w:sz w:val="36"/>
          <w:szCs w:val="36"/>
        </w:rPr>
        <w:t>Introduction</w:t>
      </w:r>
      <w:bookmarkEnd w:id="11"/>
    </w:p>
    <w:p w14:paraId="7312B389" w14:textId="77777777" w:rsidR="003C7034" w:rsidRPr="003C7034" w:rsidRDefault="003C7034" w:rsidP="003C7034"/>
    <w:p w14:paraId="138BD5C8" w14:textId="77777777" w:rsidR="00DF66E9" w:rsidRPr="003C7034" w:rsidRDefault="00DF66E9" w:rsidP="000E5A33">
      <w:pPr>
        <w:pStyle w:val="Heading2"/>
        <w:numPr>
          <w:ilvl w:val="1"/>
          <w:numId w:val="12"/>
        </w:numPr>
        <w:rPr>
          <w:sz w:val="32"/>
          <w:szCs w:val="32"/>
          <w:lang w:val="en-US"/>
        </w:rPr>
      </w:pPr>
      <w:bookmarkStart w:id="12" w:name="_Toc145616163"/>
      <w:r w:rsidRPr="003C7034">
        <w:rPr>
          <w:sz w:val="32"/>
          <w:szCs w:val="32"/>
          <w:lang w:val="en-US"/>
        </w:rPr>
        <w:t>Background:</w:t>
      </w:r>
      <w:bookmarkEnd w:id="12"/>
    </w:p>
    <w:p w14:paraId="1142D435" w14:textId="76F21E9D" w:rsidR="00DF66E9" w:rsidRPr="009E69CE" w:rsidRDefault="00624886" w:rsidP="009E69CE">
      <w:pPr>
        <w:pStyle w:val="ListParagraph"/>
        <w:spacing w:line="480" w:lineRule="auto"/>
        <w:ind w:left="360"/>
        <w:jc w:val="both"/>
        <w:rPr>
          <w:rFonts w:ascii="Times New Roman" w:hAnsi="Times New Roman"/>
          <w:sz w:val="24"/>
          <w:szCs w:val="24"/>
          <w:lang w:val="en-US"/>
        </w:rPr>
      </w:pPr>
      <w:r w:rsidRPr="009E69CE">
        <w:rPr>
          <w:rFonts w:ascii="Times New Roman" w:hAnsi="Times New Roman"/>
          <w:sz w:val="24"/>
          <w:szCs w:val="24"/>
          <w:lang w:val="en-US"/>
        </w:rPr>
        <w:t>In the last few decades, while progress has been made in the development and globalization of financial markets, there have been numerous financial crises worldwide (Russian crisis 1998, Global Financial Crisis 2007-2009, Euro Zone Crisis</w:t>
      </w:r>
      <w:r w:rsidR="004B210D" w:rsidRPr="009E69CE">
        <w:rPr>
          <w:rFonts w:ascii="Times New Roman" w:hAnsi="Times New Roman"/>
          <w:sz w:val="24"/>
          <w:szCs w:val="24"/>
          <w:lang w:val="en-US"/>
        </w:rPr>
        <w:t xml:space="preserve"> 2010-2011</w:t>
      </w:r>
      <w:r w:rsidRPr="009E69CE">
        <w:rPr>
          <w:rFonts w:ascii="Times New Roman" w:hAnsi="Times New Roman"/>
          <w:sz w:val="24"/>
          <w:szCs w:val="24"/>
          <w:lang w:val="en-US"/>
        </w:rPr>
        <w:t xml:space="preserve">). Some of these financial crises disrupted the overall economy, locally and globally. As a result, academicians, market participants, and analysts have devoted considerable attention to the issue of how best to </w:t>
      </w:r>
      <w:r w:rsidR="00C55858" w:rsidRPr="009E69CE">
        <w:rPr>
          <w:rFonts w:ascii="Times New Roman" w:hAnsi="Times New Roman"/>
          <w:sz w:val="24"/>
          <w:szCs w:val="24"/>
          <w:lang w:val="en-US"/>
        </w:rPr>
        <w:t xml:space="preserve">prevent such </w:t>
      </w:r>
      <w:r w:rsidRPr="009E69CE">
        <w:rPr>
          <w:rFonts w:ascii="Times New Roman" w:hAnsi="Times New Roman"/>
          <w:sz w:val="24"/>
          <w:szCs w:val="24"/>
          <w:lang w:val="en-US"/>
        </w:rPr>
        <w:t>financial crises. Most recent crises, including the global financial crisis of 2007-2009 and the eurozone crisis</w:t>
      </w:r>
      <w:r w:rsidR="004B210D" w:rsidRPr="009E69CE">
        <w:rPr>
          <w:rFonts w:ascii="Times New Roman" w:hAnsi="Times New Roman"/>
          <w:sz w:val="24"/>
          <w:szCs w:val="24"/>
          <w:lang w:val="en-US"/>
        </w:rPr>
        <w:t xml:space="preserve"> of 2010-2011</w:t>
      </w:r>
      <w:r w:rsidRPr="009E69CE">
        <w:rPr>
          <w:rFonts w:ascii="Times New Roman" w:hAnsi="Times New Roman"/>
          <w:sz w:val="24"/>
          <w:szCs w:val="24"/>
          <w:lang w:val="en-US"/>
        </w:rPr>
        <w:t xml:space="preserve">, </w:t>
      </w:r>
      <w:r w:rsidR="00C55858" w:rsidRPr="009E69CE">
        <w:rPr>
          <w:rFonts w:ascii="Times New Roman" w:hAnsi="Times New Roman"/>
          <w:sz w:val="24"/>
          <w:szCs w:val="24"/>
          <w:lang w:val="en-US"/>
        </w:rPr>
        <w:t>have been</w:t>
      </w:r>
      <w:r w:rsidRPr="009E69CE">
        <w:rPr>
          <w:rFonts w:ascii="Times New Roman" w:hAnsi="Times New Roman"/>
          <w:sz w:val="24"/>
          <w:szCs w:val="24"/>
          <w:lang w:val="en-US"/>
        </w:rPr>
        <w:t xml:space="preserve"> </w:t>
      </w:r>
      <w:r w:rsidR="00C55858" w:rsidRPr="009E69CE">
        <w:rPr>
          <w:rFonts w:ascii="Times New Roman" w:hAnsi="Times New Roman"/>
          <w:sz w:val="24"/>
          <w:szCs w:val="24"/>
          <w:lang w:val="en-US"/>
        </w:rPr>
        <w:t xml:space="preserve">attributed primarily </w:t>
      </w:r>
      <w:r w:rsidRPr="009E69CE">
        <w:rPr>
          <w:rFonts w:ascii="Times New Roman" w:hAnsi="Times New Roman"/>
          <w:sz w:val="24"/>
          <w:szCs w:val="24"/>
          <w:lang w:val="en-US"/>
        </w:rPr>
        <w:t xml:space="preserve">to </w:t>
      </w:r>
      <w:r w:rsidRPr="009E69CE">
        <w:rPr>
          <w:rFonts w:ascii="Times New Roman" w:hAnsi="Times New Roman"/>
          <w:sz w:val="24"/>
          <w:szCs w:val="24"/>
        </w:rPr>
        <w:t>weaknesses in bank governance structures, failures in risk management and inadequate risk culture (Ellul, 2015; Srivastav, 2016; Stulz, 2008; Sheedy, 201</w:t>
      </w:r>
      <w:r w:rsidR="00A92B06">
        <w:rPr>
          <w:rFonts w:ascii="Times New Roman" w:hAnsi="Times New Roman"/>
          <w:sz w:val="24"/>
          <w:szCs w:val="24"/>
        </w:rPr>
        <w:t>8</w:t>
      </w:r>
      <w:r w:rsidRPr="009E69CE">
        <w:rPr>
          <w:rFonts w:ascii="Times New Roman" w:hAnsi="Times New Roman"/>
          <w:sz w:val="24"/>
          <w:szCs w:val="24"/>
        </w:rPr>
        <w:t xml:space="preserve">). An important thing to understand from these financial crises is that financial disasters do not occur </w:t>
      </w:r>
      <w:r w:rsidR="00C55858" w:rsidRPr="009E69CE">
        <w:rPr>
          <w:rFonts w:ascii="Times New Roman" w:hAnsi="Times New Roman"/>
          <w:sz w:val="24"/>
          <w:szCs w:val="24"/>
        </w:rPr>
        <w:t>randomly but</w:t>
      </w:r>
      <w:r w:rsidRPr="009E69CE">
        <w:rPr>
          <w:rFonts w:ascii="Times New Roman" w:hAnsi="Times New Roman"/>
          <w:sz w:val="24"/>
          <w:szCs w:val="24"/>
        </w:rPr>
        <w:t xml:space="preserve"> are the consequences of risks that have been building up within the system over the years. </w:t>
      </w:r>
      <w:r w:rsidR="00C55858" w:rsidRPr="009E69CE">
        <w:rPr>
          <w:rFonts w:ascii="Times New Roman" w:hAnsi="Times New Roman"/>
          <w:sz w:val="24"/>
          <w:szCs w:val="24"/>
        </w:rPr>
        <w:t>Mis</w:t>
      </w:r>
      <w:r w:rsidRPr="009E69CE">
        <w:rPr>
          <w:rFonts w:ascii="Times New Roman" w:hAnsi="Times New Roman"/>
          <w:sz w:val="24"/>
          <w:szCs w:val="24"/>
        </w:rPr>
        <w:t>manage</w:t>
      </w:r>
      <w:r w:rsidR="00C55858" w:rsidRPr="009E69CE">
        <w:rPr>
          <w:rFonts w:ascii="Times New Roman" w:hAnsi="Times New Roman"/>
          <w:sz w:val="24"/>
          <w:szCs w:val="24"/>
        </w:rPr>
        <w:t>ment of these risk</w:t>
      </w:r>
      <w:r w:rsidR="001A685A">
        <w:rPr>
          <w:rFonts w:ascii="Times New Roman" w:hAnsi="Times New Roman"/>
          <w:sz w:val="24"/>
          <w:szCs w:val="24"/>
        </w:rPr>
        <w:t>s can significantly affect</w:t>
      </w:r>
      <w:r w:rsidRPr="009E69CE">
        <w:rPr>
          <w:rFonts w:ascii="Times New Roman" w:hAnsi="Times New Roman"/>
          <w:sz w:val="24"/>
          <w:szCs w:val="24"/>
        </w:rPr>
        <w:t xml:space="preserve"> a country's financial stability and growth (Leaven &amp; Levine, 2009). Hence, the recent financial crisis </w:t>
      </w:r>
      <w:r w:rsidR="002E04CA" w:rsidRPr="009E69CE">
        <w:rPr>
          <w:rFonts w:ascii="Times New Roman" w:hAnsi="Times New Roman"/>
          <w:sz w:val="24"/>
          <w:szCs w:val="24"/>
        </w:rPr>
        <w:t>has</w:t>
      </w:r>
      <w:r w:rsidR="00C55858" w:rsidRPr="009E69CE">
        <w:rPr>
          <w:rFonts w:ascii="Times New Roman" w:hAnsi="Times New Roman"/>
          <w:sz w:val="24"/>
          <w:szCs w:val="24"/>
        </w:rPr>
        <w:t xml:space="preserve"> prompted</w:t>
      </w:r>
      <w:r w:rsidRPr="009E69CE">
        <w:rPr>
          <w:rFonts w:ascii="Times New Roman" w:hAnsi="Times New Roman"/>
          <w:sz w:val="24"/>
          <w:szCs w:val="24"/>
        </w:rPr>
        <w:t xml:space="preserve"> regulators to </w:t>
      </w:r>
      <w:r w:rsidR="00C55858" w:rsidRPr="009E69CE">
        <w:rPr>
          <w:rFonts w:ascii="Times New Roman" w:hAnsi="Times New Roman"/>
          <w:sz w:val="24"/>
          <w:szCs w:val="24"/>
        </w:rPr>
        <w:t>identify</w:t>
      </w:r>
      <w:r w:rsidRPr="009E69CE">
        <w:rPr>
          <w:rFonts w:ascii="Times New Roman" w:hAnsi="Times New Roman"/>
          <w:sz w:val="24"/>
          <w:szCs w:val="24"/>
        </w:rPr>
        <w:t xml:space="preserve"> elements that could lead to </w:t>
      </w:r>
      <w:r w:rsidR="001A685A">
        <w:rPr>
          <w:rFonts w:ascii="Times New Roman" w:hAnsi="Times New Roman"/>
          <w:sz w:val="24"/>
          <w:szCs w:val="24"/>
        </w:rPr>
        <w:t>excessive risk accumulation</w:t>
      </w:r>
      <w:r w:rsidRPr="009E69CE">
        <w:rPr>
          <w:rFonts w:ascii="Times New Roman" w:hAnsi="Times New Roman"/>
          <w:sz w:val="24"/>
          <w:szCs w:val="24"/>
        </w:rPr>
        <w:t xml:space="preserve"> among financial institutions (Ellul, 2015). </w:t>
      </w:r>
    </w:p>
    <w:p w14:paraId="0C935F18" w14:textId="2ADAC4B4" w:rsidR="00624886" w:rsidRPr="009E69CE" w:rsidRDefault="00624886" w:rsidP="009E69CE">
      <w:pPr>
        <w:pStyle w:val="ListParagraph"/>
        <w:spacing w:line="480" w:lineRule="auto"/>
        <w:ind w:left="360"/>
        <w:jc w:val="both"/>
        <w:rPr>
          <w:rFonts w:ascii="Times New Roman" w:hAnsi="Times New Roman"/>
          <w:sz w:val="24"/>
          <w:szCs w:val="24"/>
        </w:rPr>
      </w:pPr>
      <w:r w:rsidRPr="009E69CE">
        <w:rPr>
          <w:rFonts w:ascii="Times New Roman" w:hAnsi="Times New Roman"/>
          <w:sz w:val="24"/>
          <w:szCs w:val="24"/>
        </w:rPr>
        <w:t xml:space="preserve">As a result, significant progress has been made in regulations following the </w:t>
      </w:r>
      <w:r w:rsidR="0001059E">
        <w:rPr>
          <w:rFonts w:ascii="Times New Roman" w:hAnsi="Times New Roman"/>
          <w:sz w:val="24"/>
          <w:szCs w:val="24"/>
        </w:rPr>
        <w:t xml:space="preserve">global </w:t>
      </w:r>
      <w:r w:rsidRPr="009E69CE">
        <w:rPr>
          <w:rFonts w:ascii="Times New Roman" w:hAnsi="Times New Roman"/>
          <w:sz w:val="24"/>
          <w:szCs w:val="24"/>
        </w:rPr>
        <w:t>financial crisis of 2007-2009</w:t>
      </w:r>
      <w:r w:rsidR="0001059E">
        <w:rPr>
          <w:rFonts w:ascii="Times New Roman" w:hAnsi="Times New Roman"/>
          <w:sz w:val="24"/>
          <w:szCs w:val="24"/>
        </w:rPr>
        <w:t xml:space="preserve"> (hereafter GFC )</w:t>
      </w:r>
      <w:r w:rsidRPr="009E69CE">
        <w:rPr>
          <w:rFonts w:ascii="Times New Roman" w:hAnsi="Times New Roman"/>
          <w:sz w:val="24"/>
          <w:szCs w:val="24"/>
        </w:rPr>
        <w:t xml:space="preserve"> (Gao, Liao and Wang, 2013; Baldan, 2016). </w:t>
      </w:r>
      <w:r w:rsidR="00C55858" w:rsidRPr="009E69CE">
        <w:rPr>
          <w:rFonts w:ascii="Times New Roman" w:hAnsi="Times New Roman"/>
          <w:sz w:val="24"/>
          <w:szCs w:val="24"/>
        </w:rPr>
        <w:t>T</w:t>
      </w:r>
      <w:r w:rsidRPr="009E69CE">
        <w:rPr>
          <w:rFonts w:ascii="Times New Roman" w:hAnsi="Times New Roman"/>
          <w:sz w:val="24"/>
          <w:szCs w:val="24"/>
        </w:rPr>
        <w:t>he regulatory attention has gradually shifted from capital and liquidity metrics to governance arrangements for risk minimization in banks (Ernst &amp; Young, 201</w:t>
      </w:r>
      <w:r w:rsidR="00A92B06">
        <w:rPr>
          <w:rFonts w:ascii="Times New Roman" w:hAnsi="Times New Roman"/>
          <w:sz w:val="24"/>
          <w:szCs w:val="24"/>
        </w:rPr>
        <w:t>4</w:t>
      </w:r>
      <w:r w:rsidRPr="009E69CE">
        <w:rPr>
          <w:rFonts w:ascii="Times New Roman" w:hAnsi="Times New Roman"/>
          <w:sz w:val="24"/>
          <w:szCs w:val="24"/>
        </w:rPr>
        <w:t xml:space="preserve">a). </w:t>
      </w:r>
      <w:r w:rsidR="00C55858" w:rsidRPr="009E69CE">
        <w:rPr>
          <w:rFonts w:ascii="Times New Roman" w:hAnsi="Times New Roman"/>
          <w:sz w:val="24"/>
          <w:szCs w:val="24"/>
        </w:rPr>
        <w:t>Risk Governance has been at the</w:t>
      </w:r>
      <w:r w:rsidRPr="009E69CE">
        <w:rPr>
          <w:rFonts w:ascii="Times New Roman" w:hAnsi="Times New Roman"/>
          <w:sz w:val="24"/>
          <w:szCs w:val="24"/>
        </w:rPr>
        <w:t xml:space="preserve"> forefront of practitioners and regulators. </w:t>
      </w:r>
      <w:r w:rsidRPr="009E69CE">
        <w:rPr>
          <w:rFonts w:ascii="Times New Roman" w:hAnsi="Times New Roman"/>
          <w:sz w:val="24"/>
          <w:szCs w:val="24"/>
          <w:vertAlign w:val="superscript"/>
        </w:rPr>
        <w:footnoteReference w:id="1"/>
      </w:r>
      <w:r w:rsidRPr="009E69CE">
        <w:rPr>
          <w:rFonts w:ascii="Times New Roman" w:hAnsi="Times New Roman"/>
          <w:sz w:val="24"/>
          <w:szCs w:val="24"/>
        </w:rPr>
        <w:t xml:space="preserve"> </w:t>
      </w:r>
      <w:r w:rsidR="00C55858" w:rsidRPr="009E69CE">
        <w:rPr>
          <w:rFonts w:ascii="Times New Roman" w:hAnsi="Times New Roman"/>
          <w:sz w:val="24"/>
          <w:szCs w:val="24"/>
        </w:rPr>
        <w:t>This</w:t>
      </w:r>
      <w:r w:rsidRPr="009E69CE">
        <w:rPr>
          <w:rFonts w:ascii="Times New Roman" w:hAnsi="Times New Roman"/>
          <w:sz w:val="24"/>
          <w:szCs w:val="24"/>
        </w:rPr>
        <w:t xml:space="preserve"> broader concept</w:t>
      </w:r>
      <w:r w:rsidR="00C55858" w:rsidRPr="009E69CE">
        <w:rPr>
          <w:rFonts w:ascii="Times New Roman" w:hAnsi="Times New Roman"/>
          <w:sz w:val="24"/>
          <w:szCs w:val="24"/>
        </w:rPr>
        <w:t xml:space="preserve"> aims to </w:t>
      </w:r>
      <w:r w:rsidRPr="009E69CE">
        <w:rPr>
          <w:rFonts w:ascii="Times New Roman" w:hAnsi="Times New Roman"/>
          <w:sz w:val="24"/>
          <w:szCs w:val="24"/>
        </w:rPr>
        <w:t xml:space="preserve">achieve effective risk oversight by the board and better senior management accountability (FSB, 2013; Magee et al., 2017). The emphasis has been on understanding the association between governance structures and risk management functions to achieve enhanced risk oversight. For example, </w:t>
      </w:r>
      <w:r w:rsidR="00C55858" w:rsidRPr="009E69CE">
        <w:rPr>
          <w:rFonts w:ascii="Times New Roman" w:hAnsi="Times New Roman"/>
          <w:sz w:val="24"/>
          <w:szCs w:val="24"/>
        </w:rPr>
        <w:t xml:space="preserve">there has been a focus on </w:t>
      </w:r>
      <w:r w:rsidRPr="009E69CE">
        <w:rPr>
          <w:rFonts w:ascii="Times New Roman" w:hAnsi="Times New Roman"/>
          <w:sz w:val="24"/>
          <w:szCs w:val="24"/>
        </w:rPr>
        <w:t xml:space="preserve">how </w:t>
      </w:r>
      <w:r w:rsidR="00C55858" w:rsidRPr="009E69CE">
        <w:rPr>
          <w:rFonts w:ascii="Times New Roman" w:hAnsi="Times New Roman"/>
          <w:sz w:val="24"/>
          <w:szCs w:val="24"/>
        </w:rPr>
        <w:t>board and committee structures</w:t>
      </w:r>
      <w:r w:rsidR="00C55858" w:rsidRPr="009E69CE" w:rsidDel="00C55858">
        <w:rPr>
          <w:rFonts w:ascii="Times New Roman" w:hAnsi="Times New Roman"/>
          <w:sz w:val="24"/>
          <w:szCs w:val="24"/>
        </w:rPr>
        <w:t xml:space="preserve"> </w:t>
      </w:r>
      <w:r w:rsidRPr="009E69CE">
        <w:rPr>
          <w:rFonts w:ascii="Times New Roman" w:hAnsi="Times New Roman"/>
          <w:sz w:val="24"/>
          <w:szCs w:val="24"/>
        </w:rPr>
        <w:t>impact bank risk</w:t>
      </w:r>
      <w:r w:rsidR="00C55858" w:rsidRPr="009E69CE">
        <w:rPr>
          <w:rFonts w:ascii="Times New Roman" w:hAnsi="Times New Roman"/>
          <w:sz w:val="24"/>
          <w:szCs w:val="24"/>
        </w:rPr>
        <w:t>,</w:t>
      </w:r>
      <w:r w:rsidRPr="009E69CE">
        <w:rPr>
          <w:rFonts w:ascii="Times New Roman" w:hAnsi="Times New Roman"/>
          <w:sz w:val="24"/>
          <w:szCs w:val="24"/>
        </w:rPr>
        <w:t xml:space="preserve"> what is the importance of internal controls in risk management</w:t>
      </w:r>
      <w:r w:rsidR="00C55858" w:rsidRPr="009E69CE">
        <w:rPr>
          <w:rFonts w:ascii="Times New Roman" w:hAnsi="Times New Roman"/>
          <w:sz w:val="24"/>
          <w:szCs w:val="24"/>
        </w:rPr>
        <w:t xml:space="preserve">, </w:t>
      </w:r>
      <w:r w:rsidRPr="009E69CE">
        <w:rPr>
          <w:rFonts w:ascii="Times New Roman" w:hAnsi="Times New Roman"/>
          <w:sz w:val="24"/>
          <w:szCs w:val="24"/>
        </w:rPr>
        <w:t xml:space="preserve">highlighting the </w:t>
      </w:r>
      <w:r w:rsidR="00C55858" w:rsidRPr="009E69CE">
        <w:rPr>
          <w:rFonts w:ascii="Times New Roman" w:hAnsi="Times New Roman"/>
          <w:sz w:val="24"/>
          <w:szCs w:val="24"/>
        </w:rPr>
        <w:t>importan</w:t>
      </w:r>
      <w:r w:rsidR="00567377">
        <w:rPr>
          <w:rFonts w:ascii="Times New Roman" w:hAnsi="Times New Roman"/>
          <w:sz w:val="24"/>
          <w:szCs w:val="24"/>
        </w:rPr>
        <w:t>ce</w:t>
      </w:r>
      <w:r w:rsidR="00C55858" w:rsidRPr="009E69CE">
        <w:rPr>
          <w:rFonts w:ascii="Times New Roman" w:hAnsi="Times New Roman"/>
          <w:sz w:val="24"/>
          <w:szCs w:val="24"/>
        </w:rPr>
        <w:t xml:space="preserve"> </w:t>
      </w:r>
      <w:r w:rsidRPr="009E69CE">
        <w:rPr>
          <w:rFonts w:ascii="Times New Roman" w:hAnsi="Times New Roman"/>
          <w:sz w:val="24"/>
          <w:szCs w:val="24"/>
        </w:rPr>
        <w:t>of the Chief Risk Officer</w:t>
      </w:r>
      <w:r w:rsidR="00EC2E8A" w:rsidRPr="009E69CE">
        <w:rPr>
          <w:rFonts w:ascii="Times New Roman" w:hAnsi="Times New Roman"/>
          <w:sz w:val="24"/>
          <w:szCs w:val="24"/>
        </w:rPr>
        <w:t xml:space="preserve"> </w:t>
      </w:r>
      <w:r w:rsidRPr="009E69CE">
        <w:rPr>
          <w:rFonts w:ascii="Times New Roman" w:hAnsi="Times New Roman"/>
          <w:sz w:val="24"/>
          <w:szCs w:val="24"/>
        </w:rPr>
        <w:t xml:space="preserve">,  how tone from the top can- promote the concept of risk culture within the organization, how board oversight </w:t>
      </w:r>
      <w:r w:rsidR="00EC2E8A" w:rsidRPr="009E69CE">
        <w:rPr>
          <w:rFonts w:ascii="Times New Roman" w:hAnsi="Times New Roman"/>
          <w:sz w:val="24"/>
          <w:szCs w:val="24"/>
        </w:rPr>
        <w:t xml:space="preserve">can </w:t>
      </w:r>
      <w:r w:rsidRPr="009E69CE">
        <w:rPr>
          <w:rFonts w:ascii="Times New Roman" w:hAnsi="Times New Roman"/>
          <w:sz w:val="24"/>
          <w:szCs w:val="24"/>
        </w:rPr>
        <w:t>be improved to mitigate bank risk, written articulation by the board for taking risk within the organization, i.e. estimating bank's risk appetite</w:t>
      </w:r>
      <w:r w:rsidR="00EC2E8A" w:rsidRPr="009E69CE">
        <w:rPr>
          <w:rFonts w:ascii="Times New Roman" w:hAnsi="Times New Roman"/>
          <w:sz w:val="24"/>
          <w:szCs w:val="24"/>
        </w:rPr>
        <w:t xml:space="preserve"> </w:t>
      </w:r>
      <w:r w:rsidRPr="009E69CE">
        <w:rPr>
          <w:rFonts w:ascii="Times New Roman" w:hAnsi="Times New Roman"/>
          <w:sz w:val="24"/>
          <w:szCs w:val="24"/>
        </w:rPr>
        <w:t>(Sabato, 2010; Ernst &amp; Young, 201</w:t>
      </w:r>
      <w:r w:rsidR="00DB354F">
        <w:rPr>
          <w:rFonts w:ascii="Times New Roman" w:hAnsi="Times New Roman"/>
          <w:sz w:val="24"/>
          <w:szCs w:val="24"/>
        </w:rPr>
        <w:t>4</w:t>
      </w:r>
      <w:r w:rsidRPr="009E69CE">
        <w:rPr>
          <w:rFonts w:ascii="Times New Roman" w:hAnsi="Times New Roman"/>
          <w:sz w:val="24"/>
          <w:szCs w:val="24"/>
        </w:rPr>
        <w:t>a, 201</w:t>
      </w:r>
      <w:r w:rsidR="00DB354F">
        <w:rPr>
          <w:rFonts w:ascii="Times New Roman" w:hAnsi="Times New Roman"/>
          <w:sz w:val="24"/>
          <w:szCs w:val="24"/>
        </w:rPr>
        <w:t>4b</w:t>
      </w:r>
      <w:r w:rsidRPr="009E69CE">
        <w:rPr>
          <w:rFonts w:ascii="Times New Roman" w:hAnsi="Times New Roman"/>
          <w:sz w:val="24"/>
          <w:szCs w:val="24"/>
        </w:rPr>
        <w:t>; Srivastav, 2016).</w:t>
      </w:r>
    </w:p>
    <w:p w14:paraId="245CD138" w14:textId="77777777" w:rsidR="00DF66E9" w:rsidRPr="003C7034" w:rsidRDefault="00DF66E9" w:rsidP="000E5A33">
      <w:pPr>
        <w:pStyle w:val="Heading2"/>
        <w:numPr>
          <w:ilvl w:val="1"/>
          <w:numId w:val="12"/>
        </w:numPr>
        <w:rPr>
          <w:sz w:val="32"/>
          <w:szCs w:val="32"/>
        </w:rPr>
      </w:pPr>
      <w:bookmarkStart w:id="13" w:name="_Toc145616164"/>
      <w:r w:rsidRPr="003C7034">
        <w:rPr>
          <w:sz w:val="32"/>
          <w:szCs w:val="32"/>
        </w:rPr>
        <w:t>Research Motivation</w:t>
      </w:r>
      <w:bookmarkEnd w:id="13"/>
    </w:p>
    <w:p w14:paraId="1D513BA8" w14:textId="4E9BA5EF" w:rsidR="001A685A" w:rsidRDefault="001A685A" w:rsidP="001A685A">
      <w:pPr>
        <w:spacing w:line="480" w:lineRule="auto"/>
        <w:ind w:left="426"/>
        <w:jc w:val="both"/>
        <w:rPr>
          <w:rFonts w:ascii="Times New Roman" w:hAnsi="Times New Roman"/>
          <w:sz w:val="24"/>
          <w:szCs w:val="24"/>
        </w:rPr>
      </w:pPr>
      <w:r>
        <w:rPr>
          <w:rFonts w:ascii="Times New Roman" w:eastAsia="DengXian" w:hAnsi="Times New Roman" w:cs="Times New Roman"/>
          <w:sz w:val="24"/>
          <w:szCs w:val="24"/>
        </w:rPr>
        <w:t>Risk management is essential f</w:t>
      </w:r>
      <w:r w:rsidR="00567377">
        <w:rPr>
          <w:rFonts w:ascii="Times New Roman" w:eastAsia="DengXian" w:hAnsi="Times New Roman" w:cs="Times New Roman"/>
          <w:sz w:val="24"/>
          <w:szCs w:val="24"/>
        </w:rPr>
        <w:t>o</w:t>
      </w:r>
      <w:r>
        <w:rPr>
          <w:rFonts w:ascii="Times New Roman" w:eastAsia="DengXian" w:hAnsi="Times New Roman" w:cs="Times New Roman"/>
          <w:sz w:val="24"/>
          <w:szCs w:val="24"/>
        </w:rPr>
        <w:t xml:space="preserve">r any organization as it enhances a firm’s value. </w:t>
      </w:r>
      <w:r w:rsidR="00C55858" w:rsidRPr="009E69CE">
        <w:rPr>
          <w:rFonts w:ascii="Times New Roman" w:eastAsia="DengXian" w:hAnsi="Times New Roman" w:cs="Times New Roman"/>
          <w:sz w:val="24"/>
          <w:szCs w:val="24"/>
        </w:rPr>
        <w:t>The importance of r</w:t>
      </w:r>
      <w:r w:rsidR="00624886" w:rsidRPr="009E69CE">
        <w:rPr>
          <w:rFonts w:ascii="Times New Roman" w:eastAsia="DengXian" w:hAnsi="Times New Roman" w:cs="Times New Roman"/>
          <w:sz w:val="24"/>
          <w:szCs w:val="24"/>
        </w:rPr>
        <w:t>isk</w:t>
      </w:r>
      <w:r w:rsidR="00C55858" w:rsidRPr="009E69CE">
        <w:rPr>
          <w:rFonts w:ascii="Times New Roman" w:eastAsia="DengXian" w:hAnsi="Times New Roman" w:cs="Times New Roman"/>
          <w:sz w:val="24"/>
          <w:szCs w:val="24"/>
        </w:rPr>
        <w:t xml:space="preserve"> </w:t>
      </w:r>
      <w:r w:rsidR="004A036F" w:rsidRPr="009E69CE">
        <w:rPr>
          <w:rFonts w:ascii="Times New Roman" w:eastAsia="DengXian" w:hAnsi="Times New Roman" w:cs="Times New Roman"/>
          <w:sz w:val="24"/>
          <w:szCs w:val="24"/>
        </w:rPr>
        <w:t>management</w:t>
      </w:r>
      <w:r w:rsidR="00624886" w:rsidRPr="009E69CE">
        <w:rPr>
          <w:rFonts w:ascii="Times New Roman" w:eastAsia="DengXian" w:hAnsi="Times New Roman" w:cs="Times New Roman"/>
          <w:sz w:val="24"/>
          <w:szCs w:val="24"/>
        </w:rPr>
        <w:t xml:space="preserve"> </w:t>
      </w:r>
      <w:r w:rsidR="00C55858" w:rsidRPr="009E69CE">
        <w:rPr>
          <w:rFonts w:ascii="Times New Roman" w:eastAsia="DengXian" w:hAnsi="Times New Roman" w:cs="Times New Roman"/>
          <w:sz w:val="24"/>
          <w:szCs w:val="24"/>
        </w:rPr>
        <w:t>in enhancing</w:t>
      </w:r>
      <w:r w:rsidR="00624886" w:rsidRPr="009E69CE">
        <w:rPr>
          <w:rFonts w:ascii="Times New Roman" w:eastAsia="DengXian" w:hAnsi="Times New Roman" w:cs="Times New Roman"/>
          <w:sz w:val="24"/>
          <w:szCs w:val="24"/>
        </w:rPr>
        <w:t xml:space="preserve"> firm value</w:t>
      </w:r>
      <w:r w:rsidR="0087041C" w:rsidRPr="009E69CE">
        <w:rPr>
          <w:rFonts w:ascii="Times New Roman" w:eastAsia="DengXian" w:hAnsi="Times New Roman" w:cs="Times New Roman"/>
          <w:sz w:val="24"/>
          <w:szCs w:val="24"/>
        </w:rPr>
        <w:t xml:space="preserve"> </w:t>
      </w:r>
      <w:r w:rsidR="00C55858" w:rsidRPr="009E69CE">
        <w:rPr>
          <w:rFonts w:ascii="Times New Roman" w:eastAsia="DengXian" w:hAnsi="Times New Roman" w:cs="Times New Roman"/>
          <w:sz w:val="24"/>
          <w:szCs w:val="24"/>
        </w:rPr>
        <w:t>has been well-documented (</w:t>
      </w:r>
      <w:r w:rsidR="00624886" w:rsidRPr="009E69CE">
        <w:rPr>
          <w:rFonts w:ascii="Times New Roman" w:eastAsia="DengXian" w:hAnsi="Times New Roman" w:cs="Times New Roman"/>
          <w:sz w:val="24"/>
          <w:szCs w:val="24"/>
        </w:rPr>
        <w:t>Miller et al., 201</w:t>
      </w:r>
      <w:r w:rsidR="00DB354F">
        <w:rPr>
          <w:rFonts w:ascii="Times New Roman" w:hAnsi="Times New Roman"/>
          <w:sz w:val="24"/>
          <w:szCs w:val="24"/>
        </w:rPr>
        <w:t>3</w:t>
      </w:r>
      <w:r w:rsidR="00624886" w:rsidRPr="009E69CE">
        <w:rPr>
          <w:rFonts w:ascii="Times New Roman" w:eastAsia="DengXian" w:hAnsi="Times New Roman" w:cs="Times New Roman"/>
          <w:sz w:val="24"/>
          <w:szCs w:val="24"/>
        </w:rPr>
        <w:t xml:space="preserve">; Smith and Stulz, 1985). </w:t>
      </w:r>
      <w:r w:rsidR="00C55858" w:rsidRPr="009E69CE">
        <w:rPr>
          <w:rFonts w:ascii="Times New Roman" w:eastAsia="DengXian" w:hAnsi="Times New Roman" w:cs="Times New Roman"/>
          <w:sz w:val="24"/>
          <w:szCs w:val="24"/>
        </w:rPr>
        <w:t>However,</w:t>
      </w:r>
      <w:r w:rsidR="00624886" w:rsidRPr="009E69CE">
        <w:rPr>
          <w:rFonts w:ascii="Times New Roman" w:eastAsia="DengXian" w:hAnsi="Times New Roman" w:cs="Times New Roman"/>
          <w:sz w:val="24"/>
          <w:szCs w:val="24"/>
        </w:rPr>
        <w:t xml:space="preserve"> the expectations </w:t>
      </w:r>
      <w:r w:rsidR="00C55858" w:rsidRPr="009E69CE">
        <w:rPr>
          <w:rFonts w:ascii="Times New Roman" w:eastAsia="DengXian" w:hAnsi="Times New Roman" w:cs="Times New Roman"/>
          <w:sz w:val="24"/>
          <w:szCs w:val="24"/>
        </w:rPr>
        <w:t>placed on</w:t>
      </w:r>
      <w:r w:rsidR="00624886" w:rsidRPr="009E69CE">
        <w:rPr>
          <w:rFonts w:ascii="Times New Roman" w:eastAsia="DengXian" w:hAnsi="Times New Roman" w:cs="Times New Roman"/>
          <w:sz w:val="24"/>
          <w:szCs w:val="24"/>
        </w:rPr>
        <w:t xml:space="preserve"> risk management </w:t>
      </w:r>
      <w:r w:rsidR="00C55858" w:rsidRPr="009E69CE">
        <w:rPr>
          <w:rFonts w:ascii="Times New Roman" w:eastAsia="DengXian" w:hAnsi="Times New Roman" w:cs="Times New Roman"/>
          <w:sz w:val="24"/>
          <w:szCs w:val="24"/>
        </w:rPr>
        <w:t xml:space="preserve">often exceed </w:t>
      </w:r>
      <w:r w:rsidR="00624886" w:rsidRPr="009E69CE">
        <w:rPr>
          <w:rFonts w:ascii="Times New Roman" w:eastAsia="DengXian" w:hAnsi="Times New Roman" w:cs="Times New Roman"/>
          <w:sz w:val="24"/>
          <w:szCs w:val="24"/>
        </w:rPr>
        <w:t>what it can deliver</w:t>
      </w:r>
      <w:r w:rsidR="00C55858" w:rsidRPr="009E69CE">
        <w:rPr>
          <w:rFonts w:ascii="Times New Roman" w:eastAsia="DengXian" w:hAnsi="Times New Roman" w:cs="Times New Roman"/>
          <w:sz w:val="24"/>
          <w:szCs w:val="24"/>
        </w:rPr>
        <w:t>, leading to failures</w:t>
      </w:r>
      <w:r w:rsidR="00624886" w:rsidRPr="009E69CE">
        <w:rPr>
          <w:rFonts w:ascii="Times New Roman" w:eastAsia="DengXian" w:hAnsi="Times New Roman" w:cs="Times New Roman"/>
          <w:sz w:val="24"/>
          <w:szCs w:val="24"/>
        </w:rPr>
        <w:t xml:space="preserve"> (Stulz, 2008). To understand why risk management fails, we first need to understand what risk management is. </w:t>
      </w:r>
      <w:r w:rsidR="00C55858" w:rsidRPr="009E69CE">
        <w:rPr>
          <w:rFonts w:ascii="Times New Roman" w:eastAsia="DengXian" w:hAnsi="Times New Roman" w:cs="Times New Roman"/>
          <w:sz w:val="24"/>
          <w:szCs w:val="24"/>
        </w:rPr>
        <w:t>According to the</w:t>
      </w:r>
      <w:r w:rsidR="00624886" w:rsidRPr="009E69CE">
        <w:rPr>
          <w:rFonts w:ascii="Times New Roman" w:eastAsia="DengXian" w:hAnsi="Times New Roman" w:cs="Times New Roman"/>
          <w:sz w:val="24"/>
          <w:szCs w:val="24"/>
        </w:rPr>
        <w:t xml:space="preserve"> Bank for International </w:t>
      </w:r>
      <w:r w:rsidR="000E5A33" w:rsidRPr="009E69CE">
        <w:rPr>
          <w:rFonts w:ascii="Times New Roman" w:eastAsia="DengXian" w:hAnsi="Times New Roman" w:cs="Times New Roman"/>
          <w:sz w:val="24"/>
          <w:szCs w:val="24"/>
        </w:rPr>
        <w:t xml:space="preserve">Settlements </w:t>
      </w:r>
      <w:r w:rsidR="000E5A33">
        <w:rPr>
          <w:rFonts w:ascii="Times New Roman" w:hAnsi="Times New Roman"/>
          <w:sz w:val="24"/>
          <w:szCs w:val="24"/>
        </w:rPr>
        <w:t>BIS</w:t>
      </w:r>
      <w:r w:rsidR="0001059E">
        <w:rPr>
          <w:rFonts w:ascii="Times New Roman" w:hAnsi="Times New Roman"/>
          <w:sz w:val="24"/>
          <w:szCs w:val="24"/>
        </w:rPr>
        <w:t xml:space="preserve"> </w:t>
      </w:r>
      <w:r w:rsidR="00624886" w:rsidRPr="009E69CE">
        <w:rPr>
          <w:rFonts w:ascii="Times New Roman" w:eastAsia="DengXian" w:hAnsi="Times New Roman" w:cs="Times New Roman"/>
          <w:sz w:val="24"/>
          <w:szCs w:val="24"/>
        </w:rPr>
        <w:t>(2010)</w:t>
      </w:r>
      <w:r w:rsidR="00624886" w:rsidRPr="00624886">
        <w:rPr>
          <w:vertAlign w:val="superscript"/>
        </w:rPr>
        <w:footnoteReference w:id="2"/>
      </w:r>
      <w:r w:rsidR="00C55858" w:rsidRPr="009E69CE">
        <w:rPr>
          <w:rFonts w:ascii="Times New Roman" w:eastAsia="DengXian" w:hAnsi="Times New Roman" w:cs="Times New Roman"/>
          <w:i/>
          <w:sz w:val="24"/>
          <w:szCs w:val="24"/>
        </w:rPr>
        <w:t xml:space="preserve">, </w:t>
      </w:r>
      <w:r w:rsidR="00624886" w:rsidRPr="009E69CE">
        <w:rPr>
          <w:rFonts w:ascii="Times New Roman" w:eastAsia="DengXian" w:hAnsi="Times New Roman" w:cs="Times New Roman"/>
          <w:sz w:val="24"/>
          <w:szCs w:val="24"/>
        </w:rPr>
        <w:t>risk management is a process that starts with risk identification and evaluation, then communication of these identified risks to the top executives (</w:t>
      </w:r>
      <w:r w:rsidR="004A036F" w:rsidRPr="009E69CE">
        <w:rPr>
          <w:rFonts w:ascii="Times New Roman" w:eastAsia="DengXian" w:hAnsi="Times New Roman" w:cs="Times New Roman"/>
          <w:sz w:val="24"/>
          <w:szCs w:val="24"/>
        </w:rPr>
        <w:t>board of directors</w:t>
      </w:r>
      <w:r w:rsidR="00624886" w:rsidRPr="009E69CE">
        <w:rPr>
          <w:rFonts w:ascii="Times New Roman" w:eastAsia="DengXian" w:hAnsi="Times New Roman" w:cs="Times New Roman"/>
          <w:sz w:val="24"/>
          <w:szCs w:val="24"/>
        </w:rPr>
        <w:t xml:space="preserve">) and </w:t>
      </w:r>
      <w:r w:rsidR="004A036F" w:rsidRPr="009E69CE">
        <w:rPr>
          <w:rFonts w:ascii="Times New Roman" w:eastAsia="DengXian" w:hAnsi="Times New Roman" w:cs="Times New Roman"/>
          <w:sz w:val="24"/>
          <w:szCs w:val="24"/>
        </w:rPr>
        <w:t xml:space="preserve">management </w:t>
      </w:r>
      <w:r w:rsidR="004A036F" w:rsidRPr="001A685A">
        <w:rPr>
          <w:rFonts w:ascii="Times New Roman" w:eastAsia="DengXian" w:hAnsi="Times New Roman" w:cs="Times New Roman"/>
          <w:sz w:val="24"/>
          <w:szCs w:val="24"/>
        </w:rPr>
        <w:t>of the risk</w:t>
      </w:r>
      <w:r w:rsidR="00567377">
        <w:rPr>
          <w:rFonts w:ascii="Times New Roman" w:eastAsia="DengXian" w:hAnsi="Times New Roman" w:cs="Times New Roman"/>
          <w:sz w:val="24"/>
          <w:szCs w:val="24"/>
        </w:rPr>
        <w:t>s</w:t>
      </w:r>
      <w:r w:rsidR="004A036F" w:rsidRPr="001A685A">
        <w:rPr>
          <w:rFonts w:ascii="Times New Roman" w:eastAsia="DengXian" w:hAnsi="Times New Roman" w:cs="Times New Roman"/>
          <w:sz w:val="24"/>
          <w:szCs w:val="24"/>
        </w:rPr>
        <w:t xml:space="preserve"> </w:t>
      </w:r>
      <w:r w:rsidR="00624886" w:rsidRPr="001A685A">
        <w:rPr>
          <w:rFonts w:ascii="Times New Roman" w:eastAsia="DengXian" w:hAnsi="Times New Roman" w:cs="Times New Roman"/>
          <w:sz w:val="24"/>
          <w:szCs w:val="24"/>
        </w:rPr>
        <w:t>(Stulz, 2008).</w:t>
      </w:r>
      <w:r w:rsidR="00624886" w:rsidRPr="009E69CE">
        <w:rPr>
          <w:rFonts w:ascii="Times New Roman" w:eastAsia="DengXian" w:hAnsi="Times New Roman" w:cs="Times New Roman"/>
          <w:sz w:val="24"/>
          <w:szCs w:val="24"/>
        </w:rPr>
        <w:t xml:space="preserve">  </w:t>
      </w:r>
      <w:r w:rsidR="00C55858" w:rsidRPr="009E69CE">
        <w:rPr>
          <w:rFonts w:ascii="Times New Roman" w:eastAsia="DengXian" w:hAnsi="Times New Roman" w:cs="Times New Roman"/>
          <w:sz w:val="24"/>
          <w:szCs w:val="24"/>
        </w:rPr>
        <w:t xml:space="preserve">Failures </w:t>
      </w:r>
      <w:r w:rsidR="00DF66E9" w:rsidRPr="00DF66E9">
        <w:rPr>
          <w:rFonts w:ascii="Times New Roman" w:hAnsi="Times New Roman"/>
          <w:sz w:val="24"/>
          <w:szCs w:val="24"/>
        </w:rPr>
        <w:t>in any</w:t>
      </w:r>
      <w:r w:rsidR="00624886" w:rsidRPr="009E69CE">
        <w:rPr>
          <w:rFonts w:ascii="Times New Roman" w:eastAsia="DengXian" w:hAnsi="Times New Roman" w:cs="Times New Roman"/>
          <w:sz w:val="24"/>
          <w:szCs w:val="24"/>
        </w:rPr>
        <w:t xml:space="preserve"> of the steps </w:t>
      </w:r>
      <w:r w:rsidR="008E63B2" w:rsidRPr="008E63B2">
        <w:rPr>
          <w:rFonts w:ascii="Times New Roman" w:hAnsi="Times New Roman"/>
          <w:sz w:val="24"/>
          <w:szCs w:val="24"/>
        </w:rPr>
        <w:t>can lead</w:t>
      </w:r>
      <w:r w:rsidR="00624886" w:rsidRPr="009E69CE">
        <w:rPr>
          <w:rFonts w:ascii="Times New Roman" w:eastAsia="DengXian" w:hAnsi="Times New Roman" w:cs="Times New Roman"/>
          <w:sz w:val="24"/>
          <w:szCs w:val="24"/>
        </w:rPr>
        <w:t xml:space="preserve"> to </w:t>
      </w:r>
      <w:r w:rsidR="00C55858" w:rsidRPr="009E69CE">
        <w:rPr>
          <w:rFonts w:ascii="Times New Roman" w:eastAsia="DengXian" w:hAnsi="Times New Roman" w:cs="Times New Roman"/>
          <w:sz w:val="24"/>
          <w:szCs w:val="24"/>
        </w:rPr>
        <w:t xml:space="preserve">risk management failures, such as </w:t>
      </w:r>
      <w:r w:rsidR="00624886" w:rsidRPr="009E69CE">
        <w:rPr>
          <w:rFonts w:ascii="Times New Roman" w:eastAsia="DengXian" w:hAnsi="Times New Roman" w:cs="Times New Roman"/>
          <w:sz w:val="24"/>
          <w:szCs w:val="24"/>
        </w:rPr>
        <w:t>mismeasurement of risk,</w:t>
      </w:r>
      <w:r w:rsidR="00C55858" w:rsidRPr="009E69CE">
        <w:rPr>
          <w:rFonts w:ascii="Times New Roman" w:eastAsia="DengXian" w:hAnsi="Times New Roman" w:cs="Times New Roman"/>
          <w:sz w:val="24"/>
          <w:szCs w:val="24"/>
        </w:rPr>
        <w:t xml:space="preserve"> overlooking know</w:t>
      </w:r>
      <w:r w:rsidR="0001059E">
        <w:rPr>
          <w:rFonts w:ascii="Times New Roman" w:hAnsi="Times New Roman"/>
          <w:sz w:val="24"/>
          <w:szCs w:val="24"/>
        </w:rPr>
        <w:t>n</w:t>
      </w:r>
      <w:r w:rsidR="00C55858" w:rsidRPr="009E69CE">
        <w:rPr>
          <w:rFonts w:ascii="Times New Roman" w:eastAsia="DengXian" w:hAnsi="Times New Roman" w:cs="Times New Roman"/>
          <w:sz w:val="24"/>
          <w:szCs w:val="24"/>
        </w:rPr>
        <w:t xml:space="preserve"> </w:t>
      </w:r>
      <w:r w:rsidR="008E63B2" w:rsidRPr="008E63B2">
        <w:rPr>
          <w:rFonts w:ascii="Times New Roman" w:hAnsi="Times New Roman"/>
          <w:sz w:val="24"/>
          <w:szCs w:val="24"/>
        </w:rPr>
        <w:t>risks, poor</w:t>
      </w:r>
      <w:r w:rsidR="00C55858" w:rsidRPr="009E69CE">
        <w:rPr>
          <w:rFonts w:ascii="Times New Roman" w:eastAsia="DengXian" w:hAnsi="Times New Roman" w:cs="Times New Roman"/>
          <w:sz w:val="24"/>
          <w:szCs w:val="24"/>
        </w:rPr>
        <w:t xml:space="preserve"> </w:t>
      </w:r>
      <w:r w:rsidR="00624886" w:rsidRPr="009E69CE">
        <w:rPr>
          <w:rFonts w:ascii="Times New Roman" w:eastAsia="DengXian" w:hAnsi="Times New Roman" w:cs="Times New Roman"/>
          <w:sz w:val="24"/>
          <w:szCs w:val="24"/>
        </w:rPr>
        <w:t>communicati</w:t>
      </w:r>
      <w:r w:rsidR="00DF66E9">
        <w:rPr>
          <w:rFonts w:ascii="Times New Roman" w:hAnsi="Times New Roman"/>
          <w:sz w:val="24"/>
          <w:szCs w:val="24"/>
        </w:rPr>
        <w:t>on</w:t>
      </w:r>
      <w:r w:rsidR="00624886" w:rsidRPr="009E69CE">
        <w:rPr>
          <w:rFonts w:ascii="Times New Roman" w:eastAsia="DengXian" w:hAnsi="Times New Roman" w:cs="Times New Roman"/>
          <w:sz w:val="24"/>
          <w:szCs w:val="24"/>
        </w:rPr>
        <w:t xml:space="preserve"> </w:t>
      </w:r>
      <w:r w:rsidR="008E63B2" w:rsidRPr="008E63B2">
        <w:rPr>
          <w:rFonts w:ascii="Times New Roman" w:hAnsi="Times New Roman"/>
          <w:sz w:val="24"/>
          <w:szCs w:val="24"/>
        </w:rPr>
        <w:t>with top</w:t>
      </w:r>
      <w:r w:rsidR="00624886" w:rsidRPr="009E69CE">
        <w:rPr>
          <w:rFonts w:ascii="Times New Roman" w:eastAsia="DengXian" w:hAnsi="Times New Roman" w:cs="Times New Roman"/>
          <w:sz w:val="24"/>
          <w:szCs w:val="24"/>
        </w:rPr>
        <w:t xml:space="preserve"> management, </w:t>
      </w:r>
      <w:r w:rsidR="00C55858" w:rsidRPr="009E69CE">
        <w:rPr>
          <w:rFonts w:ascii="Times New Roman" w:eastAsia="DengXian" w:hAnsi="Times New Roman" w:cs="Times New Roman"/>
          <w:sz w:val="24"/>
          <w:szCs w:val="24"/>
        </w:rPr>
        <w:t>and ineffective</w:t>
      </w:r>
      <w:r w:rsidR="00624886" w:rsidRPr="009E69CE">
        <w:rPr>
          <w:rFonts w:ascii="Times New Roman" w:eastAsia="DengXian" w:hAnsi="Times New Roman" w:cs="Times New Roman"/>
          <w:sz w:val="24"/>
          <w:szCs w:val="24"/>
        </w:rPr>
        <w:t xml:space="preserve"> monitoring and mana</w:t>
      </w:r>
      <w:r w:rsidR="00C55858" w:rsidRPr="009E69CE">
        <w:rPr>
          <w:rFonts w:ascii="Times New Roman" w:eastAsia="DengXian" w:hAnsi="Times New Roman" w:cs="Times New Roman"/>
          <w:sz w:val="24"/>
          <w:szCs w:val="24"/>
        </w:rPr>
        <w:t>gement of</w:t>
      </w:r>
      <w:r w:rsidR="00624886" w:rsidRPr="009E69CE">
        <w:rPr>
          <w:rFonts w:ascii="Times New Roman" w:eastAsia="DengXian" w:hAnsi="Times New Roman" w:cs="Times New Roman"/>
          <w:sz w:val="24"/>
          <w:szCs w:val="24"/>
        </w:rPr>
        <w:t xml:space="preserve"> risks.</w:t>
      </w:r>
    </w:p>
    <w:p w14:paraId="726A4302" w14:textId="4499A827" w:rsidR="00624886" w:rsidRPr="00624886" w:rsidRDefault="001A685A" w:rsidP="001A685A">
      <w:pPr>
        <w:spacing w:line="480" w:lineRule="auto"/>
        <w:ind w:left="426"/>
        <w:jc w:val="both"/>
        <w:rPr>
          <w:rFonts w:ascii="Times New Roman" w:hAnsi="Times New Roman" w:cs="Times New Roman"/>
          <w:sz w:val="24"/>
          <w:szCs w:val="24"/>
        </w:rPr>
      </w:pPr>
      <w:r>
        <w:rPr>
          <w:rFonts w:ascii="Times New Roman" w:eastAsia="DengXian" w:hAnsi="Times New Roman" w:cs="Times New Roman"/>
          <w:sz w:val="24"/>
          <w:szCs w:val="24"/>
        </w:rPr>
        <w:t>R</w:t>
      </w:r>
      <w:r w:rsidR="00624886" w:rsidRPr="009E69CE">
        <w:rPr>
          <w:rFonts w:ascii="Times New Roman" w:eastAsia="DengXian" w:hAnsi="Times New Roman" w:cs="Times New Roman"/>
          <w:sz w:val="24"/>
          <w:szCs w:val="24"/>
        </w:rPr>
        <w:t xml:space="preserve">isk management is more critical in banks </w:t>
      </w:r>
      <w:r w:rsidR="00C55858" w:rsidRPr="009E69CE">
        <w:rPr>
          <w:rFonts w:ascii="Times New Roman" w:eastAsia="DengXian" w:hAnsi="Times New Roman" w:cs="Times New Roman"/>
          <w:sz w:val="24"/>
          <w:szCs w:val="24"/>
        </w:rPr>
        <w:t>due to their</w:t>
      </w:r>
      <w:r w:rsidR="00624886" w:rsidRPr="009E69CE">
        <w:rPr>
          <w:rFonts w:ascii="Times New Roman" w:eastAsia="DengXian" w:hAnsi="Times New Roman" w:cs="Times New Roman"/>
          <w:sz w:val="24"/>
          <w:szCs w:val="24"/>
        </w:rPr>
        <w:t xml:space="preserve"> high</w:t>
      </w:r>
      <w:r>
        <w:rPr>
          <w:rFonts w:ascii="Times New Roman" w:eastAsia="DengXian" w:hAnsi="Times New Roman" w:cs="Times New Roman"/>
          <w:sz w:val="24"/>
          <w:szCs w:val="24"/>
        </w:rPr>
        <w:t>-</w:t>
      </w:r>
      <w:r w:rsidR="00624886" w:rsidRPr="009E69CE">
        <w:rPr>
          <w:rFonts w:ascii="Times New Roman" w:eastAsia="DengXian" w:hAnsi="Times New Roman" w:cs="Times New Roman"/>
          <w:sz w:val="24"/>
          <w:szCs w:val="24"/>
        </w:rPr>
        <w:t xml:space="preserve">leverage structures, which increases the probability of tail risk and costly financial distress (Ellul, 2015). </w:t>
      </w:r>
      <w:r w:rsidR="00C55858" w:rsidRPr="009E69CE">
        <w:rPr>
          <w:rFonts w:ascii="Times New Roman" w:eastAsia="DengXian" w:hAnsi="Times New Roman" w:cs="Times New Roman"/>
          <w:sz w:val="24"/>
          <w:szCs w:val="24"/>
        </w:rPr>
        <w:t>S</w:t>
      </w:r>
      <w:r w:rsidR="00624886" w:rsidRPr="009E69CE">
        <w:rPr>
          <w:rFonts w:ascii="Times New Roman" w:eastAsia="DengXian" w:hAnsi="Times New Roman" w:cs="Times New Roman"/>
          <w:sz w:val="24"/>
          <w:szCs w:val="24"/>
        </w:rPr>
        <w:t>ystemically important bank</w:t>
      </w:r>
      <w:r w:rsidR="0087041C" w:rsidRPr="009E69CE">
        <w:rPr>
          <w:rFonts w:ascii="Times New Roman" w:eastAsia="DengXian" w:hAnsi="Times New Roman" w:cs="Times New Roman"/>
          <w:sz w:val="24"/>
          <w:szCs w:val="24"/>
        </w:rPr>
        <w:t>s</w:t>
      </w:r>
      <w:r w:rsidR="00C55858" w:rsidRPr="009E69CE">
        <w:rPr>
          <w:rFonts w:ascii="Times New Roman" w:eastAsia="DengXian" w:hAnsi="Times New Roman" w:cs="Times New Roman"/>
          <w:sz w:val="24"/>
          <w:szCs w:val="24"/>
        </w:rPr>
        <w:t xml:space="preserve"> are par</w:t>
      </w:r>
      <w:r w:rsidR="004313B0" w:rsidRPr="009E69CE">
        <w:rPr>
          <w:rFonts w:ascii="Times New Roman" w:eastAsia="DengXian" w:hAnsi="Times New Roman" w:cs="Times New Roman"/>
          <w:sz w:val="24"/>
          <w:szCs w:val="24"/>
        </w:rPr>
        <w:t xml:space="preserve">ticularly </w:t>
      </w:r>
      <w:r w:rsidR="00C55858" w:rsidRPr="009E69CE">
        <w:rPr>
          <w:rFonts w:ascii="Times New Roman" w:eastAsia="DengXian" w:hAnsi="Times New Roman" w:cs="Times New Roman"/>
          <w:sz w:val="24"/>
          <w:szCs w:val="24"/>
        </w:rPr>
        <w:t>vulnerable, as their</w:t>
      </w:r>
      <w:r w:rsidR="00624886" w:rsidRPr="009E69CE">
        <w:rPr>
          <w:rFonts w:ascii="Times New Roman" w:eastAsia="DengXian" w:hAnsi="Times New Roman" w:cs="Times New Roman"/>
          <w:sz w:val="24"/>
          <w:szCs w:val="24"/>
        </w:rPr>
        <w:t xml:space="preserve"> financial distress </w:t>
      </w:r>
      <w:r w:rsidR="00C55858" w:rsidRPr="009E69CE">
        <w:rPr>
          <w:rFonts w:ascii="Times New Roman" w:eastAsia="DengXian" w:hAnsi="Times New Roman" w:cs="Times New Roman"/>
          <w:sz w:val="24"/>
          <w:szCs w:val="24"/>
        </w:rPr>
        <w:t xml:space="preserve">can cause </w:t>
      </w:r>
      <w:r w:rsidR="00624886" w:rsidRPr="009E69CE">
        <w:rPr>
          <w:rFonts w:ascii="Times New Roman" w:eastAsia="DengXian" w:hAnsi="Times New Roman" w:cs="Times New Roman"/>
          <w:sz w:val="24"/>
          <w:szCs w:val="24"/>
        </w:rPr>
        <w:t xml:space="preserve">contagion and systemic risk (Acharya et al., 2012). </w:t>
      </w:r>
      <w:r w:rsidR="00C55858" w:rsidRPr="009E69CE">
        <w:rPr>
          <w:rFonts w:ascii="Times New Roman" w:eastAsia="DengXian" w:hAnsi="Times New Roman" w:cs="Times New Roman"/>
          <w:sz w:val="24"/>
          <w:szCs w:val="24"/>
        </w:rPr>
        <w:t>E</w:t>
      </w:r>
      <w:r w:rsidR="00624886" w:rsidRPr="009E69CE">
        <w:rPr>
          <w:rFonts w:ascii="Times New Roman" w:eastAsia="DengXian" w:hAnsi="Times New Roman" w:cs="Times New Roman"/>
          <w:sz w:val="24"/>
          <w:szCs w:val="24"/>
        </w:rPr>
        <w:t>mpirical evidence suggests that effective risk management adds value for the shareholder (</w:t>
      </w:r>
      <w:r w:rsidR="00DB354F">
        <w:rPr>
          <w:rFonts w:ascii="Times New Roman" w:hAnsi="Times New Roman"/>
          <w:sz w:val="24"/>
          <w:szCs w:val="24"/>
        </w:rPr>
        <w:t>Hoyt et al.</w:t>
      </w:r>
      <w:r w:rsidR="00624886" w:rsidRPr="009E69CE">
        <w:rPr>
          <w:rFonts w:ascii="Times New Roman" w:eastAsia="DengXian" w:hAnsi="Times New Roman" w:cs="Times New Roman"/>
          <w:sz w:val="24"/>
          <w:szCs w:val="24"/>
        </w:rPr>
        <w:t>, 2011, Carter et al., 2006) by reducing expected tax liabilities and financial distress costs (</w:t>
      </w:r>
      <w:r w:rsidR="00DB354F">
        <w:rPr>
          <w:rFonts w:ascii="Times New Roman" w:hAnsi="Times New Roman"/>
          <w:sz w:val="24"/>
          <w:szCs w:val="24"/>
        </w:rPr>
        <w:t>S</w:t>
      </w:r>
      <w:r w:rsidR="00624886" w:rsidRPr="009E69CE">
        <w:rPr>
          <w:rFonts w:ascii="Times New Roman" w:eastAsia="DengXian" w:hAnsi="Times New Roman" w:cs="Times New Roman"/>
          <w:sz w:val="24"/>
          <w:szCs w:val="24"/>
        </w:rPr>
        <w:t>mith and Stulz, 1985)</w:t>
      </w:r>
      <w:r w:rsidR="00C55858" w:rsidRPr="009E69CE">
        <w:rPr>
          <w:rFonts w:ascii="Times New Roman" w:eastAsia="DengXian" w:hAnsi="Times New Roman" w:cs="Times New Roman"/>
          <w:sz w:val="24"/>
          <w:szCs w:val="24"/>
        </w:rPr>
        <w:t>, but requires</w:t>
      </w:r>
      <w:r w:rsidR="00624886" w:rsidRPr="009E69CE">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companies to </w:t>
      </w:r>
      <w:r w:rsidR="00624886" w:rsidRPr="009E69CE">
        <w:rPr>
          <w:rFonts w:ascii="Times New Roman" w:eastAsia="DengXian" w:hAnsi="Times New Roman" w:cs="Times New Roman"/>
          <w:sz w:val="24"/>
          <w:szCs w:val="24"/>
        </w:rPr>
        <w:t>operat</w:t>
      </w:r>
      <w:r>
        <w:rPr>
          <w:rFonts w:ascii="Times New Roman" w:eastAsia="DengXian" w:hAnsi="Times New Roman" w:cs="Times New Roman"/>
          <w:sz w:val="24"/>
          <w:szCs w:val="24"/>
        </w:rPr>
        <w:t>e</w:t>
      </w:r>
      <w:r w:rsidR="00624886" w:rsidRPr="009E69CE">
        <w:rPr>
          <w:rFonts w:ascii="Times New Roman" w:eastAsia="DengXian" w:hAnsi="Times New Roman" w:cs="Times New Roman"/>
          <w:sz w:val="24"/>
          <w:szCs w:val="24"/>
        </w:rPr>
        <w:t xml:space="preserve"> at </w:t>
      </w:r>
      <w:r w:rsidR="00B13FB0">
        <w:rPr>
          <w:rFonts w:ascii="Times New Roman" w:eastAsia="DengXian" w:hAnsi="Times New Roman" w:cs="Times New Roman"/>
          <w:sz w:val="24"/>
          <w:szCs w:val="24"/>
        </w:rPr>
        <w:t>their</w:t>
      </w:r>
      <w:r w:rsidR="00624886" w:rsidRPr="009E69CE">
        <w:rPr>
          <w:rFonts w:ascii="Times New Roman" w:eastAsia="DengXian" w:hAnsi="Times New Roman" w:cs="Times New Roman"/>
          <w:sz w:val="24"/>
          <w:szCs w:val="24"/>
        </w:rPr>
        <w:t xml:space="preserve"> optimal risk level (Stulz</w:t>
      </w:r>
      <w:r w:rsidR="00DB354F">
        <w:rPr>
          <w:rFonts w:ascii="Times New Roman" w:hAnsi="Times New Roman"/>
          <w:sz w:val="24"/>
          <w:szCs w:val="24"/>
        </w:rPr>
        <w:t xml:space="preserve"> et al.</w:t>
      </w:r>
      <w:r w:rsidR="00624886" w:rsidRPr="009E69CE">
        <w:rPr>
          <w:rFonts w:ascii="Times New Roman" w:eastAsia="DengXian" w:hAnsi="Times New Roman" w:cs="Times New Roman"/>
          <w:sz w:val="24"/>
          <w:szCs w:val="24"/>
        </w:rPr>
        <w:t>, 2012). However, achieving optimal risk level is subject to concern, i.e.</w:t>
      </w:r>
      <w:r w:rsidR="00C55858" w:rsidRPr="009E69CE">
        <w:rPr>
          <w:rFonts w:ascii="Times New Roman" w:eastAsia="DengXian" w:hAnsi="Times New Roman" w:cs="Times New Roman"/>
          <w:sz w:val="24"/>
          <w:szCs w:val="24"/>
        </w:rPr>
        <w:t>,</w:t>
      </w:r>
      <w:r w:rsidR="00624886" w:rsidRPr="009E69CE">
        <w:rPr>
          <w:rFonts w:ascii="Times New Roman" w:eastAsia="DengXian" w:hAnsi="Times New Roman" w:cs="Times New Roman"/>
          <w:sz w:val="24"/>
          <w:szCs w:val="24"/>
        </w:rPr>
        <w:t xml:space="preserve"> who determines optimal risk-taking (Ellul, 2015). </w:t>
      </w:r>
      <w:r w:rsidR="00C55858" w:rsidRPr="009E69CE">
        <w:rPr>
          <w:rFonts w:ascii="Times New Roman" w:eastAsia="DengXian" w:hAnsi="Times New Roman" w:cs="Times New Roman"/>
          <w:sz w:val="24"/>
          <w:szCs w:val="24"/>
        </w:rPr>
        <w:t>While s</w:t>
      </w:r>
      <w:r w:rsidR="00624886" w:rsidRPr="009E69CE">
        <w:rPr>
          <w:rFonts w:ascii="Times New Roman" w:eastAsia="DengXian" w:hAnsi="Times New Roman" w:cs="Times New Roman"/>
          <w:sz w:val="24"/>
          <w:szCs w:val="24"/>
        </w:rPr>
        <w:t xml:space="preserve">enior management is one candidate, but their risk preferences might be aligned with </w:t>
      </w:r>
      <w:r w:rsidR="00C55858" w:rsidRPr="009E69CE">
        <w:rPr>
          <w:rFonts w:ascii="Times New Roman" w:eastAsia="DengXian" w:hAnsi="Times New Roman" w:cs="Times New Roman"/>
          <w:sz w:val="24"/>
          <w:szCs w:val="24"/>
        </w:rPr>
        <w:t xml:space="preserve">those of </w:t>
      </w:r>
      <w:r w:rsidR="00624886" w:rsidRPr="009E69CE">
        <w:rPr>
          <w:rFonts w:ascii="Times New Roman" w:eastAsia="DengXian" w:hAnsi="Times New Roman" w:cs="Times New Roman"/>
          <w:sz w:val="24"/>
          <w:szCs w:val="24"/>
        </w:rPr>
        <w:t>shareholders, lead</w:t>
      </w:r>
      <w:r w:rsidR="00C55858" w:rsidRPr="009E69CE">
        <w:rPr>
          <w:rFonts w:ascii="Times New Roman" w:eastAsia="DengXian" w:hAnsi="Times New Roman" w:cs="Times New Roman"/>
          <w:sz w:val="24"/>
          <w:szCs w:val="24"/>
        </w:rPr>
        <w:t>ing</w:t>
      </w:r>
      <w:r w:rsidR="00624886" w:rsidRPr="009E69CE">
        <w:rPr>
          <w:rFonts w:ascii="Times New Roman" w:eastAsia="DengXian" w:hAnsi="Times New Roman" w:cs="Times New Roman"/>
          <w:sz w:val="24"/>
          <w:szCs w:val="24"/>
        </w:rPr>
        <w:t xml:space="preserve"> to excessive risk-taking (Bebchuk &amp; Spamann, 2010). </w:t>
      </w:r>
      <w:r w:rsidR="00C55858" w:rsidRPr="009E69CE">
        <w:rPr>
          <w:rFonts w:ascii="Times New Roman" w:eastAsia="DengXian" w:hAnsi="Times New Roman" w:cs="Times New Roman"/>
          <w:sz w:val="24"/>
          <w:szCs w:val="24"/>
        </w:rPr>
        <w:t>To address this</w:t>
      </w:r>
      <w:r w:rsidR="00624886" w:rsidRPr="009E69CE">
        <w:rPr>
          <w:rFonts w:ascii="Times New Roman" w:eastAsia="DengXian" w:hAnsi="Times New Roman" w:cs="Times New Roman"/>
          <w:sz w:val="24"/>
          <w:szCs w:val="24"/>
        </w:rPr>
        <w:t xml:space="preserve"> conflict of interest, </w:t>
      </w:r>
      <w:r w:rsidR="0001059E">
        <w:rPr>
          <w:rFonts w:ascii="Times New Roman" w:hAnsi="Times New Roman"/>
          <w:sz w:val="24"/>
          <w:szCs w:val="24"/>
        </w:rPr>
        <w:t>BIS</w:t>
      </w:r>
      <w:r w:rsidR="00624886" w:rsidRPr="009E69CE">
        <w:rPr>
          <w:rFonts w:ascii="Times New Roman" w:eastAsia="DengXian" w:hAnsi="Times New Roman" w:cs="Times New Roman"/>
          <w:sz w:val="24"/>
          <w:szCs w:val="24"/>
        </w:rPr>
        <w:t xml:space="preserve"> (2010) assign</w:t>
      </w:r>
      <w:r w:rsidR="004A036F" w:rsidRPr="009E69CE">
        <w:rPr>
          <w:rFonts w:ascii="Times New Roman" w:eastAsia="DengXian" w:hAnsi="Times New Roman" w:cs="Times New Roman"/>
          <w:sz w:val="24"/>
          <w:szCs w:val="24"/>
        </w:rPr>
        <w:t xml:space="preserve">s </w:t>
      </w:r>
      <w:r>
        <w:rPr>
          <w:rFonts w:ascii="Times New Roman" w:eastAsia="DengXian" w:hAnsi="Times New Roman" w:cs="Times New Roman"/>
          <w:sz w:val="24"/>
          <w:szCs w:val="24"/>
        </w:rPr>
        <w:t xml:space="preserve">the </w:t>
      </w:r>
      <w:r w:rsidR="004A036F" w:rsidRPr="009E69CE">
        <w:rPr>
          <w:rFonts w:ascii="Times New Roman" w:eastAsia="DengXian" w:hAnsi="Times New Roman" w:cs="Times New Roman"/>
          <w:sz w:val="24"/>
          <w:szCs w:val="24"/>
        </w:rPr>
        <w:t xml:space="preserve">setting of the optimal risk </w:t>
      </w:r>
      <w:r w:rsidR="00DF66E9" w:rsidRPr="00DF66E9">
        <w:rPr>
          <w:rFonts w:ascii="Times New Roman" w:hAnsi="Times New Roman"/>
          <w:sz w:val="24"/>
          <w:szCs w:val="24"/>
        </w:rPr>
        <w:t>level to</w:t>
      </w:r>
      <w:r w:rsidR="00624886" w:rsidRPr="009E69CE">
        <w:rPr>
          <w:rFonts w:ascii="Times New Roman" w:eastAsia="DengXian" w:hAnsi="Times New Roman" w:cs="Times New Roman"/>
          <w:sz w:val="24"/>
          <w:szCs w:val="24"/>
        </w:rPr>
        <w:t xml:space="preserve"> the board of directors (Ellul, 2015)</w:t>
      </w:r>
      <w:r w:rsidR="00803948">
        <w:rPr>
          <w:rFonts w:ascii="Times New Roman" w:hAnsi="Times New Roman"/>
          <w:sz w:val="24"/>
          <w:szCs w:val="24"/>
        </w:rPr>
        <w:t xml:space="preserve">. </w:t>
      </w:r>
      <w:r w:rsidR="00624886" w:rsidRPr="00624886">
        <w:rPr>
          <w:rFonts w:ascii="Times New Roman" w:hAnsi="Times New Roman" w:cs="Times New Roman"/>
          <w:sz w:val="24"/>
          <w:szCs w:val="24"/>
        </w:rPr>
        <w:t xml:space="preserve">Making the board </w:t>
      </w:r>
      <w:r w:rsidR="0087041C">
        <w:rPr>
          <w:rFonts w:ascii="Times New Roman" w:hAnsi="Times New Roman" w:cs="Times New Roman"/>
          <w:sz w:val="24"/>
          <w:szCs w:val="24"/>
        </w:rPr>
        <w:t xml:space="preserve">as </w:t>
      </w:r>
      <w:r w:rsidR="00624886" w:rsidRPr="00624886">
        <w:rPr>
          <w:rFonts w:ascii="Times New Roman" w:hAnsi="Times New Roman" w:cs="Times New Roman"/>
          <w:sz w:val="24"/>
          <w:szCs w:val="24"/>
        </w:rPr>
        <w:t>the pivotal forc</w:t>
      </w:r>
      <w:r w:rsidR="00D403BB">
        <w:rPr>
          <w:rFonts w:ascii="Times New Roman" w:hAnsi="Times New Roman" w:cs="Times New Roman"/>
          <w:sz w:val="24"/>
          <w:szCs w:val="24"/>
        </w:rPr>
        <w:t>e behind risk management</w:t>
      </w:r>
      <w:r w:rsidR="00624886" w:rsidRPr="00624886">
        <w:rPr>
          <w:rFonts w:ascii="Times New Roman" w:hAnsi="Times New Roman" w:cs="Times New Roman"/>
          <w:sz w:val="24"/>
          <w:szCs w:val="24"/>
        </w:rPr>
        <w:t xml:space="preserve"> </w:t>
      </w:r>
      <w:r w:rsidR="00D403BB">
        <w:rPr>
          <w:rFonts w:ascii="Times New Roman" w:hAnsi="Times New Roman" w:cs="Times New Roman"/>
          <w:sz w:val="24"/>
          <w:szCs w:val="24"/>
        </w:rPr>
        <w:t xml:space="preserve">faces many </w:t>
      </w:r>
      <w:r w:rsidR="004313B0">
        <w:rPr>
          <w:rFonts w:ascii="Times New Roman" w:hAnsi="Times New Roman" w:cs="Times New Roman"/>
          <w:sz w:val="24"/>
          <w:szCs w:val="24"/>
        </w:rPr>
        <w:t>challenges</w:t>
      </w:r>
      <w:r w:rsidR="00624886" w:rsidRPr="00624886">
        <w:rPr>
          <w:rFonts w:ascii="Times New Roman" w:hAnsi="Times New Roman" w:cs="Times New Roman"/>
          <w:sz w:val="24"/>
          <w:szCs w:val="24"/>
        </w:rPr>
        <w:t xml:space="preserve">. Firstly, strategic decision-making regarding risk requires timely information that can enable the board to assess the consequences of retaining or laying off risk (Stulz, 2008).  </w:t>
      </w:r>
      <w:r w:rsidR="004313B0">
        <w:rPr>
          <w:rFonts w:ascii="Times New Roman" w:hAnsi="Times New Roman" w:cs="Times New Roman"/>
          <w:sz w:val="24"/>
          <w:szCs w:val="24"/>
        </w:rPr>
        <w:t>Secondly, effective c</w:t>
      </w:r>
      <w:r w:rsidR="004313B0" w:rsidRPr="00624886">
        <w:rPr>
          <w:rFonts w:ascii="Times New Roman" w:hAnsi="Times New Roman" w:cs="Times New Roman"/>
          <w:sz w:val="24"/>
          <w:szCs w:val="24"/>
        </w:rPr>
        <w:t>ommunicat</w:t>
      </w:r>
      <w:r w:rsidR="004313B0">
        <w:rPr>
          <w:rFonts w:ascii="Times New Roman" w:hAnsi="Times New Roman" w:cs="Times New Roman"/>
          <w:sz w:val="24"/>
          <w:szCs w:val="24"/>
        </w:rPr>
        <w:t>ion</w:t>
      </w:r>
      <w:r w:rsidR="00624886" w:rsidRPr="00624886">
        <w:rPr>
          <w:rFonts w:ascii="Times New Roman" w:hAnsi="Times New Roman" w:cs="Times New Roman"/>
          <w:sz w:val="24"/>
          <w:szCs w:val="24"/>
        </w:rPr>
        <w:t xml:space="preserve"> </w:t>
      </w:r>
      <w:r w:rsidR="004313B0">
        <w:rPr>
          <w:rFonts w:ascii="Times New Roman" w:hAnsi="Times New Roman" w:cs="Times New Roman"/>
          <w:sz w:val="24"/>
          <w:szCs w:val="24"/>
        </w:rPr>
        <w:t xml:space="preserve">of this </w:t>
      </w:r>
      <w:r w:rsidR="00624886" w:rsidRPr="00624886">
        <w:rPr>
          <w:rFonts w:ascii="Times New Roman" w:hAnsi="Times New Roman" w:cs="Times New Roman"/>
          <w:sz w:val="24"/>
          <w:szCs w:val="24"/>
        </w:rPr>
        <w:t xml:space="preserve">information is also important to the board of directors and senior management (Stulz, 2008). </w:t>
      </w:r>
      <w:r w:rsidR="004313B0">
        <w:rPr>
          <w:rFonts w:ascii="Times New Roman" w:hAnsi="Times New Roman" w:cs="Times New Roman"/>
          <w:sz w:val="24"/>
          <w:szCs w:val="24"/>
        </w:rPr>
        <w:t xml:space="preserve">Therefore, </w:t>
      </w:r>
      <w:r w:rsidR="00624886" w:rsidRPr="00624886">
        <w:rPr>
          <w:rFonts w:ascii="Times New Roman" w:hAnsi="Times New Roman" w:cs="Times New Roman"/>
          <w:sz w:val="24"/>
          <w:szCs w:val="24"/>
        </w:rPr>
        <w:t xml:space="preserve">risk managers </w:t>
      </w:r>
      <w:r w:rsidR="004313B0">
        <w:rPr>
          <w:rFonts w:ascii="Times New Roman" w:hAnsi="Times New Roman" w:cs="Times New Roman"/>
          <w:sz w:val="24"/>
          <w:szCs w:val="24"/>
        </w:rPr>
        <w:t xml:space="preserve">play a crucial role </w:t>
      </w:r>
      <w:r w:rsidR="004A036F">
        <w:rPr>
          <w:rFonts w:ascii="Times New Roman" w:hAnsi="Times New Roman" w:cs="Times New Roman"/>
          <w:sz w:val="24"/>
          <w:szCs w:val="24"/>
        </w:rPr>
        <w:t xml:space="preserve">in </w:t>
      </w:r>
      <w:r w:rsidR="004A036F" w:rsidRPr="00624886">
        <w:rPr>
          <w:rFonts w:ascii="Times New Roman" w:hAnsi="Times New Roman" w:cs="Times New Roman"/>
          <w:sz w:val="24"/>
          <w:szCs w:val="24"/>
        </w:rPr>
        <w:t>communicating</w:t>
      </w:r>
      <w:r w:rsidR="00624886" w:rsidRPr="00624886">
        <w:rPr>
          <w:rFonts w:ascii="Times New Roman" w:hAnsi="Times New Roman" w:cs="Times New Roman"/>
          <w:sz w:val="24"/>
          <w:szCs w:val="24"/>
        </w:rPr>
        <w:t xml:space="preserve"> information effectively by making the senior management understand the</w:t>
      </w:r>
      <w:r w:rsidR="00567377">
        <w:rPr>
          <w:rFonts w:ascii="Times New Roman" w:hAnsi="Times New Roman" w:cs="Times New Roman"/>
          <w:sz w:val="24"/>
          <w:szCs w:val="24"/>
        </w:rPr>
        <w:t xml:space="preserve"> risk</w:t>
      </w:r>
      <w:r w:rsidR="00624886" w:rsidRPr="00624886">
        <w:rPr>
          <w:rFonts w:ascii="Times New Roman" w:hAnsi="Times New Roman" w:cs="Times New Roman"/>
          <w:sz w:val="24"/>
          <w:szCs w:val="24"/>
        </w:rPr>
        <w:t xml:space="preserve"> output (Stulz, 2008). Communication failures </w:t>
      </w:r>
      <w:r w:rsidR="004313B0">
        <w:rPr>
          <w:rFonts w:ascii="Times New Roman" w:hAnsi="Times New Roman" w:cs="Times New Roman"/>
          <w:sz w:val="24"/>
          <w:szCs w:val="24"/>
        </w:rPr>
        <w:t xml:space="preserve">have been a problem in the past, often due </w:t>
      </w:r>
      <w:r w:rsidR="00624886" w:rsidRPr="00624886">
        <w:rPr>
          <w:rFonts w:ascii="Times New Roman" w:hAnsi="Times New Roman" w:cs="Times New Roman"/>
          <w:sz w:val="24"/>
          <w:szCs w:val="24"/>
        </w:rPr>
        <w:t xml:space="preserve">to </w:t>
      </w:r>
      <w:r>
        <w:rPr>
          <w:rFonts w:ascii="Times New Roman" w:hAnsi="Times New Roman" w:cs="Times New Roman"/>
          <w:sz w:val="24"/>
          <w:szCs w:val="24"/>
        </w:rPr>
        <w:t xml:space="preserve">a </w:t>
      </w:r>
      <w:r w:rsidR="00624886" w:rsidRPr="00624886">
        <w:rPr>
          <w:rFonts w:ascii="Times New Roman" w:hAnsi="Times New Roman" w:cs="Times New Roman"/>
          <w:sz w:val="24"/>
          <w:szCs w:val="24"/>
        </w:rPr>
        <w:t xml:space="preserve">hierarchical structure </w:t>
      </w:r>
      <w:r w:rsidR="004313B0">
        <w:rPr>
          <w:rFonts w:ascii="Times New Roman" w:hAnsi="Times New Roman" w:cs="Times New Roman"/>
          <w:sz w:val="24"/>
          <w:szCs w:val="24"/>
        </w:rPr>
        <w:t>that filter</w:t>
      </w:r>
      <w:r>
        <w:rPr>
          <w:rFonts w:ascii="Times New Roman" w:hAnsi="Times New Roman" w:cs="Times New Roman"/>
          <w:sz w:val="24"/>
          <w:szCs w:val="24"/>
        </w:rPr>
        <w:t>s</w:t>
      </w:r>
      <w:r w:rsidR="004313B0" w:rsidRPr="00624886">
        <w:rPr>
          <w:rFonts w:ascii="Times New Roman" w:hAnsi="Times New Roman" w:cs="Times New Roman"/>
          <w:sz w:val="24"/>
          <w:szCs w:val="24"/>
        </w:rPr>
        <w:t xml:space="preserve"> </w:t>
      </w:r>
      <w:r w:rsidR="00624886" w:rsidRPr="00624886">
        <w:rPr>
          <w:rFonts w:ascii="Times New Roman" w:hAnsi="Times New Roman" w:cs="Times New Roman"/>
          <w:sz w:val="24"/>
          <w:szCs w:val="24"/>
        </w:rPr>
        <w:t xml:space="preserve">information </w:t>
      </w:r>
      <w:r w:rsidR="004313B0">
        <w:rPr>
          <w:rFonts w:ascii="Times New Roman" w:hAnsi="Times New Roman" w:cs="Times New Roman"/>
          <w:sz w:val="24"/>
          <w:szCs w:val="24"/>
        </w:rPr>
        <w:t xml:space="preserve">as it </w:t>
      </w:r>
      <w:r>
        <w:rPr>
          <w:rFonts w:ascii="Times New Roman" w:hAnsi="Times New Roman" w:cs="Times New Roman"/>
          <w:sz w:val="24"/>
          <w:szCs w:val="24"/>
        </w:rPr>
        <w:t xml:space="preserve">is </w:t>
      </w:r>
      <w:r w:rsidR="00624886" w:rsidRPr="00624886">
        <w:rPr>
          <w:rFonts w:ascii="Times New Roman" w:hAnsi="Times New Roman" w:cs="Times New Roman"/>
          <w:sz w:val="24"/>
          <w:szCs w:val="24"/>
        </w:rPr>
        <w:t>passed to the management chain</w:t>
      </w:r>
      <w:r w:rsidR="0087041C">
        <w:rPr>
          <w:rFonts w:ascii="Times New Roman" w:hAnsi="Times New Roman" w:cs="Times New Roman"/>
          <w:sz w:val="24"/>
          <w:szCs w:val="24"/>
        </w:rPr>
        <w:t xml:space="preserve"> </w:t>
      </w:r>
      <w:r w:rsidR="00624886" w:rsidRPr="00624886">
        <w:rPr>
          <w:rFonts w:ascii="Times New Roman" w:hAnsi="Times New Roman" w:cs="Times New Roman"/>
          <w:sz w:val="24"/>
          <w:szCs w:val="24"/>
        </w:rPr>
        <w:t>(Aebi, Sabato, and Schmid, 2012).</w:t>
      </w:r>
    </w:p>
    <w:p w14:paraId="71998D00" w14:textId="65015E37" w:rsidR="00E311EA" w:rsidRDefault="00624886" w:rsidP="001A685A">
      <w:pPr>
        <w:spacing w:line="480" w:lineRule="auto"/>
        <w:ind w:left="284"/>
        <w:jc w:val="both"/>
        <w:rPr>
          <w:rFonts w:ascii="Times New Roman" w:hAnsi="Times New Roman" w:cs="Times New Roman"/>
          <w:sz w:val="24"/>
          <w:szCs w:val="24"/>
        </w:rPr>
      </w:pPr>
      <w:r w:rsidRPr="00624886">
        <w:rPr>
          <w:rFonts w:ascii="Times New Roman" w:hAnsi="Times New Roman" w:cs="Times New Roman"/>
          <w:sz w:val="24"/>
          <w:szCs w:val="24"/>
        </w:rPr>
        <w:t xml:space="preserve">Recently, literature has started acknowledging the importance of a Chief Risk Officer (CRO) in providing effective risk oversight to the board and CEO (Gontarek, 2016; Mikes, 2008, 2010). Regulators </w:t>
      </w:r>
      <w:r w:rsidR="004313B0">
        <w:rPr>
          <w:rFonts w:ascii="Times New Roman" w:hAnsi="Times New Roman" w:cs="Times New Roman"/>
          <w:sz w:val="24"/>
          <w:szCs w:val="24"/>
        </w:rPr>
        <w:t xml:space="preserve">have </w:t>
      </w:r>
      <w:r w:rsidRPr="00624886">
        <w:rPr>
          <w:rFonts w:ascii="Times New Roman" w:hAnsi="Times New Roman" w:cs="Times New Roman"/>
          <w:sz w:val="24"/>
          <w:szCs w:val="24"/>
        </w:rPr>
        <w:t>also realize</w:t>
      </w:r>
      <w:r w:rsidR="004313B0">
        <w:rPr>
          <w:rFonts w:ascii="Times New Roman" w:hAnsi="Times New Roman" w:cs="Times New Roman"/>
          <w:sz w:val="24"/>
          <w:szCs w:val="24"/>
        </w:rPr>
        <w:t>d</w:t>
      </w:r>
      <w:r w:rsidRPr="00624886">
        <w:rPr>
          <w:rFonts w:ascii="Times New Roman" w:hAnsi="Times New Roman" w:cs="Times New Roman"/>
          <w:sz w:val="24"/>
          <w:szCs w:val="24"/>
        </w:rPr>
        <w:t xml:space="preserve"> </w:t>
      </w:r>
      <w:r w:rsidR="001A685A">
        <w:rPr>
          <w:rFonts w:ascii="Times New Roman" w:hAnsi="Times New Roman" w:cs="Times New Roman"/>
          <w:sz w:val="24"/>
          <w:szCs w:val="24"/>
        </w:rPr>
        <w:t>CROs' importance and</w:t>
      </w:r>
      <w:r w:rsidRPr="00624886">
        <w:rPr>
          <w:rFonts w:ascii="Times New Roman" w:hAnsi="Times New Roman" w:cs="Times New Roman"/>
          <w:sz w:val="24"/>
          <w:szCs w:val="24"/>
        </w:rPr>
        <w:t xml:space="preserve"> </w:t>
      </w:r>
      <w:r w:rsidR="001A685A">
        <w:rPr>
          <w:rFonts w:ascii="Times New Roman" w:hAnsi="Times New Roman" w:cs="Times New Roman"/>
          <w:sz w:val="24"/>
          <w:szCs w:val="24"/>
        </w:rPr>
        <w:t>required</w:t>
      </w:r>
      <w:r w:rsidR="004A036F">
        <w:rPr>
          <w:rFonts w:ascii="Times New Roman" w:hAnsi="Times New Roman" w:cs="Times New Roman"/>
          <w:sz w:val="24"/>
          <w:szCs w:val="24"/>
        </w:rPr>
        <w:t xml:space="preserve"> </w:t>
      </w:r>
      <w:r w:rsidR="004A036F" w:rsidRPr="00624886">
        <w:rPr>
          <w:rFonts w:ascii="Times New Roman" w:hAnsi="Times New Roman" w:cs="Times New Roman"/>
          <w:sz w:val="24"/>
          <w:szCs w:val="24"/>
        </w:rPr>
        <w:t>some</w:t>
      </w:r>
      <w:r w:rsidR="00EB797F">
        <w:rPr>
          <w:rFonts w:ascii="Times New Roman" w:hAnsi="Times New Roman" w:cs="Times New Roman"/>
          <w:sz w:val="24"/>
          <w:szCs w:val="24"/>
        </w:rPr>
        <w:t xml:space="preserve"> </w:t>
      </w:r>
      <w:r w:rsidRPr="00624886">
        <w:rPr>
          <w:rFonts w:ascii="Times New Roman" w:hAnsi="Times New Roman" w:cs="Times New Roman"/>
          <w:sz w:val="24"/>
          <w:szCs w:val="24"/>
        </w:rPr>
        <w:t xml:space="preserve">U.S. banks and bank holding companies (BHC) to have </w:t>
      </w:r>
      <w:r w:rsidR="001A685A">
        <w:rPr>
          <w:rFonts w:ascii="Times New Roman" w:hAnsi="Times New Roman" w:cs="Times New Roman"/>
          <w:sz w:val="24"/>
          <w:szCs w:val="24"/>
        </w:rPr>
        <w:t xml:space="preserve">a </w:t>
      </w:r>
      <w:r w:rsidRPr="00624886">
        <w:rPr>
          <w:rFonts w:ascii="Times New Roman" w:hAnsi="Times New Roman" w:cs="Times New Roman"/>
          <w:sz w:val="24"/>
          <w:szCs w:val="24"/>
        </w:rPr>
        <w:t xml:space="preserve">CRO (Federal Register, 2014a). </w:t>
      </w:r>
      <w:r w:rsidR="004313B0">
        <w:rPr>
          <w:rFonts w:ascii="Times New Roman" w:hAnsi="Times New Roman" w:cs="Times New Roman"/>
          <w:sz w:val="24"/>
          <w:szCs w:val="24"/>
        </w:rPr>
        <w:t>T</w:t>
      </w:r>
      <w:r w:rsidRPr="00624886">
        <w:rPr>
          <w:rFonts w:ascii="Times New Roman" w:hAnsi="Times New Roman" w:cs="Times New Roman"/>
          <w:sz w:val="24"/>
          <w:szCs w:val="24"/>
        </w:rPr>
        <w:t xml:space="preserve">he effectiveness of the CRO </w:t>
      </w:r>
      <w:r w:rsidR="004313B0">
        <w:rPr>
          <w:rFonts w:ascii="Times New Roman" w:hAnsi="Times New Roman" w:cs="Times New Roman"/>
          <w:sz w:val="24"/>
          <w:szCs w:val="24"/>
        </w:rPr>
        <w:t xml:space="preserve">also </w:t>
      </w:r>
      <w:r w:rsidRPr="00624886">
        <w:rPr>
          <w:rFonts w:ascii="Times New Roman" w:hAnsi="Times New Roman" w:cs="Times New Roman"/>
          <w:sz w:val="24"/>
          <w:szCs w:val="24"/>
        </w:rPr>
        <w:t>depends on their reporting style</w:t>
      </w:r>
      <w:r w:rsidR="004313B0">
        <w:rPr>
          <w:rFonts w:ascii="Times New Roman" w:hAnsi="Times New Roman" w:cs="Times New Roman"/>
          <w:sz w:val="24"/>
          <w:szCs w:val="24"/>
        </w:rPr>
        <w:t>, and those who</w:t>
      </w:r>
      <w:r w:rsidRPr="00624886">
        <w:rPr>
          <w:rFonts w:ascii="Times New Roman" w:hAnsi="Times New Roman" w:cs="Times New Roman"/>
          <w:sz w:val="24"/>
          <w:szCs w:val="24"/>
        </w:rPr>
        <w:t xml:space="preserve"> report directly to the board are more effective and perfor</w:t>
      </w:r>
      <w:r w:rsidR="00EB797F">
        <w:rPr>
          <w:rFonts w:ascii="Times New Roman" w:hAnsi="Times New Roman" w:cs="Times New Roman"/>
          <w:sz w:val="24"/>
          <w:szCs w:val="24"/>
        </w:rPr>
        <w:t>m better</w:t>
      </w:r>
      <w:r w:rsidRPr="00624886">
        <w:rPr>
          <w:rFonts w:ascii="Times New Roman" w:hAnsi="Times New Roman" w:cs="Times New Roman"/>
          <w:sz w:val="24"/>
          <w:szCs w:val="24"/>
        </w:rPr>
        <w:t xml:space="preserve"> (high stock returns) during the crisis period </w:t>
      </w:r>
      <w:r w:rsidR="00B54382" w:rsidRPr="00624886">
        <w:rPr>
          <w:rFonts w:ascii="Times New Roman" w:hAnsi="Times New Roman" w:cs="Times New Roman"/>
          <w:sz w:val="24"/>
          <w:szCs w:val="24"/>
        </w:rPr>
        <w:t>(Aebi</w:t>
      </w:r>
      <w:r w:rsidRPr="00624886">
        <w:rPr>
          <w:rFonts w:ascii="Times New Roman" w:hAnsi="Times New Roman" w:cs="Times New Roman"/>
          <w:sz w:val="24"/>
          <w:szCs w:val="24"/>
        </w:rPr>
        <w:t xml:space="preserve">, Sabato, and Schmid, 2012). On the risk side, </w:t>
      </w:r>
      <w:r w:rsidR="004313B0">
        <w:rPr>
          <w:rFonts w:ascii="Times New Roman" w:hAnsi="Times New Roman" w:cs="Times New Roman"/>
          <w:sz w:val="24"/>
          <w:szCs w:val="24"/>
        </w:rPr>
        <w:t xml:space="preserve">the </w:t>
      </w:r>
      <w:r w:rsidR="004313B0" w:rsidRPr="00624886">
        <w:rPr>
          <w:rFonts w:ascii="Times New Roman" w:hAnsi="Times New Roman" w:cs="Times New Roman"/>
          <w:sz w:val="24"/>
          <w:szCs w:val="24"/>
        </w:rPr>
        <w:t>presence and compensation</w:t>
      </w:r>
      <w:r w:rsidR="004313B0">
        <w:rPr>
          <w:rFonts w:ascii="Times New Roman" w:hAnsi="Times New Roman" w:cs="Times New Roman"/>
          <w:sz w:val="24"/>
          <w:szCs w:val="24"/>
        </w:rPr>
        <w:t xml:space="preserve"> of</w:t>
      </w:r>
      <w:r w:rsidR="004313B0" w:rsidRPr="00624886">
        <w:rPr>
          <w:rFonts w:ascii="Times New Roman" w:hAnsi="Times New Roman" w:cs="Times New Roman"/>
          <w:sz w:val="24"/>
          <w:szCs w:val="24"/>
        </w:rPr>
        <w:t xml:space="preserve"> </w:t>
      </w:r>
      <w:r w:rsidRPr="00624886">
        <w:rPr>
          <w:rFonts w:ascii="Times New Roman" w:hAnsi="Times New Roman" w:cs="Times New Roman"/>
          <w:sz w:val="24"/>
          <w:szCs w:val="24"/>
        </w:rPr>
        <w:t>CR</w:t>
      </w:r>
      <w:r w:rsidR="004313B0">
        <w:rPr>
          <w:rFonts w:ascii="Times New Roman" w:hAnsi="Times New Roman" w:cs="Times New Roman"/>
          <w:sz w:val="24"/>
          <w:szCs w:val="24"/>
        </w:rPr>
        <w:t>O</w:t>
      </w:r>
      <w:r w:rsidRPr="00624886">
        <w:rPr>
          <w:rFonts w:ascii="Times New Roman" w:hAnsi="Times New Roman" w:cs="Times New Roman"/>
          <w:sz w:val="24"/>
          <w:szCs w:val="24"/>
        </w:rPr>
        <w:t xml:space="preserve"> are important factors affecting the firm's overall risk (Lingel and Sheedy, 2012). </w:t>
      </w:r>
    </w:p>
    <w:p w14:paraId="3670AE8B" w14:textId="6EA71514" w:rsidR="00624886" w:rsidRPr="00624886" w:rsidRDefault="00EB797F" w:rsidP="001A685A">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In addition to the </w:t>
      </w:r>
      <w:r w:rsidR="001A685A">
        <w:rPr>
          <w:rFonts w:ascii="Times New Roman" w:hAnsi="Times New Roman" w:cs="Times New Roman"/>
          <w:sz w:val="24"/>
          <w:szCs w:val="24"/>
        </w:rPr>
        <w:t>risk management function/process weaknesse</w:t>
      </w:r>
      <w:r>
        <w:rPr>
          <w:rFonts w:ascii="Times New Roman" w:hAnsi="Times New Roman" w:cs="Times New Roman"/>
          <w:sz w:val="24"/>
          <w:szCs w:val="24"/>
        </w:rPr>
        <w:t>s</w:t>
      </w:r>
      <w:r w:rsidR="00624886" w:rsidRPr="00624886">
        <w:rPr>
          <w:rFonts w:ascii="Times New Roman" w:hAnsi="Times New Roman" w:cs="Times New Roman"/>
          <w:sz w:val="24"/>
          <w:szCs w:val="24"/>
        </w:rPr>
        <w:t xml:space="preserve">, another argument for the </w:t>
      </w:r>
      <w:r w:rsidR="00E311EA">
        <w:rPr>
          <w:rFonts w:ascii="Times New Roman" w:hAnsi="Times New Roman" w:cs="Times New Roman"/>
          <w:sz w:val="24"/>
          <w:szCs w:val="24"/>
        </w:rPr>
        <w:t xml:space="preserve">GFC </w:t>
      </w:r>
      <w:r w:rsidR="00624886" w:rsidRPr="00624886">
        <w:rPr>
          <w:rFonts w:ascii="Times New Roman" w:hAnsi="Times New Roman" w:cs="Times New Roman"/>
          <w:sz w:val="24"/>
          <w:szCs w:val="24"/>
        </w:rPr>
        <w:t xml:space="preserve">2007-2009 </w:t>
      </w:r>
      <w:r w:rsidR="00567377">
        <w:rPr>
          <w:rFonts w:ascii="Times New Roman" w:hAnsi="Times New Roman" w:cs="Times New Roman"/>
          <w:sz w:val="24"/>
          <w:szCs w:val="24"/>
        </w:rPr>
        <w:t>was</w:t>
      </w:r>
      <w:r w:rsidR="00624886" w:rsidRPr="00624886">
        <w:rPr>
          <w:rFonts w:ascii="Times New Roman" w:hAnsi="Times New Roman" w:cs="Times New Roman"/>
          <w:sz w:val="24"/>
          <w:szCs w:val="24"/>
        </w:rPr>
        <w:t xml:space="preserve"> weak governance structures (Ellul, 2015). The board of directors</w:t>
      </w:r>
      <w:r w:rsidR="001A685A">
        <w:rPr>
          <w:rFonts w:ascii="Times New Roman" w:hAnsi="Times New Roman" w:cs="Times New Roman"/>
          <w:sz w:val="24"/>
          <w:szCs w:val="24"/>
        </w:rPr>
        <w:t xml:space="preserve"> are centre of the governance structure and</w:t>
      </w:r>
      <w:r w:rsidR="00624886" w:rsidRPr="00624886">
        <w:rPr>
          <w:rFonts w:ascii="Times New Roman" w:hAnsi="Times New Roman" w:cs="Times New Roman"/>
          <w:sz w:val="24"/>
          <w:szCs w:val="24"/>
        </w:rPr>
        <w:t xml:space="preserve"> </w:t>
      </w:r>
      <w:r>
        <w:rPr>
          <w:rFonts w:ascii="Times New Roman" w:hAnsi="Times New Roman" w:cs="Times New Roman"/>
          <w:sz w:val="24"/>
          <w:szCs w:val="24"/>
        </w:rPr>
        <w:t xml:space="preserve">plays a crucial role in </w:t>
      </w:r>
      <w:r w:rsidR="001A685A">
        <w:rPr>
          <w:rFonts w:ascii="Times New Roman" w:hAnsi="Times New Roman" w:cs="Times New Roman"/>
          <w:sz w:val="24"/>
          <w:szCs w:val="24"/>
        </w:rPr>
        <w:t xml:space="preserve">a </w:t>
      </w:r>
      <w:r>
        <w:rPr>
          <w:rFonts w:ascii="Times New Roman" w:hAnsi="Times New Roman" w:cs="Times New Roman"/>
          <w:sz w:val="24"/>
          <w:szCs w:val="24"/>
        </w:rPr>
        <w:t xml:space="preserve">bank’s risk management by </w:t>
      </w:r>
      <w:r w:rsidR="00624886" w:rsidRPr="00624886">
        <w:rPr>
          <w:rFonts w:ascii="Times New Roman" w:hAnsi="Times New Roman" w:cs="Times New Roman"/>
          <w:sz w:val="24"/>
          <w:szCs w:val="24"/>
        </w:rPr>
        <w:t>setting the optimal risk level</w:t>
      </w:r>
      <w:r w:rsidR="00365104">
        <w:rPr>
          <w:rFonts w:ascii="Times New Roman" w:hAnsi="Times New Roman" w:cs="Times New Roman"/>
          <w:sz w:val="24"/>
          <w:szCs w:val="24"/>
        </w:rPr>
        <w:t xml:space="preserve"> </w:t>
      </w:r>
      <w:r w:rsidR="00624886" w:rsidRPr="00624886">
        <w:rPr>
          <w:rFonts w:ascii="Times New Roman" w:hAnsi="Times New Roman" w:cs="Times New Roman"/>
          <w:sz w:val="24"/>
          <w:szCs w:val="24"/>
        </w:rPr>
        <w:t>(Stulz, 2008,2012; BIS, 2010)</w:t>
      </w:r>
      <w:r w:rsidR="001A685A">
        <w:rPr>
          <w:rFonts w:ascii="Times New Roman" w:hAnsi="Times New Roman" w:cs="Times New Roman"/>
          <w:sz w:val="24"/>
          <w:szCs w:val="24"/>
        </w:rPr>
        <w:t xml:space="preserve">. However, the board </w:t>
      </w:r>
      <w:r w:rsidR="00624886" w:rsidRPr="00624886">
        <w:rPr>
          <w:rFonts w:ascii="Times New Roman" w:hAnsi="Times New Roman" w:cs="Times New Roman"/>
          <w:sz w:val="24"/>
          <w:szCs w:val="24"/>
        </w:rPr>
        <w:t>face</w:t>
      </w:r>
      <w:r w:rsidR="001A685A">
        <w:rPr>
          <w:rFonts w:ascii="Times New Roman" w:hAnsi="Times New Roman" w:cs="Times New Roman"/>
          <w:sz w:val="24"/>
          <w:szCs w:val="24"/>
        </w:rPr>
        <w:t>s</w:t>
      </w:r>
      <w:r w:rsidR="00624886" w:rsidRPr="00624886">
        <w:rPr>
          <w:rFonts w:ascii="Times New Roman" w:hAnsi="Times New Roman" w:cs="Times New Roman"/>
          <w:sz w:val="24"/>
          <w:szCs w:val="24"/>
        </w:rPr>
        <w:t xml:space="preserve"> additional pressure from regulators</w:t>
      </w:r>
      <w:r>
        <w:rPr>
          <w:rFonts w:ascii="Times New Roman" w:hAnsi="Times New Roman" w:cs="Times New Roman"/>
          <w:sz w:val="24"/>
          <w:szCs w:val="24"/>
        </w:rPr>
        <w:t xml:space="preserve">, </w:t>
      </w:r>
      <w:r w:rsidR="00624886" w:rsidRPr="00624886">
        <w:rPr>
          <w:rFonts w:ascii="Times New Roman" w:hAnsi="Times New Roman" w:cs="Times New Roman"/>
          <w:sz w:val="24"/>
          <w:szCs w:val="24"/>
        </w:rPr>
        <w:t>debtholders</w:t>
      </w:r>
      <w:r>
        <w:rPr>
          <w:rFonts w:ascii="Times New Roman" w:hAnsi="Times New Roman" w:cs="Times New Roman"/>
          <w:sz w:val="24"/>
          <w:szCs w:val="24"/>
        </w:rPr>
        <w:t xml:space="preserve"> (who </w:t>
      </w:r>
      <w:r w:rsidR="00624886" w:rsidRPr="00624886">
        <w:rPr>
          <w:rFonts w:ascii="Times New Roman" w:hAnsi="Times New Roman" w:cs="Times New Roman"/>
          <w:sz w:val="24"/>
          <w:szCs w:val="24"/>
        </w:rPr>
        <w:t>provide 90% of the total funding</w:t>
      </w:r>
      <w:r>
        <w:rPr>
          <w:rFonts w:ascii="Times New Roman" w:hAnsi="Times New Roman" w:cs="Times New Roman"/>
          <w:sz w:val="24"/>
          <w:szCs w:val="24"/>
        </w:rPr>
        <w:t xml:space="preserve">), </w:t>
      </w:r>
      <w:r w:rsidR="00624886" w:rsidRPr="00624886">
        <w:rPr>
          <w:rFonts w:ascii="Times New Roman" w:hAnsi="Times New Roman" w:cs="Times New Roman"/>
          <w:sz w:val="24"/>
          <w:szCs w:val="24"/>
        </w:rPr>
        <w:t xml:space="preserve">shareholders, </w:t>
      </w:r>
      <w:r w:rsidR="00567377">
        <w:rPr>
          <w:rFonts w:ascii="Times New Roman" w:hAnsi="Times New Roman" w:cs="Times New Roman"/>
          <w:sz w:val="24"/>
          <w:szCs w:val="24"/>
        </w:rPr>
        <w:t xml:space="preserve">and </w:t>
      </w:r>
      <w:r>
        <w:rPr>
          <w:rFonts w:ascii="Times New Roman" w:hAnsi="Times New Roman" w:cs="Times New Roman"/>
          <w:sz w:val="24"/>
          <w:szCs w:val="24"/>
        </w:rPr>
        <w:t xml:space="preserve">other </w:t>
      </w:r>
      <w:r w:rsidR="00624886" w:rsidRPr="00624886">
        <w:rPr>
          <w:rFonts w:ascii="Times New Roman" w:hAnsi="Times New Roman" w:cs="Times New Roman"/>
          <w:sz w:val="24"/>
          <w:szCs w:val="24"/>
        </w:rPr>
        <w:t>stakeholders (creditors and taxpayers)</w:t>
      </w:r>
      <w:r>
        <w:rPr>
          <w:rFonts w:ascii="Times New Roman" w:hAnsi="Times New Roman" w:cs="Times New Roman"/>
          <w:sz w:val="24"/>
          <w:szCs w:val="24"/>
        </w:rPr>
        <w:t xml:space="preserve">, which </w:t>
      </w:r>
      <w:r w:rsidR="001A685A">
        <w:rPr>
          <w:rFonts w:ascii="Times New Roman" w:hAnsi="Times New Roman" w:cs="Times New Roman"/>
          <w:sz w:val="24"/>
          <w:szCs w:val="24"/>
        </w:rPr>
        <w:t xml:space="preserve">can </w:t>
      </w:r>
      <w:r w:rsidR="00624886" w:rsidRPr="00624886">
        <w:rPr>
          <w:rFonts w:ascii="Times New Roman" w:hAnsi="Times New Roman" w:cs="Times New Roman"/>
          <w:sz w:val="24"/>
          <w:szCs w:val="24"/>
        </w:rPr>
        <w:t xml:space="preserve">lead to biased risk decisions (Ellul, 2015). Policymakers have responded to the governance failure </w:t>
      </w:r>
      <w:r>
        <w:rPr>
          <w:rFonts w:ascii="Times New Roman" w:hAnsi="Times New Roman" w:cs="Times New Roman"/>
          <w:sz w:val="24"/>
          <w:szCs w:val="24"/>
        </w:rPr>
        <w:t>by implementing initiat</w:t>
      </w:r>
      <w:r w:rsidR="00207B8F">
        <w:rPr>
          <w:rFonts w:ascii="Times New Roman" w:hAnsi="Times New Roman" w:cs="Times New Roman"/>
          <w:sz w:val="24"/>
          <w:szCs w:val="24"/>
        </w:rPr>
        <w:t>iv</w:t>
      </w:r>
      <w:r>
        <w:rPr>
          <w:rFonts w:ascii="Times New Roman" w:hAnsi="Times New Roman" w:cs="Times New Roman"/>
          <w:sz w:val="24"/>
          <w:szCs w:val="24"/>
        </w:rPr>
        <w:t xml:space="preserve">es to increase </w:t>
      </w:r>
      <w:r w:rsidR="00624886" w:rsidRPr="00624886">
        <w:rPr>
          <w:rFonts w:ascii="Times New Roman" w:hAnsi="Times New Roman" w:cs="Times New Roman"/>
          <w:sz w:val="24"/>
          <w:szCs w:val="24"/>
        </w:rPr>
        <w:t>board diversity (Arnaboldi et al., 2020)</w:t>
      </w:r>
      <w:r>
        <w:rPr>
          <w:rFonts w:ascii="Times New Roman" w:hAnsi="Times New Roman" w:cs="Times New Roman"/>
          <w:sz w:val="24"/>
          <w:szCs w:val="24"/>
        </w:rPr>
        <w:t xml:space="preserve">, which is believed to </w:t>
      </w:r>
      <w:r w:rsidR="00624886" w:rsidRPr="00624886">
        <w:rPr>
          <w:rFonts w:ascii="Times New Roman" w:hAnsi="Times New Roman" w:cs="Times New Roman"/>
          <w:sz w:val="24"/>
          <w:szCs w:val="24"/>
        </w:rPr>
        <w:t xml:space="preserve">encourage discussion and establish an environment of communication and questioning, resulting in </w:t>
      </w:r>
      <w:r>
        <w:rPr>
          <w:rFonts w:ascii="Times New Roman" w:hAnsi="Times New Roman" w:cs="Times New Roman"/>
          <w:sz w:val="24"/>
          <w:szCs w:val="24"/>
        </w:rPr>
        <w:t xml:space="preserve">more </w:t>
      </w:r>
      <w:r w:rsidR="00624886" w:rsidRPr="00624886">
        <w:rPr>
          <w:rFonts w:ascii="Times New Roman" w:hAnsi="Times New Roman" w:cs="Times New Roman"/>
          <w:sz w:val="24"/>
          <w:szCs w:val="24"/>
        </w:rPr>
        <w:t xml:space="preserve">effective monitoring by the board (Wahid et al., 2018). </w:t>
      </w:r>
      <w:r>
        <w:rPr>
          <w:rFonts w:ascii="Times New Roman" w:hAnsi="Times New Roman" w:cs="Times New Roman"/>
          <w:sz w:val="24"/>
          <w:szCs w:val="24"/>
        </w:rPr>
        <w:t>P</w:t>
      </w:r>
      <w:r w:rsidR="00624886" w:rsidRPr="00624886">
        <w:rPr>
          <w:rFonts w:ascii="Times New Roman" w:hAnsi="Times New Roman" w:cs="Times New Roman"/>
          <w:sz w:val="24"/>
          <w:szCs w:val="24"/>
        </w:rPr>
        <w:t xml:space="preserve">rior literature also relates diverse boards with better access to information, knowledge, skills and talent (Pfeffer, 1973). </w:t>
      </w:r>
      <w:r>
        <w:rPr>
          <w:rFonts w:ascii="Times New Roman" w:hAnsi="Times New Roman" w:cs="Times New Roman"/>
          <w:sz w:val="24"/>
          <w:szCs w:val="24"/>
        </w:rPr>
        <w:t xml:space="preserve">While </w:t>
      </w:r>
      <w:r w:rsidR="001A685A">
        <w:rPr>
          <w:rFonts w:ascii="Times New Roman" w:hAnsi="Times New Roman" w:cs="Times New Roman"/>
          <w:sz w:val="24"/>
          <w:szCs w:val="24"/>
        </w:rPr>
        <w:t>earlie</w:t>
      </w:r>
      <w:r w:rsidR="00624886" w:rsidRPr="00624886">
        <w:rPr>
          <w:rFonts w:ascii="Times New Roman" w:hAnsi="Times New Roman" w:cs="Times New Roman"/>
          <w:sz w:val="24"/>
          <w:szCs w:val="24"/>
        </w:rPr>
        <w:t>r studies have mainly discussed board diversity in the context of demographic characteristics, e.g., gender, financial expertise, age and tenure</w:t>
      </w:r>
      <w:r>
        <w:rPr>
          <w:rFonts w:ascii="Times New Roman" w:hAnsi="Times New Roman" w:cs="Times New Roman"/>
          <w:sz w:val="24"/>
          <w:szCs w:val="24"/>
        </w:rPr>
        <w:t xml:space="preserve"> </w:t>
      </w:r>
      <w:r w:rsidR="00207B8F" w:rsidRPr="00624886">
        <w:rPr>
          <w:rFonts w:ascii="Times New Roman" w:hAnsi="Times New Roman" w:cs="Times New Roman"/>
          <w:sz w:val="24"/>
          <w:szCs w:val="24"/>
        </w:rPr>
        <w:t>(Minton</w:t>
      </w:r>
      <w:r w:rsidR="00624886" w:rsidRPr="00624886">
        <w:rPr>
          <w:rFonts w:ascii="Times New Roman" w:hAnsi="Times New Roman" w:cs="Times New Roman"/>
          <w:sz w:val="24"/>
          <w:szCs w:val="24"/>
        </w:rPr>
        <w:t xml:space="preserve"> et al., 2014; </w:t>
      </w:r>
      <w:r w:rsidR="00B54382" w:rsidRPr="00624886">
        <w:rPr>
          <w:rFonts w:ascii="Times New Roman" w:hAnsi="Times New Roman" w:cs="Times New Roman"/>
          <w:sz w:val="24"/>
          <w:szCs w:val="24"/>
        </w:rPr>
        <w:t>Talavera</w:t>
      </w:r>
      <w:r w:rsidR="00624886" w:rsidRPr="00624886">
        <w:rPr>
          <w:rFonts w:ascii="Times New Roman" w:hAnsi="Times New Roman" w:cs="Times New Roman"/>
          <w:sz w:val="24"/>
          <w:szCs w:val="24"/>
        </w:rPr>
        <w:t xml:space="preserve"> et al., 2018; Wahid et al., 2018; Arnaboldi et al., 2020, 2021; Gilani et al., 2022)</w:t>
      </w:r>
      <w:r>
        <w:rPr>
          <w:rFonts w:ascii="Times New Roman" w:hAnsi="Times New Roman" w:cs="Times New Roman"/>
          <w:sz w:val="24"/>
          <w:szCs w:val="24"/>
        </w:rPr>
        <w:t xml:space="preserve">, </w:t>
      </w:r>
      <w:r w:rsidR="00624886" w:rsidRPr="00624886">
        <w:rPr>
          <w:rFonts w:ascii="Times New Roman" w:hAnsi="Times New Roman" w:cs="Times New Roman"/>
          <w:sz w:val="24"/>
          <w:szCs w:val="24"/>
        </w:rPr>
        <w:t xml:space="preserve">the main impact of diversity </w:t>
      </w:r>
      <w:r>
        <w:rPr>
          <w:rFonts w:ascii="Times New Roman" w:hAnsi="Times New Roman" w:cs="Times New Roman"/>
          <w:sz w:val="24"/>
          <w:szCs w:val="24"/>
        </w:rPr>
        <w:t xml:space="preserve">has been focused </w:t>
      </w:r>
      <w:r w:rsidR="00624886" w:rsidRPr="00624886">
        <w:rPr>
          <w:rFonts w:ascii="Times New Roman" w:hAnsi="Times New Roman" w:cs="Times New Roman"/>
          <w:sz w:val="24"/>
          <w:szCs w:val="24"/>
        </w:rPr>
        <w:t xml:space="preserve">on performance, </w:t>
      </w:r>
      <w:r>
        <w:rPr>
          <w:rFonts w:ascii="Times New Roman" w:hAnsi="Times New Roman" w:cs="Times New Roman"/>
          <w:sz w:val="24"/>
          <w:szCs w:val="24"/>
        </w:rPr>
        <w:t>rather than</w:t>
      </w:r>
      <w:r w:rsidR="00624886" w:rsidRPr="00624886">
        <w:rPr>
          <w:rFonts w:ascii="Times New Roman" w:hAnsi="Times New Roman" w:cs="Times New Roman"/>
          <w:sz w:val="24"/>
          <w:szCs w:val="24"/>
        </w:rPr>
        <w:t xml:space="preserve"> risk (Bernile et al., 2018)</w:t>
      </w:r>
      <w:r w:rsidR="00DB6C09">
        <w:rPr>
          <w:rFonts w:ascii="Times New Roman" w:hAnsi="Times New Roman" w:cs="Times New Roman"/>
          <w:sz w:val="24"/>
          <w:szCs w:val="24"/>
        </w:rPr>
        <w:t>.</w:t>
      </w:r>
    </w:p>
    <w:p w14:paraId="3866794B" w14:textId="2E57CB29" w:rsidR="00CB2EB7" w:rsidRDefault="00624886" w:rsidP="001A685A">
      <w:pPr>
        <w:spacing w:line="480" w:lineRule="auto"/>
        <w:ind w:left="284"/>
        <w:jc w:val="both"/>
        <w:rPr>
          <w:rFonts w:ascii="Times New Roman" w:hAnsi="Times New Roman" w:cs="Times New Roman"/>
          <w:sz w:val="24"/>
          <w:szCs w:val="24"/>
        </w:rPr>
      </w:pPr>
      <w:r w:rsidRPr="00624886">
        <w:rPr>
          <w:rFonts w:ascii="Times New Roman" w:hAnsi="Times New Roman" w:cs="Times New Roman"/>
          <w:sz w:val="24"/>
          <w:szCs w:val="24"/>
        </w:rPr>
        <w:t xml:space="preserve">More recently, regulators, practitioners and researchers have realized that the effectiveness of risk governance does not solely depend on governance </w:t>
      </w:r>
      <w:r w:rsidR="008617B1">
        <w:rPr>
          <w:rFonts w:ascii="Times New Roman" w:hAnsi="Times New Roman" w:cs="Times New Roman"/>
          <w:sz w:val="24"/>
          <w:szCs w:val="24"/>
        </w:rPr>
        <w:t xml:space="preserve">structure </w:t>
      </w:r>
      <w:r w:rsidRPr="00624886">
        <w:rPr>
          <w:rFonts w:ascii="Times New Roman" w:hAnsi="Times New Roman" w:cs="Times New Roman"/>
          <w:sz w:val="24"/>
          <w:szCs w:val="24"/>
        </w:rPr>
        <w:t>and risk management function</w:t>
      </w:r>
      <w:r w:rsidR="008617B1">
        <w:rPr>
          <w:rFonts w:ascii="Times New Roman" w:hAnsi="Times New Roman" w:cs="Times New Roman"/>
          <w:sz w:val="24"/>
          <w:szCs w:val="24"/>
        </w:rPr>
        <w:t>/process</w:t>
      </w:r>
      <w:r w:rsidRPr="00624886">
        <w:rPr>
          <w:rFonts w:ascii="Times New Roman" w:hAnsi="Times New Roman" w:cs="Times New Roman"/>
          <w:sz w:val="24"/>
          <w:szCs w:val="24"/>
        </w:rPr>
        <w:t xml:space="preserve"> but </w:t>
      </w:r>
      <w:r w:rsidR="008617B1">
        <w:rPr>
          <w:rFonts w:ascii="Times New Roman" w:hAnsi="Times New Roman" w:cs="Times New Roman"/>
          <w:sz w:val="24"/>
          <w:szCs w:val="24"/>
        </w:rPr>
        <w:t>also</w:t>
      </w:r>
      <w:r w:rsidRPr="00624886">
        <w:rPr>
          <w:rFonts w:ascii="Times New Roman" w:hAnsi="Times New Roman" w:cs="Times New Roman"/>
          <w:sz w:val="24"/>
          <w:szCs w:val="24"/>
        </w:rPr>
        <w:t xml:space="preserve"> </w:t>
      </w:r>
      <w:r w:rsidR="008617B1">
        <w:rPr>
          <w:rFonts w:ascii="Times New Roman" w:hAnsi="Times New Roman" w:cs="Times New Roman"/>
          <w:sz w:val="24"/>
          <w:szCs w:val="24"/>
        </w:rPr>
        <w:t>on how they</w:t>
      </w:r>
      <w:r w:rsidRPr="00624886">
        <w:rPr>
          <w:rFonts w:ascii="Times New Roman" w:hAnsi="Times New Roman" w:cs="Times New Roman"/>
          <w:sz w:val="24"/>
          <w:szCs w:val="24"/>
        </w:rPr>
        <w:t xml:space="preserve"> are implemented (Sheedy, 2017).</w:t>
      </w:r>
      <w:r w:rsidR="00CB2EB7" w:rsidRPr="00CB2EB7">
        <w:rPr>
          <w:rFonts w:ascii="Times New Roman" w:hAnsi="Times New Roman" w:cs="Times New Roman"/>
          <w:sz w:val="24"/>
          <w:szCs w:val="24"/>
        </w:rPr>
        <w:t xml:space="preserve"> There have been several cases, e.g. Lehman Brothers, JP Morgan Chase, and Barclays, where </w:t>
      </w:r>
      <w:r w:rsidR="00CB2EB7">
        <w:rPr>
          <w:rFonts w:ascii="Times New Roman" w:hAnsi="Times New Roman" w:cs="Times New Roman"/>
          <w:sz w:val="24"/>
          <w:szCs w:val="24"/>
        </w:rPr>
        <w:t xml:space="preserve">organizational culture </w:t>
      </w:r>
      <w:r w:rsidR="00567377">
        <w:rPr>
          <w:rFonts w:ascii="Times New Roman" w:hAnsi="Times New Roman" w:cs="Times New Roman"/>
          <w:sz w:val="24"/>
          <w:szCs w:val="24"/>
        </w:rPr>
        <w:t xml:space="preserve">is criticized for </w:t>
      </w:r>
      <w:r w:rsidR="00CB2EB7">
        <w:rPr>
          <w:rFonts w:ascii="Times New Roman" w:hAnsi="Times New Roman" w:cs="Times New Roman"/>
          <w:sz w:val="24"/>
          <w:szCs w:val="24"/>
        </w:rPr>
        <w:t>encourag</w:t>
      </w:r>
      <w:r w:rsidR="00567377">
        <w:rPr>
          <w:rFonts w:ascii="Times New Roman" w:hAnsi="Times New Roman" w:cs="Times New Roman"/>
          <w:sz w:val="24"/>
          <w:szCs w:val="24"/>
        </w:rPr>
        <w:t>ing</w:t>
      </w:r>
      <w:r w:rsidR="00CB2EB7">
        <w:rPr>
          <w:rFonts w:ascii="Times New Roman" w:hAnsi="Times New Roman" w:cs="Times New Roman"/>
          <w:sz w:val="24"/>
          <w:szCs w:val="24"/>
        </w:rPr>
        <w:t xml:space="preserve"> </w:t>
      </w:r>
      <w:r w:rsidR="00CB2EB7" w:rsidRPr="00CB2EB7">
        <w:rPr>
          <w:rFonts w:ascii="Times New Roman" w:hAnsi="Times New Roman" w:cs="Times New Roman"/>
          <w:sz w:val="24"/>
          <w:szCs w:val="24"/>
        </w:rPr>
        <w:t>adverse risk behaviours (Sheedy et al</w:t>
      </w:r>
      <w:r w:rsidR="00567377">
        <w:rPr>
          <w:rFonts w:ascii="Times New Roman" w:hAnsi="Times New Roman" w:cs="Times New Roman"/>
          <w:sz w:val="24"/>
          <w:szCs w:val="24"/>
        </w:rPr>
        <w:t>.</w:t>
      </w:r>
      <w:r w:rsidR="00CB2EB7" w:rsidRPr="00CB2EB7">
        <w:rPr>
          <w:rFonts w:ascii="Times New Roman" w:hAnsi="Times New Roman" w:cs="Times New Roman"/>
          <w:sz w:val="24"/>
          <w:szCs w:val="24"/>
        </w:rPr>
        <w:t>, 2014)</w:t>
      </w:r>
      <w:r w:rsidR="00CB2EB7">
        <w:rPr>
          <w:rFonts w:ascii="Times New Roman" w:hAnsi="Times New Roman" w:cs="Times New Roman"/>
          <w:sz w:val="24"/>
          <w:szCs w:val="24"/>
        </w:rPr>
        <w:t xml:space="preserve">. Thus, </w:t>
      </w:r>
      <w:r w:rsidR="001A685A">
        <w:rPr>
          <w:rFonts w:ascii="Times New Roman" w:hAnsi="Times New Roman" w:cs="Times New Roman"/>
          <w:sz w:val="24"/>
          <w:szCs w:val="24"/>
        </w:rPr>
        <w:t xml:space="preserve">a </w:t>
      </w:r>
      <w:r w:rsidR="00CB2EB7">
        <w:rPr>
          <w:rFonts w:ascii="Times New Roman" w:hAnsi="Times New Roman" w:cs="Times New Roman"/>
          <w:sz w:val="24"/>
          <w:szCs w:val="24"/>
        </w:rPr>
        <w:t>l</w:t>
      </w:r>
      <w:r w:rsidRPr="00624886">
        <w:rPr>
          <w:rFonts w:ascii="Times New Roman" w:hAnsi="Times New Roman" w:cs="Times New Roman"/>
          <w:sz w:val="24"/>
          <w:szCs w:val="24"/>
        </w:rPr>
        <w:t>ack of suitable risk culture</w:t>
      </w:r>
      <w:r w:rsidR="008617B1">
        <w:rPr>
          <w:rFonts w:ascii="Times New Roman" w:hAnsi="Times New Roman" w:cs="Times New Roman"/>
          <w:sz w:val="24"/>
          <w:szCs w:val="24"/>
        </w:rPr>
        <w:t xml:space="preserve"> can </w:t>
      </w:r>
      <w:r w:rsidR="001A685A">
        <w:rPr>
          <w:rFonts w:ascii="Times New Roman" w:hAnsi="Times New Roman" w:cs="Times New Roman"/>
          <w:sz w:val="24"/>
          <w:szCs w:val="24"/>
        </w:rPr>
        <w:t>intensify</w:t>
      </w:r>
      <w:r w:rsidR="008617B1">
        <w:rPr>
          <w:rFonts w:ascii="Times New Roman" w:hAnsi="Times New Roman" w:cs="Times New Roman"/>
          <w:sz w:val="24"/>
          <w:szCs w:val="24"/>
        </w:rPr>
        <w:t xml:space="preserve"> the problem</w:t>
      </w:r>
      <w:r w:rsidRPr="00624886">
        <w:rPr>
          <w:rFonts w:ascii="Times New Roman" w:hAnsi="Times New Roman" w:cs="Times New Roman"/>
          <w:sz w:val="24"/>
          <w:szCs w:val="24"/>
        </w:rPr>
        <w:t xml:space="preserve">. </w:t>
      </w:r>
      <w:r w:rsidRPr="00624886">
        <w:rPr>
          <w:rFonts w:ascii="Times New Roman" w:hAnsi="Times New Roman" w:cs="Times New Roman"/>
          <w:sz w:val="24"/>
          <w:szCs w:val="24"/>
          <w:vertAlign w:val="superscript"/>
        </w:rPr>
        <w:footnoteReference w:id="3"/>
      </w:r>
      <w:r w:rsidRPr="00624886">
        <w:rPr>
          <w:rFonts w:ascii="Times New Roman" w:hAnsi="Times New Roman" w:cs="Times New Roman"/>
          <w:sz w:val="24"/>
          <w:szCs w:val="24"/>
        </w:rPr>
        <w:t xml:space="preserve"> The importance of </w:t>
      </w:r>
      <w:r w:rsidR="001278ED">
        <w:rPr>
          <w:rFonts w:ascii="Times New Roman" w:hAnsi="Times New Roman" w:cs="Times New Roman"/>
          <w:sz w:val="24"/>
          <w:szCs w:val="24"/>
        </w:rPr>
        <w:t>influential</w:t>
      </w:r>
      <w:r w:rsidRPr="00624886">
        <w:rPr>
          <w:rFonts w:ascii="Times New Roman" w:hAnsi="Times New Roman" w:cs="Times New Roman"/>
          <w:sz w:val="24"/>
          <w:szCs w:val="24"/>
        </w:rPr>
        <w:t xml:space="preserve"> risk culture in banks is </w:t>
      </w:r>
      <w:r w:rsidR="008617B1">
        <w:rPr>
          <w:rFonts w:ascii="Times New Roman" w:hAnsi="Times New Roman" w:cs="Times New Roman"/>
          <w:sz w:val="24"/>
          <w:szCs w:val="24"/>
        </w:rPr>
        <w:t>evident</w:t>
      </w:r>
      <w:r w:rsidR="008617B1" w:rsidRPr="00624886">
        <w:rPr>
          <w:rFonts w:ascii="Times New Roman" w:hAnsi="Times New Roman" w:cs="Times New Roman"/>
          <w:sz w:val="24"/>
          <w:szCs w:val="24"/>
        </w:rPr>
        <w:t xml:space="preserve"> </w:t>
      </w:r>
      <w:r w:rsidRPr="00624886">
        <w:rPr>
          <w:rFonts w:ascii="Times New Roman" w:hAnsi="Times New Roman" w:cs="Times New Roman"/>
          <w:sz w:val="24"/>
          <w:szCs w:val="24"/>
        </w:rPr>
        <w:t xml:space="preserve">in the event of stress, </w:t>
      </w:r>
      <w:r w:rsidR="008617B1">
        <w:rPr>
          <w:rFonts w:ascii="Times New Roman" w:hAnsi="Times New Roman" w:cs="Times New Roman"/>
          <w:sz w:val="24"/>
          <w:szCs w:val="24"/>
        </w:rPr>
        <w:t>while it can</w:t>
      </w:r>
      <w:r w:rsidRPr="00624886">
        <w:rPr>
          <w:rFonts w:ascii="Times New Roman" w:hAnsi="Times New Roman" w:cs="Times New Roman"/>
          <w:sz w:val="24"/>
          <w:szCs w:val="24"/>
        </w:rPr>
        <w:t xml:space="preserve"> act as a</w:t>
      </w:r>
      <w:r w:rsidR="001278ED">
        <w:rPr>
          <w:rFonts w:ascii="Times New Roman" w:hAnsi="Times New Roman" w:cs="Times New Roman"/>
          <w:sz w:val="24"/>
          <w:szCs w:val="24"/>
        </w:rPr>
        <w:t>n opposing</w:t>
      </w:r>
      <w:r w:rsidRPr="00624886">
        <w:rPr>
          <w:rFonts w:ascii="Times New Roman" w:hAnsi="Times New Roman" w:cs="Times New Roman"/>
          <w:sz w:val="24"/>
          <w:szCs w:val="24"/>
        </w:rPr>
        <w:t xml:space="preserve"> force and become a source of default</w:t>
      </w:r>
      <w:r w:rsidR="008617B1">
        <w:rPr>
          <w:rFonts w:ascii="Times New Roman" w:hAnsi="Times New Roman" w:cs="Times New Roman"/>
          <w:sz w:val="24"/>
          <w:szCs w:val="24"/>
        </w:rPr>
        <w:t xml:space="preserve"> or </w:t>
      </w:r>
      <w:r w:rsidRPr="00624886">
        <w:rPr>
          <w:rFonts w:ascii="Times New Roman" w:hAnsi="Times New Roman" w:cs="Times New Roman"/>
          <w:sz w:val="24"/>
          <w:szCs w:val="24"/>
        </w:rPr>
        <w:t xml:space="preserve">provide a competitive advantage and lead to stability (IFC, 2015). </w:t>
      </w:r>
      <w:r w:rsidR="008617B1">
        <w:rPr>
          <w:rFonts w:ascii="Times New Roman" w:hAnsi="Times New Roman" w:cs="Times New Roman"/>
          <w:sz w:val="24"/>
          <w:szCs w:val="24"/>
        </w:rPr>
        <w:t>B</w:t>
      </w:r>
      <w:r w:rsidRPr="00624886">
        <w:rPr>
          <w:rFonts w:ascii="Times New Roman" w:hAnsi="Times New Roman" w:cs="Times New Roman"/>
          <w:sz w:val="24"/>
          <w:szCs w:val="24"/>
        </w:rPr>
        <w:t>anks</w:t>
      </w:r>
      <w:r w:rsidR="008617B1">
        <w:rPr>
          <w:rFonts w:ascii="Times New Roman" w:hAnsi="Times New Roman" w:cs="Times New Roman"/>
          <w:sz w:val="24"/>
          <w:szCs w:val="24"/>
        </w:rPr>
        <w:t xml:space="preserve"> </w:t>
      </w:r>
      <w:r w:rsidRPr="00624886">
        <w:rPr>
          <w:rFonts w:ascii="Times New Roman" w:hAnsi="Times New Roman" w:cs="Times New Roman"/>
          <w:sz w:val="24"/>
          <w:szCs w:val="24"/>
        </w:rPr>
        <w:t xml:space="preserve">cannot deny </w:t>
      </w:r>
      <w:r w:rsidR="001A685A">
        <w:rPr>
          <w:rFonts w:ascii="Times New Roman" w:hAnsi="Times New Roman" w:cs="Times New Roman"/>
          <w:sz w:val="24"/>
          <w:szCs w:val="24"/>
        </w:rPr>
        <w:t>culture's significance as it can make</w:t>
      </w:r>
      <w:r w:rsidRPr="00624886">
        <w:rPr>
          <w:rFonts w:ascii="Times New Roman" w:hAnsi="Times New Roman" w:cs="Times New Roman"/>
          <w:sz w:val="24"/>
          <w:szCs w:val="24"/>
        </w:rPr>
        <w:t xml:space="preserve"> risk management less effective (Sheedy et al., 201</w:t>
      </w:r>
      <w:r w:rsidR="00E96A5E">
        <w:rPr>
          <w:rFonts w:ascii="Times New Roman" w:hAnsi="Times New Roman" w:cs="Times New Roman"/>
          <w:sz w:val="24"/>
          <w:szCs w:val="24"/>
        </w:rPr>
        <w:t>8</w:t>
      </w:r>
      <w:r w:rsidR="009C7DF2" w:rsidRPr="00624886">
        <w:rPr>
          <w:rFonts w:ascii="Times New Roman" w:hAnsi="Times New Roman" w:cs="Times New Roman"/>
          <w:sz w:val="24"/>
          <w:szCs w:val="24"/>
        </w:rPr>
        <w:t>).</w:t>
      </w:r>
      <w:r w:rsidR="009C7DF2" w:rsidRPr="00CB2EB7">
        <w:rPr>
          <w:rFonts w:ascii="Times New Roman" w:hAnsi="Times New Roman" w:cs="Times New Roman"/>
          <w:sz w:val="24"/>
          <w:szCs w:val="24"/>
        </w:rPr>
        <w:t xml:space="preserve"> Despite</w:t>
      </w:r>
      <w:r w:rsidR="00CB2EB7" w:rsidRPr="00CB2EB7">
        <w:rPr>
          <w:rFonts w:ascii="Times New Roman" w:hAnsi="Times New Roman" w:cs="Times New Roman"/>
          <w:sz w:val="24"/>
          <w:szCs w:val="24"/>
        </w:rPr>
        <w:t xml:space="preserve"> becoming an object of focus and discussion, there is no consensus on precisely what "risk culture" is or how it can be managed (Power, 2013).</w:t>
      </w:r>
    </w:p>
    <w:p w14:paraId="687D7989" w14:textId="3272FCBD" w:rsidR="00624886" w:rsidRPr="00624886" w:rsidRDefault="00567377" w:rsidP="001A685A">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T</w:t>
      </w:r>
      <w:r w:rsidR="00B76538">
        <w:rPr>
          <w:rFonts w:ascii="Times New Roman" w:hAnsi="Times New Roman" w:cs="Times New Roman"/>
          <w:sz w:val="24"/>
          <w:szCs w:val="24"/>
        </w:rPr>
        <w:t>his study</w:t>
      </w:r>
      <w:r w:rsidR="00B76538" w:rsidRPr="00624886">
        <w:rPr>
          <w:rFonts w:ascii="Times New Roman" w:hAnsi="Times New Roman" w:cs="Times New Roman"/>
          <w:sz w:val="24"/>
          <w:szCs w:val="24"/>
        </w:rPr>
        <w:t xml:space="preserve"> </w:t>
      </w:r>
      <w:r w:rsidR="001A685A">
        <w:rPr>
          <w:rFonts w:ascii="Times New Roman" w:hAnsi="Times New Roman" w:cs="Times New Roman"/>
          <w:sz w:val="24"/>
          <w:szCs w:val="24"/>
        </w:rPr>
        <w:t xml:space="preserve">is motivated by </w:t>
      </w:r>
      <w:r w:rsidR="00B76538" w:rsidRPr="00624886">
        <w:rPr>
          <w:rFonts w:ascii="Times New Roman" w:hAnsi="Times New Roman" w:cs="Times New Roman"/>
          <w:sz w:val="24"/>
          <w:szCs w:val="24"/>
        </w:rPr>
        <w:t xml:space="preserve">the </w:t>
      </w:r>
      <w:r>
        <w:rPr>
          <w:rFonts w:ascii="Times New Roman" w:hAnsi="Times New Roman" w:cs="Times New Roman"/>
          <w:sz w:val="24"/>
          <w:szCs w:val="24"/>
        </w:rPr>
        <w:t xml:space="preserve">regulatory reforms following the GFC of 2007-2009, which highlights the </w:t>
      </w:r>
      <w:r w:rsidR="00B76538" w:rsidRPr="00624886">
        <w:rPr>
          <w:rFonts w:ascii="Times New Roman" w:hAnsi="Times New Roman" w:cs="Times New Roman"/>
          <w:sz w:val="24"/>
          <w:szCs w:val="24"/>
        </w:rPr>
        <w:t>importance of the role of CRO, board structures and risk culture in bank risk management</w:t>
      </w:r>
      <w:r>
        <w:rPr>
          <w:rFonts w:ascii="Times New Roman" w:hAnsi="Times New Roman" w:cs="Times New Roman"/>
          <w:sz w:val="24"/>
          <w:szCs w:val="24"/>
        </w:rPr>
        <w:t xml:space="preserve">. </w:t>
      </w:r>
      <w:r w:rsidR="00B76538">
        <w:rPr>
          <w:rFonts w:ascii="Times New Roman" w:hAnsi="Times New Roman" w:cs="Times New Roman"/>
          <w:sz w:val="24"/>
          <w:szCs w:val="24"/>
        </w:rPr>
        <w:t xml:space="preserve">By </w:t>
      </w:r>
      <w:r w:rsidR="00624886" w:rsidRPr="00624886">
        <w:rPr>
          <w:rFonts w:ascii="Times New Roman" w:hAnsi="Times New Roman" w:cs="Times New Roman"/>
          <w:sz w:val="24"/>
          <w:szCs w:val="24"/>
        </w:rPr>
        <w:t>tak</w:t>
      </w:r>
      <w:r w:rsidR="00B76538">
        <w:rPr>
          <w:rFonts w:ascii="Times New Roman" w:hAnsi="Times New Roman" w:cs="Times New Roman"/>
          <w:sz w:val="24"/>
          <w:szCs w:val="24"/>
        </w:rPr>
        <w:t xml:space="preserve">ing </w:t>
      </w:r>
      <w:r w:rsidR="00624886" w:rsidRPr="00624886">
        <w:rPr>
          <w:rFonts w:ascii="Times New Roman" w:hAnsi="Times New Roman" w:cs="Times New Roman"/>
          <w:sz w:val="24"/>
          <w:szCs w:val="24"/>
        </w:rPr>
        <w:t xml:space="preserve">a holistic </w:t>
      </w:r>
      <w:r w:rsidR="008617B1">
        <w:rPr>
          <w:rFonts w:ascii="Times New Roman" w:hAnsi="Times New Roman" w:cs="Times New Roman"/>
          <w:sz w:val="24"/>
          <w:szCs w:val="24"/>
        </w:rPr>
        <w:t xml:space="preserve">approach to </w:t>
      </w:r>
      <w:r w:rsidR="008617B1" w:rsidRPr="00624886">
        <w:rPr>
          <w:rFonts w:ascii="Times New Roman" w:hAnsi="Times New Roman" w:cs="Times New Roman"/>
          <w:sz w:val="24"/>
          <w:szCs w:val="24"/>
        </w:rPr>
        <w:t>risk</w:t>
      </w:r>
      <w:r w:rsidR="001A685A">
        <w:rPr>
          <w:rFonts w:ascii="Times New Roman" w:hAnsi="Times New Roman" w:cs="Times New Roman"/>
          <w:sz w:val="24"/>
          <w:szCs w:val="24"/>
        </w:rPr>
        <w:t xml:space="preserve"> management, this thesis collectively </w:t>
      </w:r>
      <w:r w:rsidR="007704E6" w:rsidRPr="00624886">
        <w:rPr>
          <w:rFonts w:ascii="Times New Roman" w:hAnsi="Times New Roman" w:cs="Times New Roman"/>
          <w:sz w:val="24"/>
          <w:szCs w:val="24"/>
        </w:rPr>
        <w:t>analys</w:t>
      </w:r>
      <w:r w:rsidR="001A685A">
        <w:rPr>
          <w:rFonts w:ascii="Times New Roman" w:hAnsi="Times New Roman" w:cs="Times New Roman"/>
          <w:sz w:val="24"/>
          <w:szCs w:val="24"/>
        </w:rPr>
        <w:t>es</w:t>
      </w:r>
      <w:r w:rsidR="00624886" w:rsidRPr="00624886">
        <w:rPr>
          <w:rFonts w:ascii="Times New Roman" w:hAnsi="Times New Roman" w:cs="Times New Roman"/>
          <w:sz w:val="24"/>
          <w:szCs w:val="24"/>
        </w:rPr>
        <w:t xml:space="preserve"> governance structures, risk management function and risk </w:t>
      </w:r>
      <w:r w:rsidR="009C7DF2" w:rsidRPr="00624886">
        <w:rPr>
          <w:rFonts w:ascii="Times New Roman" w:hAnsi="Times New Roman" w:cs="Times New Roman"/>
          <w:sz w:val="24"/>
          <w:szCs w:val="24"/>
        </w:rPr>
        <w:t>culture</w:t>
      </w:r>
      <w:r w:rsidR="001A685A">
        <w:rPr>
          <w:rFonts w:ascii="Times New Roman" w:hAnsi="Times New Roman" w:cs="Times New Roman"/>
          <w:sz w:val="24"/>
          <w:szCs w:val="24"/>
        </w:rPr>
        <w:t xml:space="preserve"> and</w:t>
      </w:r>
      <w:r w:rsidR="009C7DF2">
        <w:rPr>
          <w:rFonts w:ascii="Times New Roman" w:hAnsi="Times New Roman" w:cs="Times New Roman"/>
          <w:sz w:val="24"/>
          <w:szCs w:val="24"/>
        </w:rPr>
        <w:t xml:space="preserve"> </w:t>
      </w:r>
      <w:r w:rsidR="00173450">
        <w:rPr>
          <w:rFonts w:ascii="Times New Roman" w:hAnsi="Times New Roman" w:cs="Times New Roman"/>
          <w:sz w:val="24"/>
          <w:szCs w:val="24"/>
          <w:lang w:val="en-US"/>
        </w:rPr>
        <w:t>provide</w:t>
      </w:r>
      <w:r>
        <w:rPr>
          <w:rFonts w:ascii="Times New Roman" w:hAnsi="Times New Roman" w:cs="Times New Roman"/>
          <w:sz w:val="24"/>
          <w:szCs w:val="24"/>
          <w:lang w:val="en-US"/>
        </w:rPr>
        <w:t>s</w:t>
      </w:r>
      <w:r w:rsidR="00624886" w:rsidRPr="00624886">
        <w:rPr>
          <w:rFonts w:ascii="Times New Roman" w:hAnsi="Times New Roman" w:cs="Times New Roman"/>
          <w:sz w:val="24"/>
          <w:szCs w:val="24"/>
          <w:lang w:val="en-US"/>
        </w:rPr>
        <w:t xml:space="preserve"> answer</w:t>
      </w:r>
      <w:r>
        <w:rPr>
          <w:rFonts w:ascii="Times New Roman" w:hAnsi="Times New Roman" w:cs="Times New Roman"/>
          <w:sz w:val="24"/>
          <w:szCs w:val="24"/>
          <w:lang w:val="en-US"/>
        </w:rPr>
        <w:t>s</w:t>
      </w:r>
      <w:r w:rsidR="00624886" w:rsidRPr="006248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00624886" w:rsidRPr="00624886">
        <w:rPr>
          <w:rFonts w:ascii="Times New Roman" w:hAnsi="Times New Roman" w:cs="Times New Roman"/>
          <w:sz w:val="24"/>
          <w:szCs w:val="24"/>
          <w:lang w:val="en-US"/>
        </w:rPr>
        <w:t>the following questions:</w:t>
      </w:r>
    </w:p>
    <w:p w14:paraId="621B46F5" w14:textId="739234A5" w:rsidR="00624886" w:rsidRDefault="00624886" w:rsidP="001A685A">
      <w:pPr>
        <w:spacing w:line="480" w:lineRule="auto"/>
        <w:ind w:left="284"/>
        <w:jc w:val="both"/>
        <w:rPr>
          <w:rFonts w:ascii="Times New Roman" w:hAnsi="Times New Roman" w:cs="Times New Roman"/>
          <w:i/>
          <w:iCs/>
          <w:sz w:val="24"/>
          <w:szCs w:val="24"/>
          <w:lang w:val="en-US"/>
        </w:rPr>
      </w:pPr>
      <w:r w:rsidRPr="00624886">
        <w:rPr>
          <w:rFonts w:ascii="Times New Roman" w:hAnsi="Times New Roman" w:cs="Times New Roman"/>
          <w:b/>
          <w:bCs/>
          <w:i/>
          <w:iCs/>
          <w:sz w:val="24"/>
          <w:szCs w:val="24"/>
          <w:lang w:val="en-US"/>
        </w:rPr>
        <w:t>Research Question</w:t>
      </w:r>
      <w:r w:rsidRPr="00624886">
        <w:rPr>
          <w:rFonts w:ascii="Times New Roman" w:hAnsi="Times New Roman" w:cs="Times New Roman"/>
          <w:sz w:val="24"/>
          <w:szCs w:val="24"/>
          <w:lang w:val="en-US"/>
        </w:rPr>
        <w:t xml:space="preserve">:  </w:t>
      </w:r>
      <w:r w:rsidRPr="00624886">
        <w:rPr>
          <w:rFonts w:ascii="Times New Roman" w:hAnsi="Times New Roman" w:cs="Times New Roman"/>
          <w:i/>
          <w:iCs/>
          <w:sz w:val="24"/>
          <w:szCs w:val="24"/>
          <w:lang w:val="en-US"/>
        </w:rPr>
        <w:t xml:space="preserve">How significant are the risk governance mechanisms, </w:t>
      </w:r>
      <w:r w:rsidR="009C7DF2" w:rsidRPr="00624886">
        <w:rPr>
          <w:rFonts w:ascii="Times New Roman" w:hAnsi="Times New Roman" w:cs="Times New Roman"/>
          <w:i/>
          <w:iCs/>
          <w:sz w:val="24"/>
          <w:szCs w:val="24"/>
          <w:lang w:val="en-US"/>
        </w:rPr>
        <w:t>i.e.,</w:t>
      </w:r>
      <w:r w:rsidRPr="00624886">
        <w:rPr>
          <w:rFonts w:ascii="Times New Roman" w:hAnsi="Times New Roman" w:cs="Times New Roman"/>
          <w:i/>
          <w:iCs/>
          <w:sz w:val="24"/>
          <w:szCs w:val="24"/>
          <w:lang w:val="en-US"/>
        </w:rPr>
        <w:t xml:space="preserve"> Chief Risk Officer, board diversity, and the risk culture, in reducing banks' risk? </w:t>
      </w:r>
    </w:p>
    <w:p w14:paraId="2C373F2A" w14:textId="713824B4" w:rsidR="007071D3" w:rsidRPr="003C7034" w:rsidRDefault="008E63B2" w:rsidP="000E5A33">
      <w:pPr>
        <w:pStyle w:val="Heading2"/>
        <w:numPr>
          <w:ilvl w:val="1"/>
          <w:numId w:val="12"/>
        </w:numPr>
        <w:rPr>
          <w:sz w:val="32"/>
          <w:szCs w:val="32"/>
        </w:rPr>
      </w:pPr>
      <w:r w:rsidRPr="009E69CE">
        <w:br w:type="page"/>
      </w:r>
      <w:bookmarkStart w:id="14" w:name="_Toc145616165"/>
      <w:r w:rsidRPr="003C7034">
        <w:rPr>
          <w:sz w:val="32"/>
          <w:szCs w:val="32"/>
        </w:rPr>
        <w:t>Research Overview</w:t>
      </w:r>
      <w:r w:rsidR="00567377" w:rsidRPr="003C7034">
        <w:rPr>
          <w:sz w:val="32"/>
          <w:szCs w:val="32"/>
        </w:rPr>
        <w:t xml:space="preserve"> and Contribution</w:t>
      </w:r>
      <w:bookmarkEnd w:id="14"/>
    </w:p>
    <w:p w14:paraId="07325A57" w14:textId="77777777" w:rsidR="001A685A" w:rsidRPr="009E69CE" w:rsidRDefault="001A685A" w:rsidP="001A685A">
      <w:pPr>
        <w:pStyle w:val="ListParagraph"/>
        <w:ind w:left="360"/>
        <w:rPr>
          <w:rFonts w:ascii="Times New Roman" w:hAnsi="Times New Roman"/>
          <w:b/>
          <w:bCs/>
          <w:sz w:val="24"/>
          <w:szCs w:val="24"/>
        </w:rPr>
      </w:pPr>
    </w:p>
    <w:p w14:paraId="6E169820" w14:textId="4A93D586" w:rsidR="001A685A" w:rsidRPr="001A685A" w:rsidRDefault="001A685A" w:rsidP="001A685A">
      <w:pPr>
        <w:pStyle w:val="ListParagraph"/>
        <w:spacing w:line="480" w:lineRule="auto"/>
        <w:ind w:left="360"/>
        <w:jc w:val="both"/>
        <w:rPr>
          <w:rFonts w:ascii="Times New Roman" w:eastAsia="Calibri" w:hAnsi="Times New Roman"/>
          <w:sz w:val="24"/>
          <w:szCs w:val="24"/>
        </w:rPr>
      </w:pPr>
      <w:r>
        <w:rPr>
          <w:rFonts w:ascii="Times New Roman" w:eastAsia="Times New Roman" w:hAnsi="Times New Roman"/>
          <w:sz w:val="24"/>
          <w:szCs w:val="24"/>
          <w:lang w:eastAsia="en-GB"/>
        </w:rPr>
        <w:t>The empirical chapter (</w:t>
      </w:r>
      <w:r w:rsidRPr="001A685A">
        <w:rPr>
          <w:rFonts w:ascii="Times New Roman" w:eastAsia="Times New Roman" w:hAnsi="Times New Roman"/>
          <w:i/>
          <w:iCs/>
          <w:sz w:val="24"/>
          <w:szCs w:val="24"/>
          <w:lang w:eastAsia="en-GB"/>
        </w:rPr>
        <w:t>Chapter 3</w:t>
      </w:r>
      <w:r>
        <w:rPr>
          <w:rFonts w:ascii="Times New Roman" w:eastAsia="Times New Roman" w:hAnsi="Times New Roman"/>
          <w:sz w:val="24"/>
          <w:szCs w:val="24"/>
          <w:lang w:eastAsia="en-GB"/>
        </w:rPr>
        <w:t xml:space="preserve">) of this thesis </w:t>
      </w:r>
      <w:r w:rsidRPr="001A685A">
        <w:rPr>
          <w:rFonts w:ascii="Times New Roman" w:eastAsia="Times New Roman" w:hAnsi="Times New Roman"/>
          <w:sz w:val="24"/>
          <w:szCs w:val="24"/>
          <w:lang w:eastAsia="en-GB"/>
        </w:rPr>
        <w:t>recognis</w:t>
      </w:r>
      <w:r>
        <w:rPr>
          <w:rFonts w:ascii="Times New Roman" w:eastAsia="Times New Roman" w:hAnsi="Times New Roman"/>
          <w:sz w:val="24"/>
          <w:szCs w:val="24"/>
          <w:lang w:eastAsia="en-GB"/>
        </w:rPr>
        <w:t>es</w:t>
      </w:r>
      <w:r w:rsidRPr="001A685A">
        <w:rPr>
          <w:rFonts w:ascii="Times New Roman" w:eastAsia="Times New Roman" w:hAnsi="Times New Roman"/>
          <w:sz w:val="24"/>
          <w:szCs w:val="24"/>
          <w:lang w:eastAsia="en-GB"/>
        </w:rPr>
        <w:t xml:space="preserve"> the importance of CRO</w:t>
      </w:r>
      <w:r>
        <w:rPr>
          <w:rFonts w:ascii="Times New Roman" w:eastAsia="Times New Roman" w:hAnsi="Times New Roman"/>
          <w:sz w:val="24"/>
          <w:szCs w:val="24"/>
          <w:lang w:eastAsia="en-GB"/>
        </w:rPr>
        <w:t>s</w:t>
      </w:r>
      <w:r w:rsidRPr="001A685A">
        <w:rPr>
          <w:rFonts w:ascii="Times New Roman" w:eastAsia="Times New Roman" w:hAnsi="Times New Roman"/>
          <w:sz w:val="24"/>
          <w:szCs w:val="24"/>
          <w:lang w:eastAsia="en-GB"/>
        </w:rPr>
        <w:t xml:space="preserve"> in providing accurate risk assessment and timely communication of risk-related information to the board</w:t>
      </w:r>
      <w:r>
        <w:rPr>
          <w:rFonts w:ascii="Times New Roman" w:eastAsia="Times New Roman" w:hAnsi="Times New Roman"/>
          <w:sz w:val="24"/>
          <w:szCs w:val="24"/>
          <w:lang w:eastAsia="en-GB"/>
        </w:rPr>
        <w:t xml:space="preserve">. </w:t>
      </w:r>
      <w:r w:rsidRPr="001A685A">
        <w:rPr>
          <w:rFonts w:ascii="Times New Roman" w:eastAsia="Times New Roman" w:hAnsi="Times New Roman"/>
          <w:i/>
          <w:iCs/>
          <w:sz w:val="24"/>
          <w:szCs w:val="24"/>
          <w:lang w:eastAsia="en-GB"/>
        </w:rPr>
        <w:t>Chapter 3</w:t>
      </w:r>
      <w:r w:rsidRPr="001A685A">
        <w:rPr>
          <w:rFonts w:ascii="Times New Roman" w:eastAsia="Times New Roman" w:hAnsi="Times New Roman"/>
          <w:sz w:val="24"/>
          <w:szCs w:val="24"/>
          <w:lang w:eastAsia="en-GB"/>
        </w:rPr>
        <w:t xml:space="preserve"> examines the relationship between chief risk officers (CRO) and bank risk. To the best of our knowledge, a gap exists in the literature, with no study exploring the gender impact of CRO on bank risk. Using a unique dataset of 120 US banks for 2004-2018, we explore the significance of female CROs on bank risk. </w:t>
      </w:r>
      <w:r w:rsidRPr="001A685A">
        <w:rPr>
          <w:rFonts w:ascii="Times New Roman" w:eastAsia="Calibri" w:hAnsi="Times New Roman"/>
          <w:sz w:val="24"/>
          <w:szCs w:val="24"/>
        </w:rPr>
        <w:t>We further argue that, like any other executive, female CROs do not work in isolation, and their working environment can influence their decision-making. Using managerial discretion theory, we consider the circumstances under which female CROs' risk preferences can change</w:t>
      </w:r>
      <w:r w:rsidR="00567377">
        <w:rPr>
          <w:rFonts w:ascii="Times New Roman" w:eastAsia="Calibri" w:hAnsi="Times New Roman"/>
          <w:sz w:val="24"/>
          <w:szCs w:val="24"/>
        </w:rPr>
        <w:t>, i.e. presence of females on the board and risk committee level (RC)</w:t>
      </w:r>
      <w:r w:rsidRPr="001A685A">
        <w:rPr>
          <w:rFonts w:ascii="Times New Roman" w:eastAsia="Calibri" w:hAnsi="Times New Roman"/>
          <w:sz w:val="24"/>
          <w:szCs w:val="24"/>
        </w:rPr>
        <w:t>.</w:t>
      </w:r>
      <w:r>
        <w:rPr>
          <w:rFonts w:ascii="Times New Roman" w:eastAsia="Calibri" w:hAnsi="Times New Roman"/>
          <w:sz w:val="24"/>
          <w:szCs w:val="24"/>
        </w:rPr>
        <w:t xml:space="preserve"> </w:t>
      </w:r>
      <w:r w:rsidRPr="001A685A">
        <w:rPr>
          <w:rFonts w:ascii="Times New Roman" w:eastAsia="Calibri" w:hAnsi="Times New Roman"/>
          <w:sz w:val="24"/>
          <w:szCs w:val="24"/>
        </w:rPr>
        <w:t>Furthermore, the current study provides empirical evidence of how information filtering (resulting in agency problems) can be reduced by improving the organisational hierarchy, i.e., allowing CROs to report risk-related matters directly to the board. We further investigate the impact of regulations on bank risk</w:t>
      </w:r>
      <w:r w:rsidR="00567377">
        <w:rPr>
          <w:rFonts w:ascii="Times New Roman" w:eastAsia="Calibri" w:hAnsi="Times New Roman"/>
          <w:sz w:val="24"/>
          <w:szCs w:val="24"/>
        </w:rPr>
        <w:t xml:space="preserve"> post-2009</w:t>
      </w:r>
      <w:r w:rsidRPr="001A685A">
        <w:rPr>
          <w:rFonts w:ascii="Times New Roman" w:eastAsia="Calibri" w:hAnsi="Times New Roman"/>
          <w:sz w:val="24"/>
          <w:szCs w:val="24"/>
        </w:rPr>
        <w:t>. We use the Dodd-Frank Act</w:t>
      </w:r>
      <w:r w:rsidR="00567377">
        <w:rPr>
          <w:rFonts w:ascii="Times New Roman" w:eastAsia="Calibri" w:hAnsi="Times New Roman"/>
          <w:sz w:val="24"/>
          <w:szCs w:val="24"/>
        </w:rPr>
        <w:t xml:space="preserve"> (2010)</w:t>
      </w:r>
      <w:r w:rsidRPr="001A685A">
        <w:rPr>
          <w:rFonts w:ascii="Times New Roman" w:eastAsia="Calibri" w:hAnsi="Times New Roman"/>
          <w:sz w:val="24"/>
          <w:szCs w:val="24"/>
        </w:rPr>
        <w:t xml:space="preserve"> as </w:t>
      </w:r>
      <w:r w:rsidR="005B1257">
        <w:rPr>
          <w:rFonts w:ascii="Times New Roman" w:eastAsia="Calibri" w:hAnsi="Times New Roman"/>
          <w:sz w:val="24"/>
          <w:szCs w:val="24"/>
        </w:rPr>
        <w:t>a criteria</w:t>
      </w:r>
      <w:r w:rsidRPr="001A685A">
        <w:rPr>
          <w:rFonts w:ascii="Times New Roman" w:eastAsia="Calibri" w:hAnsi="Times New Roman"/>
          <w:sz w:val="24"/>
          <w:szCs w:val="24"/>
        </w:rPr>
        <w:t xml:space="preserve"> because it compelled banks of a </w:t>
      </w:r>
      <w:r>
        <w:rPr>
          <w:rFonts w:ascii="Times New Roman" w:eastAsia="Calibri" w:hAnsi="Times New Roman"/>
          <w:sz w:val="24"/>
          <w:szCs w:val="24"/>
        </w:rPr>
        <w:t>specific</w:t>
      </w:r>
      <w:r w:rsidRPr="001A685A">
        <w:rPr>
          <w:rFonts w:ascii="Times New Roman" w:eastAsia="Calibri" w:hAnsi="Times New Roman"/>
          <w:sz w:val="24"/>
          <w:szCs w:val="24"/>
        </w:rPr>
        <w:t xml:space="preserve"> size to appoint CROs and adopt separate risk committees. </w:t>
      </w:r>
    </w:p>
    <w:p w14:paraId="73D6FAD5" w14:textId="34F2A9E5" w:rsidR="001A685A" w:rsidRPr="001A685A" w:rsidRDefault="001A685A" w:rsidP="001A685A">
      <w:pPr>
        <w:pStyle w:val="ListParagraph"/>
        <w:spacing w:line="480" w:lineRule="auto"/>
        <w:ind w:left="360"/>
        <w:jc w:val="both"/>
        <w:rPr>
          <w:rFonts w:ascii="Times New Roman" w:hAnsi="Times New Roman"/>
          <w:sz w:val="24"/>
          <w:szCs w:val="24"/>
        </w:rPr>
      </w:pPr>
      <w:r w:rsidRPr="001A685A">
        <w:rPr>
          <w:rFonts w:ascii="Times New Roman" w:eastAsia="Calibri" w:hAnsi="Times New Roman"/>
          <w:sz w:val="24"/>
          <w:szCs w:val="24"/>
        </w:rPr>
        <w:t xml:space="preserve">In the study </w:t>
      </w:r>
      <w:r w:rsidRPr="001A685A">
        <w:rPr>
          <w:rFonts w:ascii="Times New Roman" w:eastAsia="Calibri" w:hAnsi="Times New Roman"/>
          <w:i/>
          <w:iCs/>
          <w:sz w:val="24"/>
          <w:szCs w:val="24"/>
        </w:rPr>
        <w:t>(</w:t>
      </w:r>
      <w:r w:rsidRPr="00567377">
        <w:rPr>
          <w:rFonts w:ascii="Times New Roman" w:eastAsia="Calibri" w:hAnsi="Times New Roman"/>
          <w:b/>
          <w:bCs/>
          <w:i/>
          <w:iCs/>
          <w:sz w:val="24"/>
          <w:szCs w:val="24"/>
        </w:rPr>
        <w:t>Chapter 3</w:t>
      </w:r>
      <w:r w:rsidRPr="001A685A">
        <w:rPr>
          <w:rFonts w:ascii="Times New Roman" w:eastAsia="Calibri" w:hAnsi="Times New Roman"/>
          <w:i/>
          <w:iCs/>
          <w:sz w:val="24"/>
          <w:szCs w:val="24"/>
        </w:rPr>
        <w:t>)</w:t>
      </w:r>
      <w:r w:rsidRPr="001A685A">
        <w:rPr>
          <w:rFonts w:ascii="Times New Roman" w:eastAsia="Calibri" w:hAnsi="Times New Roman"/>
          <w:sz w:val="24"/>
          <w:szCs w:val="24"/>
        </w:rPr>
        <w:t xml:space="preserve">, we </w:t>
      </w:r>
      <w:r w:rsidR="00567377">
        <w:rPr>
          <w:rFonts w:ascii="Times New Roman" w:eastAsia="Calibri" w:hAnsi="Times New Roman"/>
          <w:sz w:val="24"/>
          <w:szCs w:val="24"/>
        </w:rPr>
        <w:t>contribute</w:t>
      </w:r>
      <w:r w:rsidRPr="001A685A">
        <w:rPr>
          <w:rFonts w:ascii="Times New Roman" w:eastAsia="Calibri" w:hAnsi="Times New Roman"/>
          <w:sz w:val="24"/>
          <w:szCs w:val="24"/>
        </w:rPr>
        <w:t xml:space="preserve"> to the recent argument on female representation at CEOs and board level</w:t>
      </w:r>
      <w:r>
        <w:rPr>
          <w:rFonts w:ascii="Times New Roman" w:eastAsia="Calibri" w:hAnsi="Times New Roman"/>
          <w:sz w:val="24"/>
          <w:szCs w:val="24"/>
        </w:rPr>
        <w:t>s</w:t>
      </w:r>
      <w:r w:rsidRPr="001A685A">
        <w:rPr>
          <w:rFonts w:ascii="Times New Roman" w:eastAsia="Calibri" w:hAnsi="Times New Roman"/>
          <w:sz w:val="24"/>
          <w:szCs w:val="24"/>
        </w:rPr>
        <w:t xml:space="preserve"> by providing the first evidence of the relationship between female CROs and bank risk. Secondly, this study contributes to the literature on ERM where the presence of CRO is used as a criterion to represent the bank's seriousness in implementing ERM practices and a step towards better risk management (Beasley et al., 2005; Beasley &amp; Warr, 2007; Pagach &amp; Warr, 2011; Hines &amp; Peters, 2015). We provide novel evidence that even accounting for gender, CROs' presence does not reduce bank risk. This finding reveals that although CRO is an important executive to monitor risk management activities, it is not a sufficient criterion to identify the seriousness of financial institutions in implementing ERM practices, as suggested in the previous literature. </w:t>
      </w:r>
      <w:r w:rsidR="00567377">
        <w:rPr>
          <w:rFonts w:ascii="Times New Roman" w:eastAsia="Calibri" w:hAnsi="Times New Roman"/>
          <w:sz w:val="24"/>
          <w:szCs w:val="24"/>
        </w:rPr>
        <w:t>Thirdly, t</w:t>
      </w:r>
      <w:r w:rsidRPr="001A685A">
        <w:rPr>
          <w:rFonts w:ascii="Times New Roman" w:eastAsia="Calibri" w:hAnsi="Times New Roman"/>
          <w:sz w:val="24"/>
          <w:szCs w:val="24"/>
        </w:rPr>
        <w:t xml:space="preserve">his study contributes to the literature on female representation at the board and committee level (Adams &amp; Ferreira, 2009; Yu et al., 2017; Adams &amp; Raghunathan, 2017; Zalata et al., 2019 Girardone et al., 2021; Malik et al. 2021). We show that female representation at the board and committee level serves the broader interest of stakeholders by significantly moderating the </w:t>
      </w:r>
      <w:r w:rsidR="0091261D">
        <w:rPr>
          <w:rFonts w:ascii="Times New Roman" w:eastAsia="Calibri" w:hAnsi="Times New Roman"/>
          <w:sz w:val="24"/>
          <w:szCs w:val="24"/>
        </w:rPr>
        <w:t xml:space="preserve">female CRO and bank risk </w:t>
      </w:r>
      <w:r w:rsidRPr="001A685A">
        <w:rPr>
          <w:rFonts w:ascii="Times New Roman" w:eastAsia="Calibri" w:hAnsi="Times New Roman"/>
          <w:sz w:val="24"/>
          <w:szCs w:val="24"/>
        </w:rPr>
        <w:t xml:space="preserve">relationship. Finally, this study contributes to the ongoing debate on risk governance in banks aftermath of the GFC 2007-09. </w:t>
      </w:r>
      <w:r w:rsidR="00F57978">
        <w:rPr>
          <w:rFonts w:ascii="Times New Roman" w:eastAsia="Calibri" w:hAnsi="Times New Roman"/>
          <w:sz w:val="24"/>
          <w:szCs w:val="24"/>
        </w:rPr>
        <w:t>Post-2009</w:t>
      </w:r>
      <w:r w:rsidRPr="001A685A">
        <w:rPr>
          <w:rFonts w:ascii="Times New Roman" w:eastAsia="Calibri" w:hAnsi="Times New Roman"/>
          <w:sz w:val="24"/>
          <w:szCs w:val="24"/>
        </w:rPr>
        <w:t xml:space="preserve"> results show that regulatory efforts after the financial crisis of 2007-2009 in improving the risk management practices by appointing a dedicated risk officer and demanding more female representation, i.e., female CRO, has significantly reduced the bank's risk.</w:t>
      </w:r>
    </w:p>
    <w:p w14:paraId="1B20628D" w14:textId="7E7CB574" w:rsidR="001A685A" w:rsidRPr="0093605C" w:rsidRDefault="001A685A" w:rsidP="001A685A">
      <w:pPr>
        <w:spacing w:line="480" w:lineRule="auto"/>
        <w:ind w:left="284"/>
        <w:jc w:val="both"/>
        <w:rPr>
          <w:rFonts w:ascii="Times New Roman" w:eastAsia="Calibri" w:hAnsi="Times New Roman" w:cs="Times New Roman"/>
          <w:sz w:val="24"/>
          <w:szCs w:val="24"/>
        </w:rPr>
      </w:pPr>
      <w:bookmarkStart w:id="15" w:name="_Hlk130991504"/>
      <w:r>
        <w:rPr>
          <w:rFonts w:ascii="Times New Roman" w:eastAsia="Calibri" w:hAnsi="Times New Roman" w:cs="Times New Roman"/>
          <w:sz w:val="24"/>
          <w:szCs w:val="24"/>
        </w:rPr>
        <w:t>T</w:t>
      </w:r>
      <w:r w:rsidRPr="0093605C">
        <w:rPr>
          <w:rFonts w:ascii="Times New Roman" w:eastAsia="Calibri" w:hAnsi="Times New Roman" w:cs="Times New Roman"/>
          <w:sz w:val="24"/>
          <w:szCs w:val="24"/>
        </w:rPr>
        <w:t>h</w:t>
      </w:r>
      <w:r>
        <w:rPr>
          <w:rFonts w:ascii="Times New Roman" w:eastAsia="Calibri" w:hAnsi="Times New Roman" w:cs="Times New Roman"/>
          <w:sz w:val="24"/>
          <w:szCs w:val="24"/>
        </w:rPr>
        <w:t>is thesis's empirical chapter (</w:t>
      </w:r>
      <w:r w:rsidRPr="00567377">
        <w:rPr>
          <w:rFonts w:ascii="Times New Roman" w:eastAsia="Calibri" w:hAnsi="Times New Roman" w:cs="Times New Roman"/>
          <w:b/>
          <w:bCs/>
          <w:i/>
          <w:iCs/>
          <w:sz w:val="24"/>
          <w:szCs w:val="24"/>
        </w:rPr>
        <w:t>Chapter 4</w:t>
      </w:r>
      <w:r w:rsidRPr="00567377">
        <w:rPr>
          <w:rFonts w:ascii="Times New Roman" w:eastAsia="Calibri" w:hAnsi="Times New Roman" w:cs="Times New Roman"/>
          <w:b/>
          <w:bCs/>
          <w:sz w:val="24"/>
          <w:szCs w:val="24"/>
        </w:rPr>
        <w:t>)</w:t>
      </w:r>
      <w:r w:rsidRPr="0093605C">
        <w:rPr>
          <w:rFonts w:ascii="Times New Roman" w:eastAsia="Calibri" w:hAnsi="Times New Roman" w:cs="Times New Roman"/>
          <w:sz w:val="24"/>
          <w:szCs w:val="24"/>
        </w:rPr>
        <w:t xml:space="preserve"> acknowledges the importance of risk culture for effective risk management by suggesting the moderating impact of board gender diversity on bank risk culture and risk relationships.</w:t>
      </w:r>
      <w:r w:rsidRPr="0093605C">
        <w:rPr>
          <w:rFonts w:ascii="Times New Roman" w:eastAsia="DengXian" w:hAnsi="Times New Roman" w:cs="Times New Roman"/>
          <w:color w:val="000000"/>
          <w:sz w:val="24"/>
          <w:szCs w:val="24"/>
          <w:lang w:eastAsia="zh-CN"/>
        </w:rPr>
        <w:t xml:space="preserve"> Using a sample of 120 U.S. banks and bank holding companies (BHC) for 2004-2018, we first investigate the relationship between bank risk culture and bank risk and how the relationship between bank risk and risk culture </w:t>
      </w:r>
      <w:r>
        <w:rPr>
          <w:rFonts w:ascii="Times New Roman" w:eastAsia="DengXian" w:hAnsi="Times New Roman" w:cs="Times New Roman"/>
          <w:color w:val="000000"/>
          <w:sz w:val="24"/>
          <w:szCs w:val="24"/>
          <w:lang w:eastAsia="zh-CN"/>
        </w:rPr>
        <w:t xml:space="preserve">changes </w:t>
      </w:r>
      <w:r w:rsidRPr="0093605C">
        <w:rPr>
          <w:rFonts w:ascii="Times New Roman" w:eastAsia="DengXian" w:hAnsi="Times New Roman" w:cs="Times New Roman"/>
          <w:color w:val="000000"/>
          <w:sz w:val="24"/>
          <w:szCs w:val="24"/>
          <w:lang w:eastAsia="zh-CN"/>
        </w:rPr>
        <w:t xml:space="preserve">in the presence of a gender-diverse board. Further, testing the critical mass theory, this study investigates whether the boards with three or more females substantially impact risk culture more than those with two or fewer females. Our analysis also highlights the </w:t>
      </w:r>
      <w:r w:rsidR="00567377">
        <w:rPr>
          <w:rFonts w:ascii="Times New Roman" w:eastAsia="DengXian" w:hAnsi="Times New Roman" w:cs="Times New Roman"/>
          <w:color w:val="000000"/>
          <w:sz w:val="24"/>
          <w:szCs w:val="24"/>
          <w:lang w:eastAsia="zh-CN"/>
        </w:rPr>
        <w:t xml:space="preserve">support female </w:t>
      </w:r>
      <w:r w:rsidRPr="0093605C">
        <w:rPr>
          <w:rFonts w:ascii="Times New Roman" w:eastAsia="DengXian" w:hAnsi="Times New Roman" w:cs="Times New Roman"/>
          <w:color w:val="000000"/>
          <w:sz w:val="24"/>
          <w:szCs w:val="24"/>
          <w:lang w:eastAsia="zh-CN"/>
        </w:rPr>
        <w:t xml:space="preserve">board members provide </w:t>
      </w:r>
      <w:r w:rsidR="00567377">
        <w:rPr>
          <w:rFonts w:ascii="Times New Roman" w:eastAsia="DengXian" w:hAnsi="Times New Roman" w:cs="Times New Roman"/>
          <w:color w:val="000000"/>
          <w:sz w:val="24"/>
          <w:szCs w:val="24"/>
          <w:lang w:eastAsia="zh-CN"/>
        </w:rPr>
        <w:t xml:space="preserve">to females in senior leadership positions (CEO/Chairwoman) </w:t>
      </w:r>
      <w:r w:rsidRPr="0093605C">
        <w:rPr>
          <w:rFonts w:ascii="Times New Roman" w:eastAsia="DengXian" w:hAnsi="Times New Roman" w:cs="Times New Roman"/>
          <w:color w:val="000000"/>
          <w:sz w:val="24"/>
          <w:szCs w:val="24"/>
          <w:lang w:eastAsia="zh-CN"/>
        </w:rPr>
        <w:t xml:space="preserve">for effective decision-making. </w:t>
      </w:r>
      <w:r w:rsidRPr="0093605C">
        <w:rPr>
          <w:rFonts w:ascii="Times New Roman" w:eastAsia="Calibri" w:hAnsi="Times New Roman" w:cs="Times New Roman"/>
          <w:color w:val="000000"/>
          <w:sz w:val="24"/>
          <w:szCs w:val="24"/>
        </w:rPr>
        <w:t xml:space="preserve">We further extend our argument by </w:t>
      </w:r>
      <w:r w:rsidR="0091261D">
        <w:rPr>
          <w:rFonts w:ascii="Times New Roman" w:eastAsia="Calibri" w:hAnsi="Times New Roman" w:cs="Times New Roman"/>
          <w:color w:val="000000"/>
          <w:sz w:val="24"/>
          <w:szCs w:val="24"/>
        </w:rPr>
        <w:t>analysing the impact of regulatory actions on banks' risk</w:t>
      </w:r>
      <w:r w:rsidRPr="0093605C">
        <w:rPr>
          <w:rFonts w:ascii="Times New Roman" w:eastAsia="Calibri" w:hAnsi="Times New Roman" w:cs="Times New Roman"/>
          <w:color w:val="000000"/>
          <w:sz w:val="24"/>
          <w:szCs w:val="24"/>
        </w:rPr>
        <w:t xml:space="preserve">. We complement the </w:t>
      </w:r>
      <w:r w:rsidR="00567377">
        <w:rPr>
          <w:rFonts w:ascii="Times New Roman" w:eastAsia="Calibri" w:hAnsi="Times New Roman" w:cs="Times New Roman"/>
          <w:color w:val="000000"/>
          <w:sz w:val="24"/>
          <w:szCs w:val="24"/>
        </w:rPr>
        <w:t xml:space="preserve">post-2009 </w:t>
      </w:r>
      <w:r w:rsidRPr="0093605C">
        <w:rPr>
          <w:rFonts w:ascii="Times New Roman" w:eastAsia="Calibri" w:hAnsi="Times New Roman" w:cs="Times New Roman"/>
          <w:color w:val="000000"/>
          <w:sz w:val="24"/>
          <w:szCs w:val="24"/>
        </w:rPr>
        <w:t xml:space="preserve">regulatory steps towards improving risk culture with recent trends of increased women representation on the board. We test whether the shift towards enhanced risk culture and women's representation on board impacts bank risk after the financial crisis of 2007-2009. </w:t>
      </w:r>
    </w:p>
    <w:p w14:paraId="6A495991" w14:textId="07EAAF9C" w:rsidR="001A685A" w:rsidRPr="009E69CE" w:rsidRDefault="001A685A" w:rsidP="001A685A">
      <w:pPr>
        <w:spacing w:line="480" w:lineRule="auto"/>
        <w:ind w:left="284"/>
        <w:jc w:val="both"/>
        <w:rPr>
          <w:rFonts w:ascii="Times New Roman" w:eastAsia="DengXian" w:hAnsi="Times New Roman" w:cs="Times New Roman"/>
          <w:color w:val="000000"/>
          <w:sz w:val="24"/>
          <w:szCs w:val="24"/>
          <w:lang w:eastAsia="zh-CN"/>
        </w:rPr>
      </w:pPr>
      <w:r w:rsidRPr="0093605C">
        <w:rPr>
          <w:rFonts w:ascii="Times New Roman" w:eastAsia="DengXian" w:hAnsi="Times New Roman" w:cs="Times New Roman"/>
          <w:color w:val="000000"/>
          <w:sz w:val="24"/>
          <w:szCs w:val="24"/>
          <w:lang w:eastAsia="zh-CN"/>
        </w:rPr>
        <w:t xml:space="preserve">This chapter </w:t>
      </w:r>
      <w:r w:rsidR="00567377">
        <w:rPr>
          <w:rFonts w:ascii="Times New Roman" w:eastAsia="DengXian" w:hAnsi="Times New Roman" w:cs="Times New Roman"/>
          <w:color w:val="000000"/>
          <w:sz w:val="24"/>
          <w:szCs w:val="24"/>
          <w:lang w:eastAsia="zh-CN"/>
        </w:rPr>
        <w:t>contributes to the existing</w:t>
      </w:r>
      <w:r w:rsidRPr="0093605C">
        <w:rPr>
          <w:rFonts w:ascii="Times New Roman" w:eastAsia="DengXian" w:hAnsi="Times New Roman" w:cs="Times New Roman"/>
          <w:color w:val="000000"/>
          <w:sz w:val="24"/>
          <w:szCs w:val="24"/>
          <w:lang w:eastAsia="zh-CN"/>
        </w:rPr>
        <w:t xml:space="preserve"> literature on risk culture and bank risk-taking by providing a</w:t>
      </w:r>
      <w:r>
        <w:rPr>
          <w:rFonts w:ascii="Times New Roman" w:eastAsia="DengXian" w:hAnsi="Times New Roman" w:cs="Times New Roman"/>
          <w:color w:val="000000"/>
          <w:sz w:val="24"/>
          <w:szCs w:val="24"/>
          <w:lang w:eastAsia="zh-CN"/>
        </w:rPr>
        <w:t xml:space="preserve"> pract</w:t>
      </w:r>
      <w:r w:rsidRPr="0093605C">
        <w:rPr>
          <w:rFonts w:ascii="Times New Roman" w:eastAsia="DengXian" w:hAnsi="Times New Roman" w:cs="Times New Roman"/>
          <w:color w:val="000000"/>
          <w:sz w:val="24"/>
          <w:szCs w:val="24"/>
          <w:lang w:eastAsia="zh-CN"/>
        </w:rPr>
        <w:t>ical solution, i.e., how to improve a bank's risk culture, which mitigates the bank's risk. To understand the mechanism through which the risk culture can reduce bank risk, we suggest the presence of females on the board based on the ethicality/ risk aversion argument. Our results provide empirical evidence for social role theory, suggesting that women are more ethical, risk-averse, better at monitoring and have a different impact on corporate outcomes than their male counterparts due to gender stereotypes. Thus, ethicality is the mechanism through which gender-diverse boards improve the corporate outcome (risk) by enhancing the organisation's culture. Our findings also support the economic-based theories suggesting that women bring unique experiences, skills, and ethics, which results in better monitoring by the board through improved outcomes.</w:t>
      </w:r>
      <w:r w:rsidR="00567377">
        <w:rPr>
          <w:rFonts w:ascii="Times New Roman" w:eastAsia="DengXian" w:hAnsi="Times New Roman" w:cs="Times New Roman"/>
          <w:color w:val="000000"/>
          <w:sz w:val="24"/>
          <w:szCs w:val="24"/>
          <w:lang w:eastAsia="zh-CN"/>
        </w:rPr>
        <w:t xml:space="preserve"> </w:t>
      </w:r>
      <w:r w:rsidRPr="0093605C">
        <w:rPr>
          <w:rFonts w:ascii="Times New Roman" w:eastAsia="DengXian" w:hAnsi="Times New Roman" w:cs="Times New Roman"/>
          <w:color w:val="000000"/>
          <w:sz w:val="24"/>
          <w:szCs w:val="24"/>
          <w:lang w:eastAsia="zh-CN"/>
        </w:rPr>
        <w:t>Secondly, our findings contribute to the critical mass literature, i.e., the ethical/risk aversion channel is more visible if there are three or more female board of directors. Our study further contributes to the importance of gender-diverse boards as they provide a conducive environment for female leaders (CEO/Chairwoman) to influence bank culture and, eventually, bank risk.</w:t>
      </w:r>
    </w:p>
    <w:p w14:paraId="6AFA2188" w14:textId="66D84A3F" w:rsidR="001A685A" w:rsidRPr="0093605C" w:rsidRDefault="001A685A" w:rsidP="001A685A">
      <w:pPr>
        <w:spacing w:line="480" w:lineRule="auto"/>
        <w:ind w:left="284"/>
        <w:jc w:val="both"/>
        <w:rPr>
          <w:rFonts w:ascii="Times New Roman" w:eastAsia="Calibri" w:hAnsi="Times New Roman" w:cs="Times New Roman"/>
          <w:sz w:val="24"/>
          <w:szCs w:val="24"/>
        </w:rPr>
      </w:pPr>
      <w:r>
        <w:rPr>
          <w:rFonts w:ascii="Times New Roman" w:eastAsia="DengXian" w:hAnsi="Times New Roman" w:cs="Times New Roman"/>
          <w:color w:val="000000"/>
          <w:sz w:val="24"/>
          <w:szCs w:val="24"/>
          <w:lang w:eastAsia="zh-CN"/>
        </w:rPr>
        <w:t>The thesis's empirical (</w:t>
      </w:r>
      <w:r w:rsidRPr="00567377">
        <w:rPr>
          <w:rFonts w:ascii="Times New Roman" w:eastAsia="DengXian" w:hAnsi="Times New Roman" w:cs="Times New Roman"/>
          <w:b/>
          <w:bCs/>
          <w:color w:val="000000"/>
          <w:sz w:val="24"/>
          <w:szCs w:val="24"/>
          <w:lang w:eastAsia="zh-CN"/>
        </w:rPr>
        <w:t>Chapter 5</w:t>
      </w:r>
      <w:r>
        <w:rPr>
          <w:rFonts w:ascii="Times New Roman" w:eastAsia="DengXian" w:hAnsi="Times New Roman" w:cs="Times New Roman"/>
          <w:color w:val="000000"/>
          <w:sz w:val="24"/>
          <w:szCs w:val="24"/>
          <w:lang w:eastAsia="zh-CN"/>
        </w:rPr>
        <w:t>)</w:t>
      </w:r>
      <w:r w:rsidRPr="0093605C">
        <w:rPr>
          <w:rFonts w:ascii="Times New Roman" w:eastAsia="DengXian" w:hAnsi="Times New Roman" w:cs="Times New Roman"/>
          <w:color w:val="000000"/>
          <w:sz w:val="24"/>
          <w:szCs w:val="24"/>
          <w:lang w:eastAsia="zh-CN"/>
        </w:rPr>
        <w:t xml:space="preserve"> acknowledg</w:t>
      </w:r>
      <w:r>
        <w:rPr>
          <w:rFonts w:ascii="Times New Roman" w:eastAsia="DengXian" w:hAnsi="Times New Roman" w:cs="Times New Roman"/>
          <w:color w:val="000000"/>
          <w:sz w:val="24"/>
          <w:szCs w:val="24"/>
          <w:lang w:eastAsia="zh-CN"/>
        </w:rPr>
        <w:t>es the</w:t>
      </w:r>
      <w:r w:rsidRPr="0093605C">
        <w:rPr>
          <w:rFonts w:ascii="Times New Roman" w:eastAsia="DengXian" w:hAnsi="Times New Roman" w:cs="Times New Roman"/>
          <w:color w:val="000000"/>
          <w:sz w:val="24"/>
          <w:szCs w:val="24"/>
          <w:lang w:eastAsia="zh-CN"/>
        </w:rPr>
        <w:t xml:space="preserve"> regulatory emphasis on improving governance structure</w:t>
      </w:r>
      <w:r>
        <w:rPr>
          <w:rFonts w:ascii="Times New Roman" w:eastAsia="DengXian" w:hAnsi="Times New Roman" w:cs="Times New Roman"/>
          <w:color w:val="000000"/>
          <w:sz w:val="24"/>
          <w:szCs w:val="24"/>
          <w:lang w:eastAsia="zh-CN"/>
        </w:rPr>
        <w:t xml:space="preserve">. </w:t>
      </w:r>
      <w:r w:rsidRPr="001A685A">
        <w:rPr>
          <w:rFonts w:ascii="Times New Roman" w:eastAsia="DengXian" w:hAnsi="Times New Roman" w:cs="Times New Roman"/>
          <w:i/>
          <w:iCs/>
          <w:color w:val="000000"/>
          <w:sz w:val="24"/>
          <w:szCs w:val="24"/>
          <w:lang w:eastAsia="zh-CN"/>
        </w:rPr>
        <w:t xml:space="preserve">Chapter </w:t>
      </w:r>
      <w:r w:rsidR="000E5A33" w:rsidRPr="001A685A">
        <w:rPr>
          <w:rFonts w:ascii="Times New Roman" w:eastAsia="DengXian" w:hAnsi="Times New Roman" w:cs="Times New Roman"/>
          <w:i/>
          <w:iCs/>
          <w:color w:val="000000"/>
          <w:sz w:val="24"/>
          <w:szCs w:val="24"/>
          <w:lang w:eastAsia="zh-CN"/>
        </w:rPr>
        <w:t>5</w:t>
      </w:r>
      <w:r w:rsidR="000E5A33" w:rsidRPr="0093605C">
        <w:rPr>
          <w:rFonts w:ascii="Times New Roman" w:eastAsia="DengXian" w:hAnsi="Times New Roman" w:cs="Times New Roman"/>
          <w:color w:val="000000"/>
          <w:sz w:val="24"/>
          <w:szCs w:val="24"/>
          <w:lang w:eastAsia="zh-CN"/>
        </w:rPr>
        <w:t xml:space="preserve"> focuses</w:t>
      </w:r>
      <w:r w:rsidRPr="0093605C">
        <w:rPr>
          <w:rFonts w:ascii="Times New Roman" w:eastAsia="DengXian" w:hAnsi="Times New Roman" w:cs="Times New Roman"/>
          <w:color w:val="000000"/>
          <w:sz w:val="24"/>
          <w:szCs w:val="24"/>
          <w:lang w:eastAsia="zh-CN"/>
        </w:rPr>
        <w:t xml:space="preserve"> on board structure, mainly diversity among independent non-executive directors</w:t>
      </w:r>
      <w:r>
        <w:rPr>
          <w:rFonts w:ascii="Times New Roman" w:eastAsia="DengXian" w:hAnsi="Times New Roman" w:cs="Times New Roman"/>
          <w:color w:val="000000"/>
          <w:sz w:val="24"/>
          <w:szCs w:val="24"/>
          <w:lang w:eastAsia="zh-CN"/>
        </w:rPr>
        <w:t>,</w:t>
      </w:r>
      <w:r w:rsidRPr="0093605C">
        <w:rPr>
          <w:rFonts w:ascii="Times New Roman" w:eastAsia="DengXian" w:hAnsi="Times New Roman" w:cs="Times New Roman"/>
          <w:color w:val="000000"/>
          <w:sz w:val="24"/>
          <w:szCs w:val="24"/>
          <w:lang w:eastAsia="zh-CN"/>
        </w:rPr>
        <w:t xml:space="preserve"> attributes on bank </w:t>
      </w:r>
      <w:r>
        <w:rPr>
          <w:rFonts w:ascii="Times New Roman" w:eastAsia="DengXian" w:hAnsi="Times New Roman" w:cs="Times New Roman"/>
          <w:color w:val="000000"/>
          <w:sz w:val="24"/>
          <w:szCs w:val="24"/>
          <w:lang w:eastAsia="zh-CN"/>
        </w:rPr>
        <w:t>misconduct</w:t>
      </w:r>
      <w:r w:rsidRPr="0093605C">
        <w:rPr>
          <w:rFonts w:ascii="Times New Roman" w:eastAsia="DengXian" w:hAnsi="Times New Roman" w:cs="Times New Roman"/>
          <w:color w:val="000000"/>
          <w:sz w:val="24"/>
          <w:szCs w:val="24"/>
          <w:lang w:eastAsia="zh-CN"/>
        </w:rPr>
        <w:t xml:space="preserve">. We find a gap in the literature, </w:t>
      </w:r>
      <w:r w:rsidR="00B13FB0">
        <w:rPr>
          <w:rFonts w:ascii="Times New Roman" w:eastAsia="DengXian" w:hAnsi="Times New Roman" w:cs="Times New Roman"/>
          <w:color w:val="000000"/>
          <w:sz w:val="24"/>
          <w:szCs w:val="24"/>
          <w:lang w:eastAsia="zh-CN"/>
        </w:rPr>
        <w:t>concentrating</w:t>
      </w:r>
      <w:r w:rsidRPr="0093605C">
        <w:rPr>
          <w:rFonts w:ascii="Times New Roman" w:eastAsia="DengXian" w:hAnsi="Times New Roman" w:cs="Times New Roman"/>
          <w:color w:val="000000"/>
          <w:sz w:val="24"/>
          <w:szCs w:val="24"/>
          <w:lang w:eastAsia="zh-CN"/>
        </w:rPr>
        <w:t xml:space="preserve"> primarily on </w:t>
      </w:r>
      <w:r>
        <w:rPr>
          <w:rFonts w:ascii="Times New Roman" w:eastAsia="DengXian" w:hAnsi="Times New Roman" w:cs="Times New Roman"/>
          <w:color w:val="000000"/>
          <w:sz w:val="24"/>
          <w:szCs w:val="24"/>
          <w:lang w:eastAsia="zh-CN"/>
        </w:rPr>
        <w:t xml:space="preserve">overall </w:t>
      </w:r>
      <w:r w:rsidRPr="0093605C">
        <w:rPr>
          <w:rFonts w:ascii="Times New Roman" w:eastAsia="DengXian" w:hAnsi="Times New Roman" w:cs="Times New Roman"/>
          <w:color w:val="000000"/>
          <w:sz w:val="24"/>
          <w:szCs w:val="24"/>
          <w:lang w:eastAsia="zh-CN"/>
        </w:rPr>
        <w:t xml:space="preserve">board attributes and bank misconduct (Arnaboldi et al., 2021, 2020; Zaman et al., 2021). </w:t>
      </w:r>
      <w:r w:rsidRPr="0093605C">
        <w:rPr>
          <w:rFonts w:ascii="Times New Roman" w:eastAsia="Calibri" w:hAnsi="Times New Roman" w:cs="Times New Roman"/>
          <w:sz w:val="24"/>
          <w:szCs w:val="24"/>
        </w:rPr>
        <w:t xml:space="preserve">Using the Violation Tracker database, we collect misconduct data for </w:t>
      </w:r>
      <w:r>
        <w:rPr>
          <w:rFonts w:ascii="Times New Roman" w:eastAsia="Calibri" w:hAnsi="Times New Roman" w:cs="Times New Roman"/>
          <w:sz w:val="24"/>
          <w:szCs w:val="24"/>
        </w:rPr>
        <w:t xml:space="preserve"> 69 </w:t>
      </w:r>
      <w:r w:rsidRPr="0093605C">
        <w:rPr>
          <w:rFonts w:ascii="Times New Roman" w:eastAsia="Calibri" w:hAnsi="Times New Roman" w:cs="Times New Roman"/>
          <w:sz w:val="24"/>
          <w:szCs w:val="24"/>
        </w:rPr>
        <w:t xml:space="preserve">U.S. banks and bank holding companies for 2004-2020. We measure the quality of independent directors by looking at heterogeneity in independent directors' attributes. We construct a heterogeneity index based on gender, financial experience, and tenure heterogeneity among independent directors. Our rationale for building an index is based on the argument that combining heterogeneity among various directors' attributes is an adequate criterion for evaluating independent director effectiveness on bank risk. We begin our analysis by showing the association among </w:t>
      </w:r>
      <w:r>
        <w:rPr>
          <w:rFonts w:ascii="Times New Roman" w:eastAsia="Calibri" w:hAnsi="Times New Roman" w:cs="Times New Roman"/>
          <w:sz w:val="24"/>
          <w:szCs w:val="24"/>
        </w:rPr>
        <w:t xml:space="preserve">gender, financial expertise and tenure </w:t>
      </w:r>
      <w:r w:rsidRPr="0093605C">
        <w:rPr>
          <w:rFonts w:ascii="Times New Roman" w:eastAsia="Calibri" w:hAnsi="Times New Roman" w:cs="Times New Roman"/>
          <w:sz w:val="24"/>
          <w:szCs w:val="24"/>
        </w:rPr>
        <w:t xml:space="preserve">heterogeneity in </w:t>
      </w:r>
      <w:r>
        <w:rPr>
          <w:rFonts w:ascii="Times New Roman" w:eastAsia="Calibri" w:hAnsi="Times New Roman" w:cs="Times New Roman"/>
          <w:sz w:val="24"/>
          <w:szCs w:val="24"/>
        </w:rPr>
        <w:t>independent director</w:t>
      </w:r>
      <w:r w:rsidR="00567377">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Pr="0093605C">
        <w:rPr>
          <w:rFonts w:ascii="Times New Roman" w:eastAsia="Calibri" w:hAnsi="Times New Roman" w:cs="Times New Roman"/>
          <w:sz w:val="24"/>
          <w:szCs w:val="24"/>
        </w:rPr>
        <w:t xml:space="preserve">attributes and bank misconduct and, finally, with the INED heterogeneity index. </w:t>
      </w:r>
      <w:r w:rsidR="0091261D" w:rsidRPr="0093605C">
        <w:rPr>
          <w:rFonts w:ascii="Times New Roman" w:eastAsia="Calibri" w:hAnsi="Times New Roman" w:cs="Times New Roman"/>
          <w:sz w:val="24"/>
          <w:szCs w:val="24"/>
        </w:rPr>
        <w:t>Subsequent</w:t>
      </w:r>
      <w:r w:rsidR="0091261D">
        <w:rPr>
          <w:rFonts w:ascii="Times New Roman" w:eastAsia="Calibri" w:hAnsi="Times New Roman" w:cs="Times New Roman"/>
          <w:sz w:val="24"/>
          <w:szCs w:val="24"/>
        </w:rPr>
        <w:t>ly</w:t>
      </w:r>
      <w:r w:rsidRPr="0093605C">
        <w:rPr>
          <w:rFonts w:ascii="Times New Roman" w:eastAsia="Calibri" w:hAnsi="Times New Roman" w:cs="Times New Roman"/>
          <w:sz w:val="24"/>
          <w:szCs w:val="24"/>
        </w:rPr>
        <w:t xml:space="preserve">, we </w:t>
      </w:r>
      <w:r w:rsidR="0091261D" w:rsidRPr="0093605C">
        <w:rPr>
          <w:rFonts w:ascii="Times New Roman" w:eastAsia="Calibri" w:hAnsi="Times New Roman" w:cs="Times New Roman"/>
          <w:sz w:val="24"/>
          <w:szCs w:val="24"/>
        </w:rPr>
        <w:t>probe</w:t>
      </w:r>
      <w:r w:rsidRPr="0093605C">
        <w:rPr>
          <w:rFonts w:ascii="Times New Roman" w:eastAsia="Calibri" w:hAnsi="Times New Roman" w:cs="Times New Roman"/>
          <w:sz w:val="24"/>
          <w:szCs w:val="24"/>
        </w:rPr>
        <w:t xml:space="preserve"> </w:t>
      </w:r>
      <w:r w:rsidR="0091261D">
        <w:rPr>
          <w:rFonts w:ascii="Times New Roman" w:eastAsia="Calibri" w:hAnsi="Times New Roman" w:cs="Times New Roman"/>
          <w:sz w:val="24"/>
          <w:szCs w:val="24"/>
        </w:rPr>
        <w:t>if</w:t>
      </w:r>
      <w:r w:rsidRPr="0093605C">
        <w:rPr>
          <w:rFonts w:ascii="Times New Roman" w:eastAsia="Calibri" w:hAnsi="Times New Roman" w:cs="Times New Roman"/>
          <w:sz w:val="24"/>
          <w:szCs w:val="24"/>
        </w:rPr>
        <w:t xml:space="preserve"> heterogeneity in independent director attributes has significantly reduced bank misconduct after the GFC 2007-2009. We further examine whether independent director heterogeneity leads to lower misconduct- in the presence of high information asymmetry. </w:t>
      </w:r>
    </w:p>
    <w:p w14:paraId="18E55492" w14:textId="6B65E861" w:rsidR="001A685A" w:rsidRDefault="001A685A" w:rsidP="001A685A">
      <w:pPr>
        <w:spacing w:line="480" w:lineRule="auto"/>
        <w:ind w:left="284"/>
        <w:jc w:val="both"/>
        <w:rPr>
          <w:rFonts w:ascii="Times New Roman" w:eastAsia="Calibri" w:hAnsi="Times New Roman" w:cs="Times New Roman"/>
          <w:sz w:val="24"/>
          <w:szCs w:val="24"/>
        </w:rPr>
      </w:pPr>
      <w:r w:rsidRPr="0093605C">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finding of </w:t>
      </w:r>
      <w:r w:rsidRPr="001A685A">
        <w:rPr>
          <w:rFonts w:ascii="Times New Roman" w:eastAsia="Calibri" w:hAnsi="Times New Roman" w:cs="Times New Roman"/>
          <w:i/>
          <w:iCs/>
          <w:sz w:val="24"/>
          <w:szCs w:val="24"/>
        </w:rPr>
        <w:t>Chapter 5</w:t>
      </w:r>
      <w:r w:rsidRPr="0093605C">
        <w:rPr>
          <w:rFonts w:ascii="Times New Roman" w:eastAsia="Calibri" w:hAnsi="Times New Roman" w:cs="Times New Roman"/>
          <w:sz w:val="24"/>
          <w:szCs w:val="24"/>
        </w:rPr>
        <w:t xml:space="preserve"> addresses the regulatory emphasis on governance structure as a tool for enhanced risk management. Conducting a study on INEDs attribute diversity, we contribute to the governance literature by providing the first empirical evidence of how independent directors can reduce bank misconduct. We show that heterogeneity in specific attributes of independent directors can be used to measure the quality of INED directors. In this way, we contribute by providing a practical solution to previous studies </w:t>
      </w:r>
      <w:r w:rsidR="00567377">
        <w:rPr>
          <w:rFonts w:ascii="Times New Roman" w:eastAsia="Calibri" w:hAnsi="Times New Roman" w:cs="Times New Roman"/>
          <w:sz w:val="24"/>
          <w:szCs w:val="24"/>
        </w:rPr>
        <w:t>which have only raised the concern regarding improving</w:t>
      </w:r>
      <w:r w:rsidRPr="0093605C">
        <w:rPr>
          <w:rFonts w:ascii="Times New Roman" w:eastAsia="Calibri" w:hAnsi="Times New Roman" w:cs="Times New Roman"/>
          <w:sz w:val="24"/>
          <w:szCs w:val="24"/>
        </w:rPr>
        <w:t xml:space="preserve"> the effectiveness of INED directors (Adams, 2012; Mehran et al., 2012). Our findings support the theory of Barananchuck and Dybvig (2009), which states that multiple aspects of board diversity jointly can explain corporate decisions in an improved manner. This finding is based on the argument that homogeneity among board members can result in more idiosyncratic decisions as it attracts less scrutinising within the board. Second, our study adds to the debate on gender heterogeneity and bank misconduct. As suggested in critical mass theory, i.e. women significantly impact corporate policies once they reach a specific number</w:t>
      </w:r>
      <w:r w:rsidR="00567377">
        <w:rPr>
          <w:rFonts w:ascii="Times New Roman" w:eastAsia="Calibri" w:hAnsi="Times New Roman" w:cs="Times New Roman"/>
          <w:sz w:val="24"/>
          <w:szCs w:val="24"/>
        </w:rPr>
        <w:t>. I</w:t>
      </w:r>
      <w:r w:rsidRPr="0093605C">
        <w:rPr>
          <w:rFonts w:ascii="Times New Roman" w:eastAsia="Calibri" w:hAnsi="Times New Roman" w:cs="Times New Roman"/>
          <w:sz w:val="24"/>
          <w:szCs w:val="24"/>
        </w:rPr>
        <w:t xml:space="preserve">n the same way, we provide evidence that the presence of women among INED can also result in lower misconduct. </w:t>
      </w:r>
      <w:r w:rsidR="00567377">
        <w:rPr>
          <w:rFonts w:ascii="Times New Roman" w:eastAsia="Calibri" w:hAnsi="Times New Roman" w:cs="Times New Roman"/>
          <w:sz w:val="24"/>
          <w:szCs w:val="24"/>
        </w:rPr>
        <w:t>Third, o</w:t>
      </w:r>
      <w:r w:rsidRPr="0093605C">
        <w:rPr>
          <w:rFonts w:ascii="Times New Roman" w:eastAsia="Calibri" w:hAnsi="Times New Roman" w:cs="Times New Roman"/>
          <w:sz w:val="24"/>
          <w:szCs w:val="24"/>
        </w:rPr>
        <w:t xml:space="preserve">ur study contributes to the emerging literature on how board financial expertise can reduce bank risk and improve corporate decision-making (Mollah et al., 2021; Gilani et al., 2021). </w:t>
      </w:r>
      <w:r w:rsidR="00567377">
        <w:rPr>
          <w:rFonts w:ascii="Times New Roman" w:eastAsia="Calibri" w:hAnsi="Times New Roman" w:cs="Times New Roman"/>
          <w:sz w:val="24"/>
          <w:szCs w:val="24"/>
        </w:rPr>
        <w:t xml:space="preserve">We suggest having independent board members with diverse financial experiences enhances the understanding of the complex business model of the banks and makes the interpretation of financial transactions and associated risks much more effortless.  </w:t>
      </w:r>
      <w:r w:rsidRPr="0093605C">
        <w:rPr>
          <w:rFonts w:ascii="Times New Roman" w:eastAsia="Calibri" w:hAnsi="Times New Roman" w:cs="Times New Roman"/>
          <w:sz w:val="24"/>
          <w:szCs w:val="24"/>
        </w:rPr>
        <w:t xml:space="preserve">Fourth, our study significantly contributes to the discussion regarding INED tenure heterogeneity and bank misconduct. Our results show that the tenure heterogeneity of INED reduces bank misconduct because, in this way, banks benefit from the knowledge and experience of senior and junior independent directors. </w:t>
      </w:r>
    </w:p>
    <w:p w14:paraId="7CE50BE7" w14:textId="50DF28B2" w:rsidR="00BF674A" w:rsidRPr="00BF674A" w:rsidRDefault="00BF674A" w:rsidP="00BF674A">
      <w:pPr>
        <w:spacing w:line="480" w:lineRule="auto"/>
        <w:ind w:left="284"/>
        <w:jc w:val="center"/>
        <w:rPr>
          <w:rFonts w:ascii="Times New Roman" w:eastAsia="Calibri" w:hAnsi="Times New Roman" w:cs="Times New Roman"/>
          <w:b/>
          <w:bCs/>
          <w:i/>
          <w:iCs/>
          <w:sz w:val="24"/>
          <w:szCs w:val="24"/>
        </w:rPr>
      </w:pPr>
      <w:r w:rsidRPr="00BF674A">
        <w:rPr>
          <w:rFonts w:ascii="Times New Roman" w:eastAsia="Calibri" w:hAnsi="Times New Roman" w:cs="Times New Roman"/>
          <w:b/>
          <w:bCs/>
          <w:i/>
          <w:iCs/>
          <w:sz w:val="24"/>
          <w:szCs w:val="24"/>
        </w:rPr>
        <w:t>Figure 1: Existing Literature on Risk Governance</w:t>
      </w:r>
    </w:p>
    <w:p w14:paraId="736A54C2" w14:textId="0E852D7F" w:rsidR="001A685A" w:rsidRDefault="00BF674A" w:rsidP="001A685A">
      <w:pPr>
        <w:rPr>
          <w:rFonts w:ascii="Times New Roman" w:eastAsia="Calibri" w:hAnsi="Times New Roman" w:cs="Times New Roman"/>
          <w:sz w:val="24"/>
          <w:szCs w:val="24"/>
        </w:rPr>
      </w:pPr>
      <w:r>
        <w:rPr>
          <w:rFonts w:ascii="Times New Roman" w:hAnsi="Times New Roman"/>
          <w:b/>
          <w:bCs/>
          <w:noProof/>
          <w:sz w:val="24"/>
          <w:szCs w:val="24"/>
        </w:rPr>
        <mc:AlternateContent>
          <mc:Choice Requires="wps">
            <w:drawing>
              <wp:anchor distT="0" distB="0" distL="114300" distR="114300" simplePos="0" relativeHeight="251662336" behindDoc="0" locked="0" layoutInCell="1" allowOverlap="1" wp14:anchorId="508CEC71" wp14:editId="0680EBAE">
                <wp:simplePos x="0" y="0"/>
                <wp:positionH relativeFrom="margin">
                  <wp:posOffset>92710</wp:posOffset>
                </wp:positionH>
                <wp:positionV relativeFrom="paragraph">
                  <wp:posOffset>643890</wp:posOffset>
                </wp:positionV>
                <wp:extent cx="6008370" cy="3192145"/>
                <wp:effectExtent l="0" t="0" r="11430" b="27305"/>
                <wp:wrapSquare wrapText="bothSides"/>
                <wp:docPr id="193161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8370" cy="3192145"/>
                        </a:xfrm>
                        <a:prstGeom prst="rect">
                          <a:avLst/>
                        </a:prstGeom>
                        <a:solidFill>
                          <a:srgbClr val="FFFFFF"/>
                        </a:solidFill>
                        <a:ln w="9528">
                          <a:solidFill>
                            <a:srgbClr val="000000"/>
                          </a:solidFill>
                          <a:prstDash val="solid"/>
                        </a:ln>
                      </wps:spPr>
                      <wps:txbx>
                        <w:txbxContent>
                          <w:p w14:paraId="5DE85B31" w14:textId="1D1AB817" w:rsidR="00BF674A" w:rsidRDefault="00BF674A" w:rsidP="00BF674A">
                            <w:pPr>
                              <w:jc w:val="center"/>
                            </w:pPr>
                            <w:r w:rsidRPr="00324BC4">
                              <w:rPr>
                                <w:noProof/>
                              </w:rPr>
                              <w:drawing>
                                <wp:inline distT="0" distB="0" distL="0" distR="0" wp14:anchorId="463798A9" wp14:editId="22202DC1">
                                  <wp:extent cx="5129148" cy="2887725"/>
                                  <wp:effectExtent l="0" t="0" r="0" b="8255"/>
                                  <wp:docPr id="1922256234" name="Picture 1922256234" descr="Figure 1: Existing Literature on Risk Govern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560574" name="Picture 1" descr="Figure 1: Existing Literature on Risk Governance"/>
                                          <pic:cNvPicPr/>
                                        </pic:nvPicPr>
                                        <pic:blipFill>
                                          <a:blip r:embed="rId12"/>
                                          <a:stretch>
                                            <a:fillRect/>
                                          </a:stretch>
                                        </pic:blipFill>
                                        <pic:spPr>
                                          <a:xfrm>
                                            <a:off x="0" y="0"/>
                                            <a:ext cx="5128895" cy="2887345"/>
                                          </a:xfrm>
                                          <a:prstGeom prst="rect">
                                            <a:avLst/>
                                          </a:prstGeom>
                                          <a:noFill/>
                                          <a:ln>
                                            <a:noFill/>
                                            <a:prstDash/>
                                          </a:ln>
                                        </pic:spPr>
                                      </pic:pic>
                                    </a:graphicData>
                                  </a:graphic>
                                </wp:inline>
                              </w:drawing>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08CEC71" id="_x0000_t202" coordsize="21600,21600" o:spt="202" path="m,l,21600r21600,l21600,xe">
                <v:stroke joinstyle="miter"/>
                <v:path gradientshapeok="t" o:connecttype="rect"/>
              </v:shapetype>
              <v:shape id="Text Box 2" o:spid="_x0000_s1026" type="#_x0000_t202" style="position:absolute;margin-left:7.3pt;margin-top:50.7pt;width:473.1pt;height:25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Ps7wEAAO0DAAAOAAAAZHJzL2Uyb0RvYy54bWysU8GO0zAQvSPxD5bvNGm33W2jpivYqgip&#10;AqSyH+A6ThPheIzHbVK+nrET2sLCBZGD48lMnt97M14+do1mJ+WwBpPz8SjlTBkJRW0OOX/+snkz&#10;5wy9MIXQYFTOzwr54+r1q2VrMzWBCnShHCMQg1lrc155b7MkQVmpRuAIrDKULME1wlPoDknhREvo&#10;jU4maXqftOAK60AqRPq67pN8FfHLUkn/qSxReaZzTtx8XF1c92FNVkuRHZywVS0HGuIfWDSiNnTo&#10;BWotvGBHV7+AamrpAKH0IwlNAmVZSxU1kJpx+puaXSWsilrIHLQXm/D/wcqPp5397Jjv3kFHDYwi&#10;0G5BfkXyJmktZkNN8BQzpOogtCtdE94kgdGP5O354qfqPJP08T5N53cPlJKUuxsvJuPpLDieXH+3&#10;Dv17BQ0Lm5w7alikIE5b9H3pz5JwGoKui02tdQzcYf+kHTsJau4mPgP6L2XasDbni9lk3ov7K0Qa&#10;nz9BBAprgVV/VEQfyrQZTOp9CQ75bt8R87DdQ3Emc+l+kLYK3HfOWpq1nOO3o3CKM/3BUDMX4+k0&#10;DGcMprOHCQXuNrO/zQgjCSrnnrN+++T7gaaJssJvzc7K0IpgkYG3Rw9lHa28Mho400zFZgzzH4b2&#10;No5V11u6+gEAAP//AwBQSwMEFAAGAAgAAAAhADEydy/cAAAACgEAAA8AAABkcnMvZG93bnJldi54&#10;bWxMj89OhDAQxu8mvkMzJt7cFkPIipTNxkSN3tzdByh0BCKdAu2y4NM7nvQ0+TK/fH+K3eJ6MeMU&#10;Ok8ako0CgVR721Gj4XR8vtuCCNGQNb0n1LBigF15fVWY3PoLfeB8iI1gEwq50dDGOORShrpFZ8LG&#10;D0j8+/STM5Hl1Eg7mQubu17eK5VJZzrihNYM+NRi/XU4Ow3f3XwiXKvt6/7tZZXufUyXcdT69mbZ&#10;P4KIuMQ/GH7rc3UouVPlz2SD6FmnGZN8VZKCYOAhU7yl0pCpNAFZFvL/hPIHAAD//wMAUEsBAi0A&#10;FAAGAAgAAAAhALaDOJL+AAAA4QEAABMAAAAAAAAAAAAAAAAAAAAAAFtDb250ZW50X1R5cGVzXS54&#10;bWxQSwECLQAUAAYACAAAACEAOP0h/9YAAACUAQAACwAAAAAAAAAAAAAAAAAvAQAAX3JlbHMvLnJl&#10;bHNQSwECLQAUAAYACAAAACEAfHZD7O8BAADtAwAADgAAAAAAAAAAAAAAAAAuAgAAZHJzL2Uyb0Rv&#10;Yy54bWxQSwECLQAUAAYACAAAACEAMTJ3L9wAAAAKAQAADwAAAAAAAAAAAAAAAABJBAAAZHJzL2Rv&#10;d25yZXYueG1sUEsFBgAAAAAEAAQA8wAAAFIFAAAAAA==&#10;" strokeweight=".26467mm">
                <v:path arrowok="t"/>
                <v:textbox>
                  <w:txbxContent>
                    <w:p w14:paraId="5DE85B31" w14:textId="1D1AB817" w:rsidR="00BF674A" w:rsidRDefault="00BF674A" w:rsidP="00BF674A">
                      <w:pPr>
                        <w:jc w:val="center"/>
                      </w:pPr>
                      <w:r w:rsidRPr="00324BC4">
                        <w:rPr>
                          <w:noProof/>
                        </w:rPr>
                        <w:drawing>
                          <wp:inline distT="0" distB="0" distL="0" distR="0" wp14:anchorId="463798A9" wp14:editId="22202DC1">
                            <wp:extent cx="5129148" cy="2887725"/>
                            <wp:effectExtent l="0" t="0" r="0" b="8255"/>
                            <wp:docPr id="1922256234" name="Picture 1922256234" descr="Figure 1: Existing Literature on Risk Govern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560574" name="Picture 1" descr="Figure 1: Existing Literature on Risk Governance"/>
                                    <pic:cNvPicPr/>
                                  </pic:nvPicPr>
                                  <pic:blipFill>
                                    <a:blip r:embed="rId13"/>
                                    <a:stretch>
                                      <a:fillRect/>
                                    </a:stretch>
                                  </pic:blipFill>
                                  <pic:spPr>
                                    <a:xfrm>
                                      <a:off x="0" y="0"/>
                                      <a:ext cx="5128895" cy="2887345"/>
                                    </a:xfrm>
                                    <a:prstGeom prst="rect">
                                      <a:avLst/>
                                    </a:prstGeom>
                                    <a:noFill/>
                                    <a:ln>
                                      <a:noFill/>
                                      <a:prstDash/>
                                    </a:ln>
                                  </pic:spPr>
                                </pic:pic>
                              </a:graphicData>
                            </a:graphic>
                          </wp:inline>
                        </w:drawing>
                      </w:r>
                    </w:p>
                  </w:txbxContent>
                </v:textbox>
                <w10:wrap type="square" anchorx="margin"/>
              </v:shape>
            </w:pict>
          </mc:Fallback>
        </mc:AlternateContent>
      </w:r>
      <w:r w:rsidR="001A685A" w:rsidRPr="0093605C">
        <w:rPr>
          <w:rFonts w:ascii="Times New Roman" w:eastAsia="Calibri" w:hAnsi="Times New Roman" w:cs="Times New Roman"/>
          <w:sz w:val="24"/>
          <w:szCs w:val="24"/>
        </w:rPr>
        <w:br w:type="page"/>
      </w:r>
    </w:p>
    <w:p w14:paraId="798C81CE" w14:textId="5D7F7295" w:rsidR="00BF674A" w:rsidRPr="00BF674A" w:rsidRDefault="00BF674A" w:rsidP="00BF674A">
      <w:pPr>
        <w:jc w:val="center"/>
        <w:rPr>
          <w:rFonts w:ascii="Times New Roman" w:eastAsia="Calibri" w:hAnsi="Times New Roman" w:cs="Times New Roman"/>
          <w:b/>
          <w:bCs/>
          <w:i/>
          <w:iCs/>
          <w:sz w:val="24"/>
          <w:szCs w:val="24"/>
          <w:u w:val="single"/>
        </w:rPr>
      </w:pPr>
      <w:bookmarkStart w:id="16" w:name="_Hlk145615760"/>
      <w:r w:rsidRPr="00BF674A">
        <w:rPr>
          <w:rFonts w:ascii="Times New Roman" w:eastAsia="Calibri" w:hAnsi="Times New Roman" w:cs="Times New Roman"/>
          <w:b/>
          <w:bCs/>
          <w:i/>
          <w:iCs/>
          <w:sz w:val="24"/>
          <w:szCs w:val="24"/>
          <w:u w:val="single"/>
        </w:rPr>
        <w:t xml:space="preserve">Figure2: Contribution in Empirical Chapter </w:t>
      </w:r>
      <w:r w:rsidR="00BB22FA">
        <w:rPr>
          <w:rFonts w:ascii="Times New Roman" w:eastAsia="Calibri" w:hAnsi="Times New Roman" w:cs="Times New Roman"/>
          <w:b/>
          <w:bCs/>
          <w:i/>
          <w:iCs/>
          <w:sz w:val="24"/>
          <w:szCs w:val="24"/>
          <w:u w:val="single"/>
        </w:rPr>
        <w:t>3</w:t>
      </w:r>
    </w:p>
    <w:bookmarkEnd w:id="15"/>
    <w:bookmarkEnd w:id="16"/>
    <w:p w14:paraId="24B7B067" w14:textId="546977E1" w:rsidR="007071D3" w:rsidRDefault="007071D3" w:rsidP="007071D3">
      <w:pPr>
        <w:rPr>
          <w:rFonts w:ascii="Times New Roman" w:hAnsi="Times New Roman"/>
          <w:b/>
          <w:bCs/>
          <w:sz w:val="24"/>
          <w:szCs w:val="24"/>
        </w:rPr>
      </w:pPr>
    </w:p>
    <w:p w14:paraId="5421E719" w14:textId="37AFBC7C" w:rsidR="007071D3" w:rsidRDefault="00896883" w:rsidP="007071D3">
      <w:pPr>
        <w:rPr>
          <w:rFonts w:ascii="Times New Roman" w:hAnsi="Times New Roman"/>
          <w:b/>
          <w:bCs/>
          <w:sz w:val="24"/>
          <w:szCs w:val="24"/>
        </w:rPr>
      </w:pPr>
      <w:r>
        <w:rPr>
          <w:noProof/>
        </w:rPr>
        <w:drawing>
          <wp:inline distT="0" distB="0" distL="0" distR="0" wp14:anchorId="6BDEAA06" wp14:editId="4ED89A1C">
            <wp:extent cx="6016625" cy="3384550"/>
            <wp:effectExtent l="0" t="0" r="3175" b="6350"/>
            <wp:docPr id="961318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1899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016625" cy="3384550"/>
                    </a:xfrm>
                    <a:prstGeom prst="rect">
                      <a:avLst/>
                    </a:prstGeom>
                  </pic:spPr>
                </pic:pic>
              </a:graphicData>
            </a:graphic>
          </wp:inline>
        </w:drawing>
      </w:r>
    </w:p>
    <w:p w14:paraId="6F94DC37" w14:textId="0CC5FF9B" w:rsidR="00BF674A" w:rsidRDefault="00BF674A" w:rsidP="007071D3">
      <w:pPr>
        <w:rPr>
          <w:rFonts w:ascii="Times New Roman" w:hAnsi="Times New Roman"/>
          <w:b/>
          <w:bCs/>
          <w:sz w:val="24"/>
          <w:szCs w:val="24"/>
        </w:rPr>
      </w:pPr>
    </w:p>
    <w:p w14:paraId="3BB16869" w14:textId="3E086554" w:rsidR="00BF674A" w:rsidRPr="00BF674A" w:rsidRDefault="00BF674A" w:rsidP="00BF674A">
      <w:pPr>
        <w:jc w:val="center"/>
        <w:rPr>
          <w:rFonts w:ascii="Times New Roman" w:hAnsi="Times New Roman"/>
          <w:b/>
          <w:bCs/>
          <w:i/>
          <w:iCs/>
          <w:sz w:val="24"/>
          <w:szCs w:val="24"/>
          <w:u w:val="single"/>
        </w:rPr>
      </w:pPr>
      <w:bookmarkStart w:id="17" w:name="_Hlk145606736"/>
      <w:r w:rsidRPr="00BF674A">
        <w:rPr>
          <w:rFonts w:ascii="Times New Roman" w:hAnsi="Times New Roman"/>
          <w:b/>
          <w:bCs/>
          <w:i/>
          <w:iCs/>
          <w:sz w:val="24"/>
          <w:szCs w:val="24"/>
          <w:u w:val="single"/>
        </w:rPr>
        <w:t xml:space="preserve">Figure </w:t>
      </w:r>
      <w:r w:rsidR="002A4845">
        <w:rPr>
          <w:rFonts w:ascii="Times New Roman" w:hAnsi="Times New Roman"/>
          <w:b/>
          <w:bCs/>
          <w:i/>
          <w:iCs/>
          <w:sz w:val="24"/>
          <w:szCs w:val="24"/>
          <w:u w:val="single"/>
        </w:rPr>
        <w:t>3</w:t>
      </w:r>
      <w:r w:rsidRPr="00BF674A">
        <w:rPr>
          <w:rFonts w:ascii="Times New Roman" w:hAnsi="Times New Roman"/>
          <w:b/>
          <w:bCs/>
          <w:i/>
          <w:iCs/>
          <w:sz w:val="24"/>
          <w:szCs w:val="24"/>
          <w:u w:val="single"/>
        </w:rPr>
        <w:t xml:space="preserve">: Contribution in Empirical Chapter </w:t>
      </w:r>
      <w:r w:rsidR="00896883">
        <w:rPr>
          <w:rFonts w:ascii="Times New Roman" w:hAnsi="Times New Roman"/>
          <w:b/>
          <w:bCs/>
          <w:i/>
          <w:iCs/>
          <w:sz w:val="24"/>
          <w:szCs w:val="24"/>
          <w:u w:val="single"/>
        </w:rPr>
        <w:t>4</w:t>
      </w:r>
    </w:p>
    <w:bookmarkEnd w:id="17"/>
    <w:p w14:paraId="2A9AB6DB" w14:textId="0C537E66" w:rsidR="00BF674A" w:rsidRDefault="00896883" w:rsidP="007071D3">
      <w:pPr>
        <w:rPr>
          <w:rFonts w:ascii="Times New Roman" w:hAnsi="Times New Roman"/>
          <w:b/>
          <w:bCs/>
          <w:sz w:val="24"/>
          <w:szCs w:val="24"/>
        </w:rPr>
      </w:pPr>
      <w:r>
        <w:rPr>
          <w:noProof/>
        </w:rPr>
        <w:drawing>
          <wp:inline distT="0" distB="0" distL="0" distR="0" wp14:anchorId="7A24CFCA" wp14:editId="7B1A09CD">
            <wp:extent cx="6016625" cy="3384550"/>
            <wp:effectExtent l="0" t="0" r="3175" b="6350"/>
            <wp:docPr id="51087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00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016625" cy="3384550"/>
                    </a:xfrm>
                    <a:prstGeom prst="rect">
                      <a:avLst/>
                    </a:prstGeom>
                  </pic:spPr>
                </pic:pic>
              </a:graphicData>
            </a:graphic>
          </wp:inline>
        </w:drawing>
      </w:r>
    </w:p>
    <w:p w14:paraId="35E6B702" w14:textId="1DD6CB5C" w:rsidR="00BF674A" w:rsidRDefault="00BF674A">
      <w:pPr>
        <w:rPr>
          <w:rFonts w:ascii="Times New Roman" w:hAnsi="Times New Roman"/>
          <w:b/>
          <w:bCs/>
          <w:sz w:val="24"/>
          <w:szCs w:val="24"/>
        </w:rPr>
      </w:pPr>
      <w:r>
        <w:rPr>
          <w:rFonts w:ascii="Times New Roman" w:hAnsi="Times New Roman"/>
          <w:b/>
          <w:bCs/>
          <w:sz w:val="24"/>
          <w:szCs w:val="24"/>
        </w:rPr>
        <w:br w:type="page"/>
      </w:r>
    </w:p>
    <w:p w14:paraId="539E6013" w14:textId="7D28E5D4" w:rsidR="00BF674A" w:rsidRPr="00BB22FA" w:rsidRDefault="00BF674A" w:rsidP="00BB22FA">
      <w:pPr>
        <w:jc w:val="center"/>
        <w:rPr>
          <w:rFonts w:ascii="Times New Roman" w:hAnsi="Times New Roman"/>
          <w:b/>
          <w:bCs/>
          <w:i/>
          <w:iCs/>
          <w:sz w:val="24"/>
          <w:szCs w:val="24"/>
          <w:u w:val="single"/>
        </w:rPr>
      </w:pPr>
      <w:bookmarkStart w:id="18" w:name="_Hlk145615892"/>
      <w:r w:rsidRPr="00BB22FA">
        <w:rPr>
          <w:rFonts w:ascii="Times New Roman" w:hAnsi="Times New Roman"/>
          <w:b/>
          <w:bCs/>
          <w:i/>
          <w:iCs/>
          <w:sz w:val="24"/>
          <w:szCs w:val="24"/>
          <w:u w:val="single"/>
        </w:rPr>
        <w:t xml:space="preserve">Figure </w:t>
      </w:r>
      <w:r w:rsidR="002A4845">
        <w:rPr>
          <w:rFonts w:ascii="Times New Roman" w:hAnsi="Times New Roman"/>
          <w:b/>
          <w:bCs/>
          <w:i/>
          <w:iCs/>
          <w:sz w:val="24"/>
          <w:szCs w:val="24"/>
          <w:u w:val="single"/>
        </w:rPr>
        <w:t>4</w:t>
      </w:r>
      <w:r w:rsidRPr="00BB22FA">
        <w:rPr>
          <w:rFonts w:ascii="Times New Roman" w:hAnsi="Times New Roman"/>
          <w:b/>
          <w:bCs/>
          <w:i/>
          <w:iCs/>
          <w:sz w:val="24"/>
          <w:szCs w:val="24"/>
          <w:u w:val="single"/>
        </w:rPr>
        <w:t xml:space="preserve">: Contribution in Empirical Chapter </w:t>
      </w:r>
      <w:r w:rsidR="00896883">
        <w:rPr>
          <w:rFonts w:ascii="Times New Roman" w:hAnsi="Times New Roman"/>
          <w:b/>
          <w:bCs/>
          <w:i/>
          <w:iCs/>
          <w:sz w:val="24"/>
          <w:szCs w:val="24"/>
          <w:u w:val="single"/>
        </w:rPr>
        <w:t>5</w:t>
      </w:r>
    </w:p>
    <w:bookmarkEnd w:id="18"/>
    <w:p w14:paraId="7768A15E" w14:textId="77777777" w:rsidR="00BF674A" w:rsidRDefault="00BF674A" w:rsidP="007071D3">
      <w:pPr>
        <w:rPr>
          <w:rFonts w:ascii="Times New Roman" w:hAnsi="Times New Roman"/>
          <w:b/>
          <w:bCs/>
          <w:sz w:val="24"/>
          <w:szCs w:val="24"/>
        </w:rPr>
      </w:pPr>
    </w:p>
    <w:p w14:paraId="2F57010F" w14:textId="6935926C" w:rsidR="00896883" w:rsidRDefault="002A4845" w:rsidP="007071D3">
      <w:pPr>
        <w:rPr>
          <w:noProof/>
        </w:rPr>
      </w:pPr>
      <w:r>
        <w:rPr>
          <w:noProof/>
        </w:rPr>
        <w:drawing>
          <wp:inline distT="0" distB="0" distL="0" distR="0" wp14:anchorId="473F33F8" wp14:editId="5E2D03C7">
            <wp:extent cx="6016625" cy="3384550"/>
            <wp:effectExtent l="0" t="0" r="3175" b="6350"/>
            <wp:docPr id="10418410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4103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016625" cy="3384550"/>
                    </a:xfrm>
                    <a:prstGeom prst="rect">
                      <a:avLst/>
                    </a:prstGeom>
                  </pic:spPr>
                </pic:pic>
              </a:graphicData>
            </a:graphic>
          </wp:inline>
        </w:drawing>
      </w:r>
    </w:p>
    <w:p w14:paraId="141304B4" w14:textId="412C4CBD" w:rsidR="009C7DF2" w:rsidRPr="009E69CE" w:rsidRDefault="009C7DF2" w:rsidP="007071D3">
      <w:pPr>
        <w:rPr>
          <w:rFonts w:ascii="Times New Roman" w:hAnsi="Times New Roman"/>
          <w:b/>
          <w:bCs/>
          <w:sz w:val="24"/>
          <w:szCs w:val="24"/>
        </w:rPr>
      </w:pPr>
      <w:r w:rsidRPr="009E69CE">
        <w:rPr>
          <w:rFonts w:ascii="Times New Roman" w:hAnsi="Times New Roman"/>
          <w:b/>
          <w:bCs/>
          <w:sz w:val="24"/>
          <w:szCs w:val="24"/>
        </w:rPr>
        <w:br w:type="page"/>
      </w:r>
    </w:p>
    <w:p w14:paraId="60DF5EDE" w14:textId="00D28C9C" w:rsidR="00DB6C09" w:rsidRDefault="00DB6C09" w:rsidP="00624886">
      <w:pPr>
        <w:spacing w:line="480" w:lineRule="auto"/>
        <w:jc w:val="both"/>
        <w:rPr>
          <w:rFonts w:ascii="Times New Roman" w:hAnsi="Times New Roman" w:cs="Times New Roman"/>
          <w:sz w:val="24"/>
          <w:szCs w:val="24"/>
        </w:rPr>
      </w:pPr>
    </w:p>
    <w:p w14:paraId="5D5360BA" w14:textId="437E36D8" w:rsidR="009C7DF2" w:rsidRPr="003C7034" w:rsidRDefault="009C7DF2" w:rsidP="003C7034">
      <w:pPr>
        <w:pStyle w:val="ListParagraph"/>
        <w:numPr>
          <w:ilvl w:val="1"/>
          <w:numId w:val="12"/>
        </w:numPr>
        <w:spacing w:line="480" w:lineRule="auto"/>
        <w:jc w:val="both"/>
        <w:rPr>
          <w:rFonts w:ascii="Times New Roman" w:hAnsi="Times New Roman"/>
          <w:b/>
          <w:bCs/>
          <w:sz w:val="32"/>
          <w:szCs w:val="32"/>
        </w:rPr>
      </w:pPr>
      <w:bookmarkStart w:id="19" w:name="_Toc145616166"/>
      <w:r w:rsidRPr="003C7034">
        <w:rPr>
          <w:rStyle w:val="Heading2Char"/>
          <w:sz w:val="32"/>
          <w:szCs w:val="32"/>
        </w:rPr>
        <w:t>Thesis Structure</w:t>
      </w:r>
      <w:bookmarkEnd w:id="19"/>
      <w:r w:rsidRPr="003C7034">
        <w:rPr>
          <w:rFonts w:ascii="Times New Roman" w:hAnsi="Times New Roman"/>
          <w:b/>
          <w:bCs/>
          <w:sz w:val="32"/>
          <w:szCs w:val="32"/>
        </w:rPr>
        <w:t xml:space="preserve"> </w:t>
      </w:r>
    </w:p>
    <w:p w14:paraId="1C5D7D8C" w14:textId="354733D7" w:rsidR="00E96A5E" w:rsidRDefault="009C7DF2" w:rsidP="00624886">
      <w:pPr>
        <w:spacing w:line="480" w:lineRule="auto"/>
        <w:jc w:val="both"/>
        <w:rPr>
          <w:rFonts w:ascii="Times New Roman" w:hAnsi="Times New Roman" w:cs="Times New Roman"/>
          <w:sz w:val="24"/>
          <w:szCs w:val="24"/>
        </w:rPr>
      </w:pPr>
      <w:r w:rsidRPr="00A0792C">
        <w:rPr>
          <w:rFonts w:ascii="Times New Roman" w:hAnsi="Times New Roman" w:cs="Times New Roman"/>
          <w:sz w:val="24"/>
          <w:szCs w:val="24"/>
        </w:rPr>
        <w:t>The thesis is structured by first presenting the theoretical framework. In the second chapter</w:t>
      </w:r>
      <w:r w:rsidR="008E63B2" w:rsidRPr="00A0792C">
        <w:rPr>
          <w:rFonts w:ascii="Times New Roman" w:hAnsi="Times New Roman" w:cs="Times New Roman"/>
          <w:sz w:val="24"/>
          <w:szCs w:val="24"/>
        </w:rPr>
        <w:t xml:space="preserve"> (</w:t>
      </w:r>
      <w:r w:rsidR="008E63B2" w:rsidRPr="00567377">
        <w:rPr>
          <w:rFonts w:ascii="Times New Roman" w:hAnsi="Times New Roman" w:cs="Times New Roman"/>
          <w:b/>
          <w:bCs/>
          <w:i/>
          <w:iCs/>
          <w:sz w:val="24"/>
          <w:szCs w:val="24"/>
        </w:rPr>
        <w:t>Chapter</w:t>
      </w:r>
      <w:r w:rsidR="00567377" w:rsidRPr="00567377">
        <w:rPr>
          <w:rFonts w:ascii="Times New Roman" w:hAnsi="Times New Roman" w:cs="Times New Roman"/>
          <w:b/>
          <w:bCs/>
          <w:i/>
          <w:iCs/>
          <w:sz w:val="24"/>
          <w:szCs w:val="24"/>
        </w:rPr>
        <w:t xml:space="preserve"> </w:t>
      </w:r>
      <w:r w:rsidR="008E63B2" w:rsidRPr="00567377">
        <w:rPr>
          <w:rFonts w:ascii="Times New Roman" w:hAnsi="Times New Roman" w:cs="Times New Roman"/>
          <w:b/>
          <w:bCs/>
          <w:i/>
          <w:iCs/>
          <w:sz w:val="24"/>
          <w:szCs w:val="24"/>
        </w:rPr>
        <w:t>2</w:t>
      </w:r>
      <w:r w:rsidR="008E63B2" w:rsidRPr="00A0792C">
        <w:rPr>
          <w:rFonts w:ascii="Times New Roman" w:hAnsi="Times New Roman" w:cs="Times New Roman"/>
          <w:sz w:val="24"/>
          <w:szCs w:val="24"/>
        </w:rPr>
        <w:t>)</w:t>
      </w:r>
      <w:r w:rsidRPr="00A0792C">
        <w:rPr>
          <w:rFonts w:ascii="Times New Roman" w:hAnsi="Times New Roman" w:cs="Times New Roman"/>
          <w:sz w:val="24"/>
          <w:szCs w:val="24"/>
        </w:rPr>
        <w:t xml:space="preserve">, we discuss the theoretical lens of our research question and proposed solution.  We then present three stand-alone but interlinked chapters. In </w:t>
      </w:r>
      <w:r w:rsidR="008E63B2" w:rsidRPr="00567377">
        <w:rPr>
          <w:rFonts w:ascii="Times New Roman" w:hAnsi="Times New Roman" w:cs="Times New Roman"/>
          <w:b/>
          <w:bCs/>
          <w:i/>
          <w:iCs/>
          <w:sz w:val="24"/>
          <w:szCs w:val="24"/>
        </w:rPr>
        <w:t>Chapter</w:t>
      </w:r>
      <w:r w:rsidR="00567377">
        <w:rPr>
          <w:rFonts w:ascii="Times New Roman" w:hAnsi="Times New Roman" w:cs="Times New Roman"/>
          <w:b/>
          <w:bCs/>
          <w:i/>
          <w:iCs/>
          <w:sz w:val="24"/>
          <w:szCs w:val="24"/>
        </w:rPr>
        <w:t xml:space="preserve"> </w:t>
      </w:r>
      <w:r w:rsidR="008E63B2" w:rsidRPr="00567377">
        <w:rPr>
          <w:rFonts w:ascii="Times New Roman" w:hAnsi="Times New Roman" w:cs="Times New Roman"/>
          <w:b/>
          <w:bCs/>
          <w:i/>
          <w:iCs/>
          <w:sz w:val="24"/>
          <w:szCs w:val="24"/>
        </w:rPr>
        <w:t>3</w:t>
      </w:r>
      <w:r w:rsidRPr="00A0792C">
        <w:rPr>
          <w:rFonts w:ascii="Times New Roman" w:hAnsi="Times New Roman" w:cs="Times New Roman"/>
          <w:sz w:val="24"/>
          <w:szCs w:val="24"/>
        </w:rPr>
        <w:t xml:space="preserve">, we examine the </w:t>
      </w:r>
      <w:r w:rsidR="008E63B2" w:rsidRPr="00A0792C">
        <w:rPr>
          <w:rFonts w:ascii="Times New Roman" w:hAnsi="Times New Roman" w:cs="Times New Roman"/>
          <w:sz w:val="24"/>
          <w:szCs w:val="24"/>
        </w:rPr>
        <w:t>impact</w:t>
      </w:r>
      <w:r w:rsidRPr="00A0792C">
        <w:rPr>
          <w:rFonts w:ascii="Times New Roman" w:hAnsi="Times New Roman" w:cs="Times New Roman"/>
          <w:sz w:val="24"/>
          <w:szCs w:val="24"/>
        </w:rPr>
        <w:t xml:space="preserve"> of female CROs on bank risk. In the fourth chapter</w:t>
      </w:r>
      <w:r w:rsidR="008E63B2" w:rsidRPr="00A0792C">
        <w:rPr>
          <w:rFonts w:ascii="Times New Roman" w:hAnsi="Times New Roman" w:cs="Times New Roman"/>
          <w:sz w:val="24"/>
          <w:szCs w:val="24"/>
        </w:rPr>
        <w:t xml:space="preserve"> (</w:t>
      </w:r>
      <w:r w:rsidR="008E63B2" w:rsidRPr="00567377">
        <w:rPr>
          <w:rFonts w:ascii="Times New Roman" w:hAnsi="Times New Roman" w:cs="Times New Roman"/>
          <w:b/>
          <w:bCs/>
          <w:i/>
          <w:iCs/>
          <w:sz w:val="24"/>
          <w:szCs w:val="24"/>
        </w:rPr>
        <w:t>Chapter</w:t>
      </w:r>
      <w:r w:rsidR="00567377" w:rsidRPr="00567377">
        <w:rPr>
          <w:rFonts w:ascii="Times New Roman" w:hAnsi="Times New Roman" w:cs="Times New Roman"/>
          <w:b/>
          <w:bCs/>
          <w:i/>
          <w:iCs/>
          <w:sz w:val="24"/>
          <w:szCs w:val="24"/>
        </w:rPr>
        <w:t xml:space="preserve"> </w:t>
      </w:r>
      <w:r w:rsidR="008E63B2" w:rsidRPr="00567377">
        <w:rPr>
          <w:rFonts w:ascii="Times New Roman" w:hAnsi="Times New Roman" w:cs="Times New Roman"/>
          <w:b/>
          <w:bCs/>
          <w:i/>
          <w:iCs/>
          <w:sz w:val="24"/>
          <w:szCs w:val="24"/>
        </w:rPr>
        <w:t>4</w:t>
      </w:r>
      <w:r w:rsidR="008E63B2" w:rsidRPr="00A0792C">
        <w:rPr>
          <w:rFonts w:ascii="Times New Roman" w:hAnsi="Times New Roman" w:cs="Times New Roman"/>
          <w:sz w:val="24"/>
          <w:szCs w:val="24"/>
        </w:rPr>
        <w:t>)</w:t>
      </w:r>
      <w:r w:rsidRPr="00A0792C">
        <w:rPr>
          <w:rFonts w:ascii="Times New Roman" w:hAnsi="Times New Roman" w:cs="Times New Roman"/>
          <w:sz w:val="24"/>
          <w:szCs w:val="24"/>
        </w:rPr>
        <w:t>, we</w:t>
      </w:r>
      <w:r w:rsidR="008E63B2" w:rsidRPr="00A0792C">
        <w:rPr>
          <w:rFonts w:ascii="Times New Roman" w:hAnsi="Times New Roman" w:cs="Times New Roman"/>
          <w:sz w:val="24"/>
          <w:szCs w:val="24"/>
        </w:rPr>
        <w:t xml:space="preserve"> </w:t>
      </w:r>
      <w:r w:rsidRPr="00A0792C">
        <w:rPr>
          <w:rFonts w:ascii="Times New Roman" w:hAnsi="Times New Roman" w:cs="Times New Roman"/>
          <w:sz w:val="24"/>
          <w:szCs w:val="24"/>
        </w:rPr>
        <w:t xml:space="preserve">test the </w:t>
      </w:r>
      <w:r w:rsidR="008E63B2" w:rsidRPr="00A0792C">
        <w:rPr>
          <w:rFonts w:ascii="Times New Roman" w:hAnsi="Times New Roman" w:cs="Times New Roman"/>
          <w:sz w:val="24"/>
          <w:szCs w:val="24"/>
        </w:rPr>
        <w:t xml:space="preserve">moderating role of </w:t>
      </w:r>
      <w:r w:rsidR="00567377">
        <w:rPr>
          <w:rFonts w:ascii="Times New Roman" w:hAnsi="Times New Roman" w:cs="Times New Roman"/>
          <w:sz w:val="24"/>
          <w:szCs w:val="24"/>
        </w:rPr>
        <w:t xml:space="preserve">a </w:t>
      </w:r>
      <w:r w:rsidR="008E63B2" w:rsidRPr="00A0792C">
        <w:rPr>
          <w:rFonts w:ascii="Times New Roman" w:hAnsi="Times New Roman" w:cs="Times New Roman"/>
          <w:sz w:val="24"/>
          <w:szCs w:val="24"/>
        </w:rPr>
        <w:t>gender</w:t>
      </w:r>
      <w:r w:rsidR="00567377">
        <w:rPr>
          <w:rFonts w:ascii="Times New Roman" w:hAnsi="Times New Roman" w:cs="Times New Roman"/>
          <w:sz w:val="24"/>
          <w:szCs w:val="24"/>
        </w:rPr>
        <w:t>-</w:t>
      </w:r>
      <w:r w:rsidR="008E63B2" w:rsidRPr="00A0792C">
        <w:rPr>
          <w:rFonts w:ascii="Times New Roman" w:hAnsi="Times New Roman" w:cs="Times New Roman"/>
          <w:sz w:val="24"/>
          <w:szCs w:val="24"/>
        </w:rPr>
        <w:t>diverse board on risk culture and bank risk. The fifth chapter (</w:t>
      </w:r>
      <w:r w:rsidR="008E63B2" w:rsidRPr="00567377">
        <w:rPr>
          <w:rFonts w:ascii="Times New Roman" w:hAnsi="Times New Roman" w:cs="Times New Roman"/>
          <w:b/>
          <w:bCs/>
          <w:i/>
          <w:iCs/>
          <w:sz w:val="24"/>
          <w:szCs w:val="24"/>
        </w:rPr>
        <w:t>Chapter</w:t>
      </w:r>
      <w:r w:rsidR="00567377" w:rsidRPr="00567377">
        <w:rPr>
          <w:rFonts w:ascii="Times New Roman" w:hAnsi="Times New Roman" w:cs="Times New Roman"/>
          <w:b/>
          <w:bCs/>
          <w:i/>
          <w:iCs/>
          <w:sz w:val="24"/>
          <w:szCs w:val="24"/>
        </w:rPr>
        <w:t xml:space="preserve"> </w:t>
      </w:r>
      <w:r w:rsidR="008E63B2" w:rsidRPr="00567377">
        <w:rPr>
          <w:rFonts w:ascii="Times New Roman" w:hAnsi="Times New Roman" w:cs="Times New Roman"/>
          <w:b/>
          <w:bCs/>
          <w:i/>
          <w:iCs/>
          <w:sz w:val="24"/>
          <w:szCs w:val="24"/>
        </w:rPr>
        <w:t>5</w:t>
      </w:r>
      <w:r w:rsidR="008E63B2" w:rsidRPr="00A0792C">
        <w:rPr>
          <w:rFonts w:ascii="Times New Roman" w:hAnsi="Times New Roman" w:cs="Times New Roman"/>
          <w:sz w:val="24"/>
          <w:szCs w:val="24"/>
        </w:rPr>
        <w:t>) examines the impact of diversity among independent director attributes and bank misconduct risk</w:t>
      </w:r>
      <w:r w:rsidRPr="00A0792C">
        <w:rPr>
          <w:rFonts w:ascii="Times New Roman" w:hAnsi="Times New Roman" w:cs="Times New Roman"/>
          <w:sz w:val="24"/>
          <w:szCs w:val="24"/>
        </w:rPr>
        <w:t xml:space="preserve">. The </w:t>
      </w:r>
      <w:r w:rsidR="008E63B2" w:rsidRPr="00A0792C">
        <w:rPr>
          <w:rFonts w:ascii="Times New Roman" w:hAnsi="Times New Roman" w:cs="Times New Roman"/>
          <w:sz w:val="24"/>
          <w:szCs w:val="24"/>
        </w:rPr>
        <w:t xml:space="preserve">sixth </w:t>
      </w:r>
      <w:r w:rsidRPr="00A0792C">
        <w:rPr>
          <w:rFonts w:ascii="Times New Roman" w:hAnsi="Times New Roman" w:cs="Times New Roman"/>
          <w:sz w:val="24"/>
          <w:szCs w:val="24"/>
        </w:rPr>
        <w:t>chapter</w:t>
      </w:r>
      <w:r w:rsidR="008E63B2" w:rsidRPr="00A0792C">
        <w:rPr>
          <w:rFonts w:ascii="Times New Roman" w:hAnsi="Times New Roman" w:cs="Times New Roman"/>
          <w:sz w:val="24"/>
          <w:szCs w:val="24"/>
        </w:rPr>
        <w:t xml:space="preserve"> (</w:t>
      </w:r>
      <w:r w:rsidR="008E63B2" w:rsidRPr="00567377">
        <w:rPr>
          <w:rFonts w:ascii="Times New Roman" w:hAnsi="Times New Roman" w:cs="Times New Roman"/>
          <w:b/>
          <w:bCs/>
          <w:i/>
          <w:iCs/>
          <w:sz w:val="24"/>
          <w:szCs w:val="24"/>
        </w:rPr>
        <w:t>Chapter</w:t>
      </w:r>
      <w:r w:rsidR="00567377" w:rsidRPr="00567377">
        <w:rPr>
          <w:rFonts w:ascii="Times New Roman" w:hAnsi="Times New Roman" w:cs="Times New Roman"/>
          <w:b/>
          <w:bCs/>
          <w:i/>
          <w:iCs/>
          <w:sz w:val="24"/>
          <w:szCs w:val="24"/>
        </w:rPr>
        <w:t xml:space="preserve"> </w:t>
      </w:r>
      <w:r w:rsidR="008E63B2" w:rsidRPr="00567377">
        <w:rPr>
          <w:rFonts w:ascii="Times New Roman" w:hAnsi="Times New Roman" w:cs="Times New Roman"/>
          <w:b/>
          <w:bCs/>
          <w:i/>
          <w:iCs/>
          <w:sz w:val="24"/>
          <w:szCs w:val="24"/>
        </w:rPr>
        <w:t>6</w:t>
      </w:r>
      <w:r w:rsidR="008E63B2" w:rsidRPr="00A0792C">
        <w:rPr>
          <w:rFonts w:ascii="Times New Roman" w:hAnsi="Times New Roman" w:cs="Times New Roman"/>
          <w:sz w:val="24"/>
          <w:szCs w:val="24"/>
        </w:rPr>
        <w:t>)</w:t>
      </w:r>
      <w:r w:rsidRPr="00A0792C">
        <w:rPr>
          <w:rFonts w:ascii="Times New Roman" w:hAnsi="Times New Roman" w:cs="Times New Roman"/>
          <w:sz w:val="24"/>
          <w:szCs w:val="24"/>
        </w:rPr>
        <w:t xml:space="preserve"> consolidates our findings from the previous </w:t>
      </w:r>
      <w:r w:rsidR="008E63B2" w:rsidRPr="00A0792C">
        <w:rPr>
          <w:rFonts w:ascii="Times New Roman" w:hAnsi="Times New Roman" w:cs="Times New Roman"/>
          <w:sz w:val="24"/>
          <w:szCs w:val="24"/>
        </w:rPr>
        <w:t xml:space="preserve">empirical chapters and </w:t>
      </w:r>
      <w:r w:rsidRPr="00A0792C">
        <w:rPr>
          <w:rFonts w:ascii="Times New Roman" w:hAnsi="Times New Roman" w:cs="Times New Roman"/>
          <w:sz w:val="24"/>
          <w:szCs w:val="24"/>
        </w:rPr>
        <w:t>concludes the thesis by providing overall conclusions</w:t>
      </w:r>
      <w:r w:rsidR="008E63B2" w:rsidRPr="00A0792C">
        <w:rPr>
          <w:rFonts w:ascii="Times New Roman" w:hAnsi="Times New Roman" w:cs="Times New Roman"/>
          <w:sz w:val="24"/>
          <w:szCs w:val="24"/>
        </w:rPr>
        <w:t>, contribution</w:t>
      </w:r>
      <w:r w:rsidR="00567377">
        <w:rPr>
          <w:rFonts w:ascii="Times New Roman" w:hAnsi="Times New Roman" w:cs="Times New Roman"/>
          <w:sz w:val="24"/>
          <w:szCs w:val="24"/>
        </w:rPr>
        <w:t>s</w:t>
      </w:r>
      <w:r w:rsidRPr="00A0792C">
        <w:rPr>
          <w:rFonts w:ascii="Times New Roman" w:hAnsi="Times New Roman" w:cs="Times New Roman"/>
          <w:sz w:val="24"/>
          <w:szCs w:val="24"/>
        </w:rPr>
        <w:t xml:space="preserve"> and practical implications of the study. </w:t>
      </w:r>
    </w:p>
    <w:p w14:paraId="7608072A" w14:textId="77777777" w:rsidR="00E96A5E" w:rsidRDefault="00E96A5E">
      <w:pPr>
        <w:rPr>
          <w:rFonts w:ascii="Times New Roman" w:hAnsi="Times New Roman" w:cs="Times New Roman"/>
          <w:sz w:val="24"/>
          <w:szCs w:val="24"/>
        </w:rPr>
      </w:pPr>
      <w:r>
        <w:rPr>
          <w:rFonts w:ascii="Times New Roman" w:hAnsi="Times New Roman" w:cs="Times New Roman"/>
          <w:sz w:val="24"/>
          <w:szCs w:val="24"/>
        </w:rPr>
        <w:br w:type="page"/>
      </w:r>
    </w:p>
    <w:p w14:paraId="5E4CDF2A" w14:textId="1F93E445" w:rsidR="00DB6C09" w:rsidRPr="003C7034" w:rsidRDefault="00E96A5E" w:rsidP="009E69CE">
      <w:pPr>
        <w:spacing w:line="480" w:lineRule="auto"/>
        <w:jc w:val="center"/>
        <w:rPr>
          <w:rFonts w:ascii="Times New Roman" w:hAnsi="Times New Roman" w:cs="Times New Roman"/>
          <w:b/>
          <w:bCs/>
          <w:sz w:val="36"/>
          <w:szCs w:val="36"/>
        </w:rPr>
      </w:pPr>
      <w:r w:rsidRPr="003C7034">
        <w:rPr>
          <w:rFonts w:ascii="Times New Roman" w:hAnsi="Times New Roman" w:cs="Times New Roman"/>
          <w:b/>
          <w:bCs/>
          <w:sz w:val="36"/>
          <w:szCs w:val="36"/>
        </w:rPr>
        <w:t>References</w:t>
      </w:r>
    </w:p>
    <w:p w14:paraId="750EFF8C" w14:textId="6D0F68F5"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Acharya, V., Litov, L. P., &amp; Sepe, S. M. (2013), </w:t>
      </w:r>
      <w:r w:rsidRPr="00E96A5E">
        <w:rPr>
          <w:rFonts w:ascii="Times New Roman" w:eastAsia="Times New Roman" w:hAnsi="Times New Roman" w:cs="Times New Roman"/>
          <w:sz w:val="24"/>
          <w:szCs w:val="24"/>
          <w:lang w:eastAsia="en-GB"/>
        </w:rPr>
        <w:t>non-executive</w:t>
      </w:r>
      <w:r w:rsidRPr="009E69CE">
        <w:rPr>
          <w:rFonts w:ascii="Times New Roman" w:eastAsia="Times New Roman" w:hAnsi="Times New Roman" w:cs="Times New Roman"/>
          <w:sz w:val="24"/>
          <w:szCs w:val="24"/>
          <w:lang w:eastAsia="en-GB"/>
        </w:rPr>
        <w:t xml:space="preserve"> incentives and bank risk-taking’, </w:t>
      </w:r>
      <w:r w:rsidRPr="009E69CE">
        <w:rPr>
          <w:rFonts w:ascii="Times New Roman" w:eastAsia="Times New Roman" w:hAnsi="Times New Roman" w:cs="Times New Roman"/>
          <w:i/>
          <w:iCs/>
          <w:sz w:val="24"/>
          <w:szCs w:val="24"/>
          <w:lang w:eastAsia="en-GB"/>
        </w:rPr>
        <w:t>Working Paper</w:t>
      </w:r>
      <w:r w:rsidRPr="009E69CE">
        <w:rPr>
          <w:rFonts w:ascii="Times New Roman" w:eastAsia="Times New Roman" w:hAnsi="Times New Roman" w:cs="Times New Roman"/>
          <w:sz w:val="24"/>
          <w:szCs w:val="24"/>
          <w:lang w:eastAsia="en-GB"/>
        </w:rPr>
        <w:t>, pp. 1–61.</w:t>
      </w:r>
    </w:p>
    <w:p w14:paraId="5B6E8F26"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Arnaboldi, F., Casu, B., Kalotychou, E., &amp; Sarkisyan, A. (2020). The performance effects of board heterogeneity: what works for EU banks? </w:t>
      </w:r>
      <w:r w:rsidRPr="009E69CE">
        <w:rPr>
          <w:rFonts w:ascii="Times New Roman" w:eastAsia="Times New Roman" w:hAnsi="Times New Roman" w:cs="Times New Roman"/>
          <w:i/>
          <w:iCs/>
          <w:sz w:val="24"/>
          <w:szCs w:val="24"/>
          <w:lang w:eastAsia="en-GB"/>
        </w:rPr>
        <w:t>European Journal of Finance</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26</w:t>
      </w:r>
      <w:r w:rsidRPr="009E69CE">
        <w:rPr>
          <w:rFonts w:ascii="Times New Roman" w:eastAsia="Times New Roman" w:hAnsi="Times New Roman" w:cs="Times New Roman"/>
          <w:sz w:val="24"/>
          <w:szCs w:val="24"/>
          <w:lang w:eastAsia="en-GB"/>
        </w:rPr>
        <w:t xml:space="preserve">(10), 897–924. </w:t>
      </w:r>
    </w:p>
    <w:p w14:paraId="3B769739"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Baldan, C., Geretto, E. &amp; Zen, F. (2016), A quantitative model to articulate the banking risk appetite framework, </w:t>
      </w:r>
      <w:r w:rsidRPr="009E69CE">
        <w:rPr>
          <w:rFonts w:ascii="Times New Roman" w:eastAsia="Times New Roman" w:hAnsi="Times New Roman" w:cs="Times New Roman"/>
          <w:i/>
          <w:iCs/>
          <w:sz w:val="24"/>
          <w:szCs w:val="24"/>
          <w:lang w:eastAsia="en-GB"/>
        </w:rPr>
        <w:t>Journal of Risk Management in Financial Institutions</w:t>
      </w:r>
      <w:r w:rsidRPr="009E69CE">
        <w:rPr>
          <w:rFonts w:ascii="Times New Roman" w:eastAsia="Times New Roman" w:hAnsi="Times New Roman" w:cs="Times New Roman"/>
          <w:sz w:val="24"/>
          <w:szCs w:val="24"/>
          <w:lang w:eastAsia="en-GB"/>
        </w:rPr>
        <w:t>, 9(2), pp.175–196.</w:t>
      </w:r>
    </w:p>
    <w:p w14:paraId="4F942732"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Bebchuck, L. and Spamann, H. (2010), </w:t>
      </w:r>
      <w:r w:rsidRPr="009E69CE">
        <w:rPr>
          <w:rFonts w:ascii="Times New Roman" w:eastAsia="Calibri" w:hAnsi="Times New Roman" w:cs="Times New Roman"/>
          <w:i/>
          <w:iCs/>
          <w:sz w:val="24"/>
          <w:szCs w:val="24"/>
        </w:rPr>
        <w:t xml:space="preserve">Regulating Banker’s Pay. </w:t>
      </w:r>
    </w:p>
    <w:p w14:paraId="01B07991"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Bernile, G., Bhagwat, V., &amp; Yonker, S. (2018). Board diversity, firm risk, and corporate policies. </w:t>
      </w:r>
      <w:r w:rsidRPr="009E69CE">
        <w:rPr>
          <w:rFonts w:ascii="Times New Roman" w:eastAsia="Times New Roman" w:hAnsi="Times New Roman" w:cs="Times New Roman"/>
          <w:i/>
          <w:iCs/>
          <w:sz w:val="24"/>
          <w:szCs w:val="24"/>
          <w:lang w:eastAsia="en-GB"/>
        </w:rPr>
        <w:t>Journal of Financial Economics</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127</w:t>
      </w:r>
      <w:r w:rsidRPr="009E69CE">
        <w:rPr>
          <w:rFonts w:ascii="Times New Roman" w:eastAsia="Times New Roman" w:hAnsi="Times New Roman" w:cs="Times New Roman"/>
          <w:sz w:val="24"/>
          <w:szCs w:val="24"/>
          <w:lang w:eastAsia="en-GB"/>
        </w:rPr>
        <w:t xml:space="preserve">(3), 588–612. </w:t>
      </w:r>
    </w:p>
    <w:p w14:paraId="6A345F54" w14:textId="77777777" w:rsidR="00E96A5E" w:rsidRPr="009E69CE"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Calibri" w:hAnsi="Times New Roman" w:cs="Times New Roman"/>
          <w:color w:val="000000"/>
          <w:sz w:val="24"/>
          <w:szCs w:val="24"/>
          <w:shd w:val="clear" w:color="auto" w:fill="FFFFFF"/>
        </w:rPr>
        <w:t>Carter, D. A., Rogers, D. A., &amp; Simkins, B. J. (2006). Does hedging affect firm value? evidence from the US airline industry.</w:t>
      </w:r>
      <w:r w:rsidRPr="009E69CE">
        <w:rPr>
          <w:rFonts w:ascii="Times New Roman" w:eastAsia="Calibri" w:hAnsi="Times New Roman" w:cs="Times New Roman"/>
          <w:i/>
          <w:iCs/>
          <w:color w:val="000000"/>
          <w:sz w:val="24"/>
          <w:szCs w:val="24"/>
          <w:shd w:val="clear" w:color="auto" w:fill="FFFFFF"/>
        </w:rPr>
        <w:t> Financial Management, 35</w:t>
      </w:r>
      <w:r w:rsidRPr="009E69CE">
        <w:rPr>
          <w:rFonts w:ascii="Times New Roman" w:eastAsia="Calibri" w:hAnsi="Times New Roman" w:cs="Times New Roman"/>
          <w:color w:val="000000"/>
          <w:sz w:val="24"/>
          <w:szCs w:val="24"/>
          <w:shd w:val="clear" w:color="auto" w:fill="FFFFFF"/>
        </w:rPr>
        <w:t>(1), 53-86.</w:t>
      </w:r>
    </w:p>
    <w:p w14:paraId="763A076F" w14:textId="77777777" w:rsidR="00E96A5E" w:rsidRPr="00E96A5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Ellul, A. &amp; Yerramilli, V. (2013), Stronger risk controls, lower risk: Evidence from U.S. bank holding companies, </w:t>
      </w:r>
      <w:r w:rsidRPr="009E69CE">
        <w:rPr>
          <w:rFonts w:ascii="Times New Roman" w:eastAsia="Calibri" w:hAnsi="Times New Roman" w:cs="Times New Roman"/>
          <w:i/>
          <w:iCs/>
          <w:sz w:val="24"/>
          <w:szCs w:val="24"/>
        </w:rPr>
        <w:t xml:space="preserve">The Journal of Finance, </w:t>
      </w:r>
      <w:r w:rsidRPr="009E69CE">
        <w:rPr>
          <w:rFonts w:ascii="Times New Roman" w:eastAsia="Calibri" w:hAnsi="Times New Roman" w:cs="Times New Roman"/>
          <w:sz w:val="24"/>
          <w:szCs w:val="24"/>
        </w:rPr>
        <w:t>68 (5), 1757–1803</w:t>
      </w:r>
      <w:r w:rsidRPr="00E96A5E">
        <w:rPr>
          <w:rFonts w:ascii="Times New Roman" w:eastAsia="Calibri" w:hAnsi="Times New Roman" w:cs="Times New Roman"/>
          <w:sz w:val="24"/>
          <w:szCs w:val="24"/>
        </w:rPr>
        <w:t>.</w:t>
      </w:r>
    </w:p>
    <w:p w14:paraId="2B3C3013"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Ellul, A. (2015). The role of risk management in corporate governance. </w:t>
      </w:r>
      <w:r w:rsidRPr="009E69CE">
        <w:rPr>
          <w:rFonts w:ascii="Times New Roman" w:eastAsia="Times New Roman" w:hAnsi="Times New Roman" w:cs="Times New Roman"/>
          <w:i/>
          <w:iCs/>
          <w:sz w:val="24"/>
          <w:szCs w:val="24"/>
          <w:lang w:eastAsia="en-GB"/>
        </w:rPr>
        <w:t>Annual Review of Financial Economics</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7</w:t>
      </w:r>
      <w:r w:rsidRPr="009E69CE">
        <w:rPr>
          <w:rFonts w:ascii="Times New Roman" w:eastAsia="Times New Roman" w:hAnsi="Times New Roman" w:cs="Times New Roman"/>
          <w:sz w:val="24"/>
          <w:szCs w:val="24"/>
          <w:lang w:eastAsia="en-GB"/>
        </w:rPr>
        <w:t xml:space="preserve">, 279–299. </w:t>
      </w:r>
    </w:p>
    <w:p w14:paraId="3F0D2165"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i/>
          <w:iCs/>
          <w:sz w:val="24"/>
          <w:szCs w:val="24"/>
        </w:rPr>
      </w:pPr>
      <w:r w:rsidRPr="009E69CE">
        <w:rPr>
          <w:rFonts w:ascii="Times New Roman" w:eastAsia="Calibri" w:hAnsi="Times New Roman" w:cs="Times New Roman"/>
          <w:sz w:val="24"/>
          <w:szCs w:val="24"/>
        </w:rPr>
        <w:t xml:space="preserve">Ernst &amp; Young. (2014a) Ernst and Young LLP. The Future of Global Banking. </w:t>
      </w:r>
      <w:r w:rsidRPr="009E69CE">
        <w:rPr>
          <w:rFonts w:ascii="Times New Roman" w:eastAsia="Calibri" w:hAnsi="Times New Roman" w:cs="Times New Roman"/>
          <w:i/>
          <w:iCs/>
          <w:sz w:val="24"/>
          <w:szCs w:val="24"/>
        </w:rPr>
        <w:t>Bank Governance Leadership Network. Tapestry Networks</w:t>
      </w:r>
      <w:r w:rsidRPr="009E69CE">
        <w:rPr>
          <w:rFonts w:ascii="Times New Roman" w:eastAsia="Calibri" w:hAnsi="Times New Roman" w:cs="Times New Roman"/>
          <w:sz w:val="24"/>
          <w:szCs w:val="24"/>
        </w:rPr>
        <w:t xml:space="preserve">. Available at </w:t>
      </w:r>
      <w:hyperlink r:id="rId20" w:history="1">
        <w:r w:rsidRPr="009E69CE">
          <w:rPr>
            <w:rFonts w:ascii="Times New Roman" w:eastAsia="Calibri" w:hAnsi="Times New Roman" w:cs="Times New Roman"/>
            <w:color w:val="0563C1"/>
            <w:sz w:val="24"/>
            <w:szCs w:val="24"/>
            <w:u w:val="single"/>
          </w:rPr>
          <w:t>www.tapestrynetworks.com/initatives.financial-services/bank-govenrance-leadershipnetwork</w:t>
        </w:r>
      </w:hyperlink>
      <w:r w:rsidRPr="009E69CE">
        <w:rPr>
          <w:rFonts w:ascii="Times New Roman" w:eastAsia="Calibri" w:hAnsi="Times New Roman" w:cs="Times New Roman"/>
          <w:sz w:val="24"/>
          <w:szCs w:val="24"/>
        </w:rPr>
        <w:t>. (Accessed: 15 December 2018).</w:t>
      </w:r>
    </w:p>
    <w:p w14:paraId="75C6E705"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Ernst &amp; Young. (2014b), </w:t>
      </w:r>
      <w:r w:rsidRPr="009E69CE">
        <w:rPr>
          <w:rFonts w:ascii="Times New Roman" w:eastAsia="Calibri" w:hAnsi="Times New Roman" w:cs="Times New Roman"/>
          <w:i/>
          <w:iCs/>
          <w:sz w:val="24"/>
          <w:szCs w:val="24"/>
        </w:rPr>
        <w:t>Shifting focus: Risk culture at the forefront of banking</w:t>
      </w:r>
      <w:r w:rsidRPr="009E69CE">
        <w:rPr>
          <w:rFonts w:ascii="Times New Roman" w:eastAsia="Calibri" w:hAnsi="Times New Roman" w:cs="Times New Roman"/>
          <w:sz w:val="24"/>
          <w:szCs w:val="24"/>
        </w:rPr>
        <w:t xml:space="preserve">. Available at: </w:t>
      </w:r>
      <w:hyperlink r:id="rId21" w:history="1">
        <w:r w:rsidRPr="009E69CE">
          <w:rPr>
            <w:rFonts w:ascii="Times New Roman" w:eastAsia="Calibri" w:hAnsi="Times New Roman" w:cs="Times New Roman"/>
            <w:color w:val="0563C1"/>
            <w:sz w:val="24"/>
            <w:szCs w:val="24"/>
            <w:u w:val="single"/>
          </w:rPr>
          <w:t>http://www.ey.com/gl/en/industries/financial-services/banking---capital-markets/ey-shiftingfocus-</w:t>
        </w:r>
      </w:hyperlink>
      <w:r w:rsidRPr="009E69CE">
        <w:rPr>
          <w:rFonts w:ascii="Times New Roman" w:eastAsia="Calibri" w:hAnsi="Times New Roman" w:cs="Times New Roman"/>
          <w:sz w:val="24"/>
          <w:szCs w:val="24"/>
          <w:u w:val="single"/>
        </w:rPr>
        <w:t xml:space="preserve"> risk-culture-at-the-forefront-of-banking </w:t>
      </w:r>
      <w:r w:rsidRPr="009E69CE">
        <w:rPr>
          <w:rFonts w:ascii="Times New Roman" w:eastAsia="Calibri" w:hAnsi="Times New Roman" w:cs="Times New Roman"/>
          <w:sz w:val="24"/>
          <w:szCs w:val="24"/>
        </w:rPr>
        <w:t>(Accessed: 15 December 2018).</w:t>
      </w:r>
    </w:p>
    <w:p w14:paraId="6A99A805" w14:textId="77777777" w:rsidR="00E96A5E" w:rsidRPr="009E69CE"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Fahlenbrach, R., Prilmeier, R., &amp; Stulz, R. M. (2012). This time is the same: using bank performance in 1998 to explain bank performance during the recent financial crisis. </w:t>
      </w:r>
      <w:r w:rsidRPr="009E69CE">
        <w:rPr>
          <w:rFonts w:ascii="Times New Roman" w:eastAsia="Times New Roman" w:hAnsi="Times New Roman" w:cs="Times New Roman"/>
          <w:i/>
          <w:iCs/>
          <w:sz w:val="24"/>
          <w:szCs w:val="24"/>
          <w:lang w:eastAsia="en-GB"/>
        </w:rPr>
        <w:t>Journal of Finance</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67</w:t>
      </w:r>
      <w:r w:rsidRPr="009E69CE">
        <w:rPr>
          <w:rFonts w:ascii="Times New Roman" w:eastAsia="Times New Roman" w:hAnsi="Times New Roman" w:cs="Times New Roman"/>
          <w:sz w:val="24"/>
          <w:szCs w:val="24"/>
          <w:lang w:eastAsia="en-GB"/>
        </w:rPr>
        <w:t>(6), 2139–2185.</w:t>
      </w:r>
    </w:p>
    <w:p w14:paraId="23CFB5BD"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Financial Stability Board (2013), Thematic review on risk governance, Available at: </w:t>
      </w:r>
      <w:hyperlink r:id="rId22" w:history="1">
        <w:r w:rsidRPr="009E69CE">
          <w:rPr>
            <w:rFonts w:ascii="Times New Roman" w:eastAsia="Times New Roman" w:hAnsi="Times New Roman" w:cs="Times New Roman"/>
            <w:sz w:val="24"/>
            <w:szCs w:val="24"/>
            <w:u w:val="single"/>
            <w:lang w:eastAsia="en-GB"/>
          </w:rPr>
          <w:t>http://www.financialstabilityboard.org/publications/r_130212.pdf</w:t>
        </w:r>
      </w:hyperlink>
      <w:r w:rsidRPr="009E69CE">
        <w:rPr>
          <w:rFonts w:ascii="Times New Roman" w:eastAsia="Times New Roman" w:hAnsi="Times New Roman" w:cs="Times New Roman"/>
          <w:sz w:val="24"/>
          <w:szCs w:val="24"/>
          <w:lang w:eastAsia="en-GB"/>
        </w:rPr>
        <w:t>.</w:t>
      </w:r>
    </w:p>
    <w:p w14:paraId="727BD90A" w14:textId="77777777" w:rsidR="00E96A5E" w:rsidRPr="000E5A33" w:rsidRDefault="00E96A5E" w:rsidP="000E5A33">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0E5A33">
        <w:rPr>
          <w:rFonts w:ascii="Times New Roman" w:eastAsia="Times New Roman" w:hAnsi="Times New Roman" w:cs="Times New Roman"/>
          <w:sz w:val="24"/>
          <w:szCs w:val="24"/>
          <w:lang w:eastAsia="en-GB"/>
        </w:rPr>
        <w:t>Gao, Y., Liao, S., &amp; Wang, X. (2013), The Economic Impact of the Dodd-Frank Act upon Systemically Important Financial Firms: Evidence from Market Reactions</w:t>
      </w:r>
    </w:p>
    <w:p w14:paraId="14425C7B"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Gilani, U., Keasey, K., &amp; Vallascas, F. (2021). Board financial expertise and the capital decisions of US banks. </w:t>
      </w:r>
      <w:r w:rsidRPr="009E69CE">
        <w:rPr>
          <w:rFonts w:ascii="Times New Roman" w:eastAsia="Times New Roman" w:hAnsi="Times New Roman" w:cs="Times New Roman"/>
          <w:i/>
          <w:iCs/>
          <w:sz w:val="24"/>
          <w:szCs w:val="24"/>
          <w:lang w:eastAsia="en-GB"/>
        </w:rPr>
        <w:t>Journal of Corporate Finance</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71</w:t>
      </w:r>
      <w:r w:rsidRPr="009E69CE">
        <w:rPr>
          <w:rFonts w:ascii="Times New Roman" w:eastAsia="Times New Roman" w:hAnsi="Times New Roman" w:cs="Times New Roman"/>
          <w:sz w:val="24"/>
          <w:szCs w:val="24"/>
          <w:lang w:eastAsia="en-GB"/>
        </w:rPr>
        <w:t>, 1-23.</w:t>
      </w:r>
    </w:p>
    <w:p w14:paraId="50E29A4C" w14:textId="77777777" w:rsidR="00E96A5E" w:rsidRPr="009E69CE"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Gontarek, W., &amp; Belghitar, Y. (2018). Risk governance: Examining its impact upon bank performance and risk-taking. </w:t>
      </w:r>
      <w:r w:rsidRPr="009E69CE">
        <w:rPr>
          <w:rFonts w:ascii="Times New Roman" w:eastAsia="Times New Roman" w:hAnsi="Times New Roman" w:cs="Times New Roman"/>
          <w:i/>
          <w:iCs/>
          <w:sz w:val="24"/>
          <w:szCs w:val="24"/>
          <w:lang w:eastAsia="en-GB"/>
        </w:rPr>
        <w:t>Financial Markets, Institutions and Instruments</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27</w:t>
      </w:r>
      <w:r w:rsidRPr="009E69CE">
        <w:rPr>
          <w:rFonts w:ascii="Times New Roman" w:eastAsia="Times New Roman" w:hAnsi="Times New Roman" w:cs="Times New Roman"/>
          <w:sz w:val="24"/>
          <w:szCs w:val="24"/>
          <w:lang w:eastAsia="en-GB"/>
        </w:rPr>
        <w:t xml:space="preserve">(5), 187–224. </w:t>
      </w:r>
    </w:p>
    <w:p w14:paraId="2046379E"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bookmarkStart w:id="20" w:name="_Hlk130851918"/>
      <w:r w:rsidRPr="009E69CE">
        <w:rPr>
          <w:rFonts w:ascii="Times New Roman" w:eastAsia="Times New Roman" w:hAnsi="Times New Roman" w:cs="Times New Roman"/>
          <w:sz w:val="24"/>
          <w:szCs w:val="24"/>
          <w:lang w:eastAsia="en-GB"/>
        </w:rPr>
        <w:t xml:space="preserve">Hoyt, R. E., &amp; Liebenberg, A. P. (2011). The value of enterprise risk management. </w:t>
      </w:r>
      <w:r w:rsidRPr="009E69CE">
        <w:rPr>
          <w:rFonts w:ascii="Times New Roman" w:eastAsia="Times New Roman" w:hAnsi="Times New Roman" w:cs="Times New Roman"/>
          <w:i/>
          <w:iCs/>
          <w:sz w:val="24"/>
          <w:szCs w:val="24"/>
          <w:lang w:eastAsia="en-GB"/>
        </w:rPr>
        <w:t>Journal of Risk and Insurance</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78</w:t>
      </w:r>
      <w:r w:rsidRPr="009E69CE">
        <w:rPr>
          <w:rFonts w:ascii="Times New Roman" w:eastAsia="Times New Roman" w:hAnsi="Times New Roman" w:cs="Times New Roman"/>
          <w:sz w:val="24"/>
          <w:szCs w:val="24"/>
          <w:lang w:eastAsia="en-GB"/>
        </w:rPr>
        <w:t xml:space="preserve">(4), 795–822. </w:t>
      </w:r>
    </w:p>
    <w:bookmarkEnd w:id="20"/>
    <w:p w14:paraId="40D0725A" w14:textId="77777777" w:rsidR="00E96A5E" w:rsidRPr="009E69CE" w:rsidRDefault="00E96A5E" w:rsidP="00E96A5E">
      <w:pPr>
        <w:numPr>
          <w:ilvl w:val="0"/>
          <w:numId w:val="11"/>
        </w:numPr>
        <w:autoSpaceDE w:val="0"/>
        <w:autoSpaceDN w:val="0"/>
        <w:adjustRightInd w:val="0"/>
        <w:spacing w:after="0" w:line="480" w:lineRule="auto"/>
        <w:ind w:left="0" w:firstLine="0"/>
        <w:contextualSpacing/>
        <w:jc w:val="both"/>
        <w:rPr>
          <w:rFonts w:ascii="Times New Roman" w:eastAsia="Calibri" w:hAnsi="Times New Roman" w:cs="Times New Roman"/>
          <w:sz w:val="24"/>
          <w:szCs w:val="24"/>
          <w:lang w:eastAsia="en-GB"/>
        </w:rPr>
      </w:pPr>
      <w:r w:rsidRPr="009E69CE">
        <w:rPr>
          <w:rFonts w:ascii="Times New Roman" w:eastAsia="Calibri" w:hAnsi="Times New Roman" w:cs="Times New Roman"/>
          <w:sz w:val="24"/>
          <w:szCs w:val="24"/>
          <w:lang w:eastAsia="en-GB"/>
        </w:rPr>
        <w:t xml:space="preserve">IFC. (2015) </w:t>
      </w:r>
      <w:r w:rsidRPr="009E69CE">
        <w:rPr>
          <w:rFonts w:ascii="Times New Roman" w:eastAsia="Calibri" w:hAnsi="Times New Roman" w:cs="Times New Roman"/>
          <w:i/>
          <w:iCs/>
          <w:sz w:val="24"/>
          <w:szCs w:val="24"/>
          <w:lang w:eastAsia="en-GB"/>
        </w:rPr>
        <w:t xml:space="preserve">Standards on Risk Governance in Financial Institutions, </w:t>
      </w:r>
      <w:r w:rsidRPr="009E69CE">
        <w:rPr>
          <w:rFonts w:ascii="Times New Roman" w:eastAsia="Calibri" w:hAnsi="Times New Roman" w:cs="Times New Roman"/>
          <w:sz w:val="24"/>
          <w:szCs w:val="24"/>
          <w:lang w:eastAsia="en-GB"/>
        </w:rPr>
        <w:t>Available at: http://www.ifc.org/wps/wcm/connect/ce387e804c9ef58697c4d7f81ee631cc/ECACRRiskGovernanceStandards.pdf?MOD=AJPERES (Accessed: 12 October 2018).</w:t>
      </w:r>
    </w:p>
    <w:p w14:paraId="17BFCB40"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Laeven, L., &amp; Levine, R. (2009). Bank governance, regulation and risk taking. </w:t>
      </w:r>
      <w:r w:rsidRPr="009E69CE">
        <w:rPr>
          <w:rFonts w:ascii="Times New Roman" w:eastAsia="Times New Roman" w:hAnsi="Times New Roman" w:cs="Times New Roman"/>
          <w:i/>
          <w:iCs/>
          <w:sz w:val="24"/>
          <w:szCs w:val="24"/>
          <w:lang w:eastAsia="en-GB"/>
        </w:rPr>
        <w:t>Journal of Financial Economics</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93</w:t>
      </w:r>
      <w:r w:rsidRPr="009E69CE">
        <w:rPr>
          <w:rFonts w:ascii="Times New Roman" w:eastAsia="Times New Roman" w:hAnsi="Times New Roman" w:cs="Times New Roman"/>
          <w:sz w:val="24"/>
          <w:szCs w:val="24"/>
          <w:lang w:eastAsia="en-GB"/>
        </w:rPr>
        <w:t xml:space="preserve">(2), 259–275. </w:t>
      </w:r>
    </w:p>
    <w:p w14:paraId="33E526F3" w14:textId="77777777" w:rsidR="00E96A5E" w:rsidRPr="009E69CE" w:rsidRDefault="00E96A5E" w:rsidP="00E96A5E">
      <w:pPr>
        <w:numPr>
          <w:ilvl w:val="0"/>
          <w:numId w:val="11"/>
        </w:numPr>
        <w:spacing w:before="100" w:beforeAutospacing="1" w:after="100" w:afterAutospacing="1"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Li, N., &amp; Wahid, A. S. (2018). Director tenure diversity and board monitoring effectiveness. </w:t>
      </w:r>
      <w:r w:rsidRPr="009E69CE">
        <w:rPr>
          <w:rFonts w:ascii="Times New Roman" w:eastAsia="Times New Roman" w:hAnsi="Times New Roman" w:cs="Times New Roman"/>
          <w:i/>
          <w:iCs/>
          <w:sz w:val="24"/>
          <w:szCs w:val="24"/>
          <w:lang w:eastAsia="en-GB"/>
        </w:rPr>
        <w:t>Contemporary Accounting Research</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35</w:t>
      </w:r>
      <w:r w:rsidRPr="009E69CE">
        <w:rPr>
          <w:rFonts w:ascii="Times New Roman" w:eastAsia="Times New Roman" w:hAnsi="Times New Roman" w:cs="Times New Roman"/>
          <w:sz w:val="24"/>
          <w:szCs w:val="24"/>
          <w:lang w:eastAsia="en-GB"/>
        </w:rPr>
        <w:t xml:space="preserve">(3), 1363–1394. </w:t>
      </w:r>
    </w:p>
    <w:p w14:paraId="791403CD" w14:textId="77777777" w:rsidR="00E96A5E" w:rsidRPr="009E69CE"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Lingel, A., &amp; Sheedy, E. A. (2012). The influence of risk governance on risk outcomes - International Evidence. </w:t>
      </w:r>
      <w:r w:rsidRPr="009E69CE">
        <w:rPr>
          <w:rFonts w:ascii="Times New Roman" w:eastAsia="Times New Roman" w:hAnsi="Times New Roman" w:cs="Times New Roman"/>
          <w:i/>
          <w:iCs/>
          <w:sz w:val="24"/>
          <w:szCs w:val="24"/>
          <w:lang w:eastAsia="en-GB"/>
        </w:rPr>
        <w:t>SSRN Electronic Journal</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37</w:t>
      </w:r>
      <w:r w:rsidRPr="009E69CE">
        <w:rPr>
          <w:rFonts w:ascii="Times New Roman" w:eastAsia="Times New Roman" w:hAnsi="Times New Roman" w:cs="Times New Roman"/>
          <w:sz w:val="24"/>
          <w:szCs w:val="24"/>
          <w:lang w:eastAsia="en-GB"/>
        </w:rPr>
        <w:t xml:space="preserve">, 1–53. </w:t>
      </w:r>
    </w:p>
    <w:p w14:paraId="0FE2D346"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Magee, S., Schilling, C., &amp; Sheedy, E. (2019), Risk governance in the insurance sector—determinants and consequences in an international sample, </w:t>
      </w:r>
      <w:r w:rsidRPr="009E69CE">
        <w:rPr>
          <w:rFonts w:ascii="Times New Roman" w:eastAsia="Times New Roman" w:hAnsi="Times New Roman" w:cs="Times New Roman"/>
          <w:i/>
          <w:iCs/>
          <w:sz w:val="24"/>
          <w:szCs w:val="24"/>
          <w:lang w:eastAsia="en-GB"/>
        </w:rPr>
        <w:t>Journal of Risk and Insurance</w:t>
      </w:r>
      <w:r w:rsidRPr="009E69CE">
        <w:rPr>
          <w:rFonts w:ascii="Times New Roman" w:eastAsia="Times New Roman" w:hAnsi="Times New Roman" w:cs="Times New Roman"/>
          <w:sz w:val="24"/>
          <w:szCs w:val="24"/>
          <w:lang w:eastAsia="en-GB"/>
        </w:rPr>
        <w:t xml:space="preserve">, 86(2), pp. 381–413. </w:t>
      </w:r>
    </w:p>
    <w:p w14:paraId="0BCFEB64"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Mikes, A. (2008), CROs at crunch time: Compliance champions or business partners? </w:t>
      </w:r>
      <w:r w:rsidRPr="009E69CE">
        <w:rPr>
          <w:rFonts w:ascii="Times New Roman" w:eastAsia="Calibri" w:hAnsi="Times New Roman" w:cs="Times New Roman"/>
          <w:i/>
          <w:iCs/>
          <w:sz w:val="24"/>
          <w:szCs w:val="24"/>
        </w:rPr>
        <w:t>Journal of Risk Management in Financial Institutions</w:t>
      </w:r>
      <w:r w:rsidRPr="009E69CE">
        <w:rPr>
          <w:rFonts w:ascii="Times New Roman" w:eastAsia="Calibri" w:hAnsi="Times New Roman" w:cs="Times New Roman"/>
          <w:sz w:val="24"/>
          <w:szCs w:val="24"/>
        </w:rPr>
        <w:t>, 2(1), pp. 7 – 25.</w:t>
      </w:r>
    </w:p>
    <w:p w14:paraId="42860F54"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Mikes, A. (2010), </w:t>
      </w:r>
      <w:r w:rsidRPr="009E69CE">
        <w:rPr>
          <w:rFonts w:ascii="Times New Roman" w:eastAsia="Calibri" w:hAnsi="Times New Roman" w:cs="Times New Roman"/>
          <w:i/>
          <w:iCs/>
          <w:sz w:val="24"/>
          <w:szCs w:val="24"/>
        </w:rPr>
        <w:t xml:space="preserve">Becoming the Lamp Bearer: The merging Role of the CRO. </w:t>
      </w:r>
      <w:r w:rsidRPr="009E69CE">
        <w:rPr>
          <w:rFonts w:ascii="Times New Roman" w:eastAsia="Calibri" w:hAnsi="Times New Roman" w:cs="Times New Roman"/>
          <w:i/>
          <w:sz w:val="24"/>
          <w:szCs w:val="24"/>
        </w:rPr>
        <w:t>In Enterprise Risk Management</w:t>
      </w:r>
      <w:r w:rsidRPr="009E69CE">
        <w:rPr>
          <w:rFonts w:ascii="Times New Roman" w:eastAsia="Calibri" w:hAnsi="Times New Roman" w:cs="Times New Roman"/>
          <w:sz w:val="24"/>
          <w:szCs w:val="24"/>
        </w:rPr>
        <w:t>, Fraser, J. and Simkins, B (eds). London: Wiley.</w:t>
      </w:r>
    </w:p>
    <w:p w14:paraId="2C06E59B" w14:textId="77777777" w:rsidR="00E96A5E" w:rsidRPr="00E96A5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Miller, P. &amp; Power, M. (2013), Accounting, Organizing, and Economizing: Connecting Accounting Research and Organization Theory, </w:t>
      </w:r>
      <w:r w:rsidRPr="009E69CE">
        <w:rPr>
          <w:rFonts w:ascii="Times New Roman" w:eastAsia="Times New Roman" w:hAnsi="Times New Roman" w:cs="Times New Roman"/>
          <w:i/>
          <w:iCs/>
          <w:sz w:val="24"/>
          <w:szCs w:val="24"/>
          <w:lang w:eastAsia="en-GB"/>
        </w:rPr>
        <w:t>Academy of Management Annals</w:t>
      </w:r>
      <w:r w:rsidRPr="009E69CE">
        <w:rPr>
          <w:rFonts w:ascii="Times New Roman" w:eastAsia="Times New Roman" w:hAnsi="Times New Roman" w:cs="Times New Roman"/>
          <w:sz w:val="24"/>
          <w:szCs w:val="24"/>
          <w:lang w:eastAsia="en-GB"/>
        </w:rPr>
        <w:t>, 7(1), pp. 557–605.</w:t>
      </w:r>
      <w:r w:rsidRPr="00E96A5E">
        <w:rPr>
          <w:rFonts w:ascii="Times New Roman" w:eastAsia="Times New Roman" w:hAnsi="Times New Roman" w:cs="Times New Roman"/>
          <w:sz w:val="24"/>
          <w:szCs w:val="24"/>
          <w:lang w:eastAsia="en-GB"/>
        </w:rPr>
        <w:t xml:space="preserve"> </w:t>
      </w:r>
    </w:p>
    <w:p w14:paraId="1FA327DA" w14:textId="77777777" w:rsidR="00E96A5E" w:rsidRPr="009E69CE" w:rsidRDefault="00E96A5E" w:rsidP="00E96A5E">
      <w:pPr>
        <w:numPr>
          <w:ilvl w:val="0"/>
          <w:numId w:val="11"/>
        </w:numPr>
        <w:autoSpaceDE w:val="0"/>
        <w:autoSpaceDN w:val="0"/>
        <w:adjustRightInd w:val="0"/>
        <w:spacing w:after="0" w:line="480" w:lineRule="auto"/>
        <w:ind w:left="0" w:firstLine="0"/>
        <w:jc w:val="both"/>
        <w:rPr>
          <w:rFonts w:ascii="Times New Roman" w:eastAsia="Calibri" w:hAnsi="Times New Roman" w:cs="Times New Roman"/>
          <w:sz w:val="24"/>
          <w:szCs w:val="24"/>
        </w:rPr>
      </w:pPr>
      <w:r w:rsidRPr="009E69CE">
        <w:rPr>
          <w:rFonts w:ascii="Times New Roman" w:eastAsia="Calibri" w:hAnsi="Times New Roman" w:cs="Times New Roman"/>
          <w:sz w:val="24"/>
          <w:szCs w:val="24"/>
        </w:rPr>
        <w:t xml:space="preserve">Pfeffer, J. (1973). Size, composition, and function of hospital boards of directors: a study of organization–environment linkage, </w:t>
      </w:r>
      <w:r w:rsidRPr="009E69CE">
        <w:rPr>
          <w:rFonts w:ascii="Times New Roman" w:eastAsia="Calibri" w:hAnsi="Times New Roman" w:cs="Times New Roman"/>
          <w:i/>
          <w:iCs/>
          <w:sz w:val="24"/>
          <w:szCs w:val="24"/>
        </w:rPr>
        <w:t>Administrative Science Quarterly</w:t>
      </w:r>
      <w:r w:rsidRPr="009E69CE">
        <w:rPr>
          <w:rFonts w:ascii="Times New Roman" w:eastAsia="Calibri" w:hAnsi="Times New Roman" w:cs="Times New Roman"/>
          <w:sz w:val="24"/>
          <w:szCs w:val="24"/>
        </w:rPr>
        <w:t>, 349–364.</w:t>
      </w:r>
    </w:p>
    <w:p w14:paraId="513CA70B" w14:textId="77777777" w:rsidR="00E96A5E" w:rsidRPr="009E69CE"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Sabato, G. (2010). Financial Crisis: Where did risk management fail? </w:t>
      </w:r>
      <w:r w:rsidRPr="009E69CE">
        <w:rPr>
          <w:rFonts w:ascii="Times New Roman" w:eastAsia="Times New Roman" w:hAnsi="Times New Roman" w:cs="Times New Roman"/>
          <w:i/>
          <w:iCs/>
          <w:sz w:val="24"/>
          <w:szCs w:val="24"/>
          <w:lang w:eastAsia="en-GB"/>
        </w:rPr>
        <w:t>International Review of Applied Financial Issues and Economics,</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2</w:t>
      </w:r>
      <w:r w:rsidRPr="009E69CE">
        <w:rPr>
          <w:rFonts w:ascii="Times New Roman" w:eastAsia="Times New Roman" w:hAnsi="Times New Roman" w:cs="Times New Roman"/>
          <w:sz w:val="24"/>
          <w:szCs w:val="24"/>
          <w:lang w:eastAsia="en-GB"/>
        </w:rPr>
        <w:t xml:space="preserve"> (2), 315-326.</w:t>
      </w:r>
    </w:p>
    <w:p w14:paraId="1EE12A76"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Sheedy, E., &amp; Griffin, B. (2018), Risk governance, structures, culture, and behaviour: A view from the inside, </w:t>
      </w:r>
      <w:r w:rsidRPr="009E69CE">
        <w:rPr>
          <w:rFonts w:ascii="Times New Roman" w:eastAsia="Times New Roman" w:hAnsi="Times New Roman" w:cs="Times New Roman"/>
          <w:i/>
          <w:iCs/>
          <w:sz w:val="24"/>
          <w:szCs w:val="24"/>
          <w:lang w:eastAsia="en-GB"/>
        </w:rPr>
        <w:t>Corporate Governance: An International Review</w:t>
      </w:r>
      <w:r w:rsidRPr="009E69CE">
        <w:rPr>
          <w:rFonts w:ascii="Times New Roman" w:eastAsia="Times New Roman" w:hAnsi="Times New Roman" w:cs="Times New Roman"/>
          <w:sz w:val="24"/>
          <w:szCs w:val="24"/>
          <w:lang w:eastAsia="en-GB"/>
        </w:rPr>
        <w:t xml:space="preserve">, 26(1), pp. 4–22. </w:t>
      </w:r>
    </w:p>
    <w:p w14:paraId="3F26C610"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Smith, C. W., &amp; Stulz, R. M. (1985), The determinants of firms’ hedging policies, </w:t>
      </w:r>
      <w:r w:rsidRPr="009E69CE">
        <w:rPr>
          <w:rFonts w:ascii="Times New Roman" w:eastAsia="Times New Roman" w:hAnsi="Times New Roman" w:cs="Times New Roman"/>
          <w:i/>
          <w:iCs/>
          <w:sz w:val="24"/>
          <w:szCs w:val="24"/>
          <w:lang w:eastAsia="en-GB"/>
        </w:rPr>
        <w:t>The Journal of Financial and Quantitative Analysis</w:t>
      </w:r>
      <w:r w:rsidRPr="009E69CE">
        <w:rPr>
          <w:rFonts w:ascii="Times New Roman" w:eastAsia="Times New Roman" w:hAnsi="Times New Roman" w:cs="Times New Roman"/>
          <w:sz w:val="24"/>
          <w:szCs w:val="24"/>
          <w:lang w:eastAsia="en-GB"/>
        </w:rPr>
        <w:t xml:space="preserve">, 20(4), p. 391. </w:t>
      </w:r>
    </w:p>
    <w:p w14:paraId="4D891B72" w14:textId="77777777" w:rsidR="00E96A5E" w:rsidRPr="009E69CE" w:rsidRDefault="00E96A5E" w:rsidP="00E96A5E">
      <w:pPr>
        <w:numPr>
          <w:ilvl w:val="0"/>
          <w:numId w:val="11"/>
        </w:numPr>
        <w:spacing w:after="240" w:line="480" w:lineRule="auto"/>
        <w:ind w:left="0" w:firstLine="0"/>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Srivastav, A., &amp; Hagendorff, J. (2016), Corporate governance and bank risk-taking, </w:t>
      </w:r>
      <w:r w:rsidRPr="009E69CE">
        <w:rPr>
          <w:rFonts w:ascii="Times New Roman" w:eastAsia="Times New Roman" w:hAnsi="Times New Roman" w:cs="Times New Roman"/>
          <w:i/>
          <w:iCs/>
          <w:sz w:val="24"/>
          <w:szCs w:val="24"/>
          <w:lang w:eastAsia="en-GB"/>
        </w:rPr>
        <w:t>Corporate Governance: An International Review</w:t>
      </w:r>
      <w:r w:rsidRPr="009E69CE">
        <w:rPr>
          <w:rFonts w:ascii="Times New Roman" w:eastAsia="Times New Roman" w:hAnsi="Times New Roman" w:cs="Times New Roman"/>
          <w:sz w:val="24"/>
          <w:szCs w:val="24"/>
          <w:lang w:eastAsia="en-GB"/>
        </w:rPr>
        <w:t xml:space="preserve">, 24(3), pp. 334–345. </w:t>
      </w:r>
    </w:p>
    <w:p w14:paraId="1FEEB0C5" w14:textId="5A601CC4" w:rsidR="00057265" w:rsidRDefault="00E96A5E" w:rsidP="00E96A5E">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sz w:val="24"/>
          <w:szCs w:val="24"/>
          <w:lang w:eastAsia="en-GB"/>
        </w:rPr>
      </w:pPr>
      <w:r w:rsidRPr="009E69CE">
        <w:rPr>
          <w:rFonts w:ascii="Times New Roman" w:eastAsia="Times New Roman" w:hAnsi="Times New Roman" w:cs="Times New Roman"/>
          <w:sz w:val="24"/>
          <w:szCs w:val="24"/>
          <w:lang w:eastAsia="en-GB"/>
        </w:rPr>
        <w:t xml:space="preserve">Stultz, R. M. (2008). Risk management failures: What are they and when do they happen? </w:t>
      </w:r>
      <w:r w:rsidRPr="009E69CE">
        <w:rPr>
          <w:rFonts w:ascii="Times New Roman" w:eastAsia="Times New Roman" w:hAnsi="Times New Roman" w:cs="Times New Roman"/>
          <w:i/>
          <w:iCs/>
          <w:sz w:val="24"/>
          <w:szCs w:val="24"/>
          <w:lang w:eastAsia="en-GB"/>
        </w:rPr>
        <w:t>Journal of Applied Corporate Finance</w:t>
      </w:r>
      <w:r w:rsidRPr="009E69CE">
        <w:rPr>
          <w:rFonts w:ascii="Times New Roman" w:eastAsia="Times New Roman" w:hAnsi="Times New Roman" w:cs="Times New Roman"/>
          <w:sz w:val="24"/>
          <w:szCs w:val="24"/>
          <w:lang w:eastAsia="en-GB"/>
        </w:rPr>
        <w:t xml:space="preserve">, </w:t>
      </w:r>
      <w:r w:rsidRPr="009E69CE">
        <w:rPr>
          <w:rFonts w:ascii="Times New Roman" w:eastAsia="Times New Roman" w:hAnsi="Times New Roman" w:cs="Times New Roman"/>
          <w:i/>
          <w:iCs/>
          <w:sz w:val="24"/>
          <w:szCs w:val="24"/>
          <w:lang w:eastAsia="en-GB"/>
        </w:rPr>
        <w:t>204</w:t>
      </w:r>
      <w:r w:rsidRPr="009E69CE">
        <w:rPr>
          <w:rFonts w:ascii="Times New Roman" w:eastAsia="Times New Roman" w:hAnsi="Times New Roman" w:cs="Times New Roman"/>
          <w:sz w:val="24"/>
          <w:szCs w:val="24"/>
          <w:lang w:eastAsia="en-GB"/>
        </w:rPr>
        <w:t>(4), 2–13</w:t>
      </w:r>
      <w:r w:rsidRPr="00E96A5E">
        <w:rPr>
          <w:rFonts w:ascii="Times New Roman" w:eastAsia="Times New Roman" w:hAnsi="Times New Roman" w:cs="Times New Roman"/>
          <w:sz w:val="24"/>
          <w:szCs w:val="24"/>
          <w:lang w:eastAsia="en-GB"/>
        </w:rPr>
        <w:t>.</w:t>
      </w:r>
    </w:p>
    <w:p w14:paraId="343C7ED2" w14:textId="77777777" w:rsidR="00057265" w:rsidRDefault="00057265">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DF9FCB2" w14:textId="101E17EE" w:rsidR="00E96A5E" w:rsidRDefault="00E96A5E"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6D88C17A" w14:textId="35A801ED"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095EC3B5" w14:textId="27148F31"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5AC61BDF" w14:textId="3018236D"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2913EC5C" w14:textId="77777777"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103654C0" w14:textId="563AC3DE"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2BFDBE26" w14:textId="77777777" w:rsidR="003C7034" w:rsidRDefault="003C7034"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534095E6" w14:textId="77777777" w:rsidR="003C7034" w:rsidRDefault="003C7034"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367E9015" w14:textId="77777777" w:rsidR="003C7034" w:rsidRDefault="003C7034"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77C853A9" w14:textId="77777777" w:rsidR="003C7034" w:rsidRDefault="003C7034"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2778F57D" w14:textId="5A614831" w:rsidR="00057265" w:rsidRDefault="00057265" w:rsidP="00057265">
      <w:pPr>
        <w:spacing w:before="100" w:beforeAutospacing="1" w:after="100" w:afterAutospacing="1" w:line="480" w:lineRule="auto"/>
        <w:contextualSpacing/>
        <w:jc w:val="both"/>
        <w:rPr>
          <w:rFonts w:ascii="Times New Roman" w:eastAsia="Times New Roman" w:hAnsi="Times New Roman" w:cs="Times New Roman"/>
          <w:sz w:val="24"/>
          <w:szCs w:val="24"/>
          <w:lang w:eastAsia="en-GB"/>
        </w:rPr>
      </w:pPr>
    </w:p>
    <w:p w14:paraId="611B53B8" w14:textId="7709BF41" w:rsidR="00057265" w:rsidRPr="003C7034" w:rsidRDefault="00057265" w:rsidP="00057265">
      <w:pPr>
        <w:spacing w:before="100" w:beforeAutospacing="1" w:after="100" w:afterAutospacing="1" w:line="480" w:lineRule="auto"/>
        <w:contextualSpacing/>
        <w:jc w:val="center"/>
        <w:rPr>
          <w:rFonts w:ascii="Times New Roman" w:eastAsia="Times New Roman" w:hAnsi="Times New Roman" w:cs="Times New Roman"/>
          <w:b/>
          <w:bCs/>
          <w:i/>
          <w:iCs/>
          <w:sz w:val="48"/>
          <w:szCs w:val="48"/>
          <w:lang w:eastAsia="en-GB"/>
        </w:rPr>
      </w:pPr>
      <w:r w:rsidRPr="003C7034">
        <w:rPr>
          <w:rFonts w:ascii="Times New Roman" w:eastAsia="Times New Roman" w:hAnsi="Times New Roman" w:cs="Times New Roman"/>
          <w:b/>
          <w:bCs/>
          <w:i/>
          <w:iCs/>
          <w:sz w:val="48"/>
          <w:szCs w:val="48"/>
          <w:lang w:eastAsia="en-GB"/>
        </w:rPr>
        <w:t>CHAPTER 2</w:t>
      </w:r>
    </w:p>
    <w:p w14:paraId="4BFB1F3E" w14:textId="77777777" w:rsidR="00057265" w:rsidRPr="009E69CE" w:rsidRDefault="00057265" w:rsidP="009E69CE">
      <w:pPr>
        <w:spacing w:before="100" w:beforeAutospacing="1" w:after="100" w:afterAutospacing="1" w:line="480" w:lineRule="auto"/>
        <w:contextualSpacing/>
        <w:jc w:val="center"/>
        <w:rPr>
          <w:rFonts w:ascii="Times New Roman" w:eastAsia="Times New Roman" w:hAnsi="Times New Roman" w:cs="Times New Roman"/>
          <w:b/>
          <w:bCs/>
          <w:i/>
          <w:iCs/>
          <w:sz w:val="36"/>
          <w:szCs w:val="36"/>
          <w:lang w:eastAsia="en-GB"/>
        </w:rPr>
      </w:pPr>
    </w:p>
    <w:p w14:paraId="6A443808" w14:textId="77777777" w:rsidR="00E96A5E" w:rsidRPr="009E69CE" w:rsidRDefault="00E96A5E" w:rsidP="009E69CE">
      <w:pPr>
        <w:spacing w:line="480" w:lineRule="auto"/>
        <w:jc w:val="center"/>
        <w:rPr>
          <w:rFonts w:ascii="Times New Roman" w:hAnsi="Times New Roman" w:cs="Times New Roman"/>
          <w:sz w:val="36"/>
          <w:szCs w:val="36"/>
        </w:rPr>
      </w:pPr>
    </w:p>
    <w:p w14:paraId="07244A06" w14:textId="77777777" w:rsidR="00DB6C09" w:rsidRDefault="00DB6C09" w:rsidP="00624886">
      <w:pPr>
        <w:spacing w:line="480" w:lineRule="auto"/>
        <w:jc w:val="both"/>
        <w:rPr>
          <w:rFonts w:ascii="Times New Roman" w:hAnsi="Times New Roman" w:cs="Times New Roman"/>
          <w:sz w:val="24"/>
          <w:szCs w:val="24"/>
        </w:rPr>
      </w:pPr>
    </w:p>
    <w:p w14:paraId="5611F4CF" w14:textId="3C02FE3A" w:rsidR="00516366" w:rsidRDefault="00516366">
      <w:pPr>
        <w:rPr>
          <w:rFonts w:ascii="Times New Roman" w:hAnsi="Times New Roman" w:cs="Times New Roman"/>
          <w:sz w:val="24"/>
          <w:szCs w:val="24"/>
        </w:rPr>
      </w:pPr>
      <w:r>
        <w:rPr>
          <w:rFonts w:ascii="Times New Roman" w:hAnsi="Times New Roman" w:cs="Times New Roman"/>
          <w:sz w:val="24"/>
          <w:szCs w:val="24"/>
        </w:rPr>
        <w:br w:type="page"/>
      </w:r>
      <w:r w:rsidR="004925BF">
        <w:rPr>
          <w:rFonts w:ascii="Times New Roman" w:hAnsi="Times New Roman" w:cs="Times New Roman"/>
          <w:sz w:val="24"/>
          <w:szCs w:val="24"/>
        </w:rPr>
        <w:t>..</w:t>
      </w:r>
    </w:p>
    <w:p w14:paraId="1C026EE9" w14:textId="77777777" w:rsidR="00624886" w:rsidRPr="00624886" w:rsidRDefault="00624886" w:rsidP="00624886">
      <w:pPr>
        <w:spacing w:line="480" w:lineRule="auto"/>
        <w:jc w:val="both"/>
        <w:rPr>
          <w:rFonts w:ascii="Times New Roman" w:hAnsi="Times New Roman" w:cs="Times New Roman"/>
          <w:sz w:val="24"/>
          <w:szCs w:val="24"/>
        </w:rPr>
      </w:pPr>
    </w:p>
    <w:p w14:paraId="70979DCE" w14:textId="55A4F539" w:rsidR="003C7034" w:rsidRDefault="00624886" w:rsidP="003C7034">
      <w:pPr>
        <w:pStyle w:val="Heading1"/>
        <w:numPr>
          <w:ilvl w:val="0"/>
          <w:numId w:val="12"/>
        </w:numPr>
        <w:spacing w:after="360"/>
        <w:rPr>
          <w:sz w:val="40"/>
          <w:szCs w:val="40"/>
        </w:rPr>
      </w:pPr>
      <w:bookmarkStart w:id="21" w:name="_Toc145616167"/>
      <w:bookmarkStart w:id="22" w:name="_Hlk126082769"/>
      <w:r w:rsidRPr="003C7034">
        <w:rPr>
          <w:sz w:val="40"/>
          <w:szCs w:val="40"/>
        </w:rPr>
        <w:t>Theor</w:t>
      </w:r>
      <w:r w:rsidR="00516366" w:rsidRPr="003C7034">
        <w:rPr>
          <w:sz w:val="40"/>
          <w:szCs w:val="40"/>
        </w:rPr>
        <w:t>e</w:t>
      </w:r>
      <w:r w:rsidRPr="003C7034">
        <w:rPr>
          <w:sz w:val="40"/>
          <w:szCs w:val="40"/>
        </w:rPr>
        <w:t>tical Framework</w:t>
      </w:r>
      <w:bookmarkEnd w:id="21"/>
    </w:p>
    <w:p w14:paraId="2C3DB066" w14:textId="77777777" w:rsidR="003C7034" w:rsidRPr="003C7034" w:rsidRDefault="003C7034" w:rsidP="003C7034">
      <w:pPr>
        <w:pStyle w:val="ListParagraph"/>
        <w:ind w:left="360"/>
      </w:pPr>
    </w:p>
    <w:p w14:paraId="5DA476FD" w14:textId="6C8FD7CD" w:rsidR="00624886" w:rsidRPr="003C7034" w:rsidRDefault="00CC629E" w:rsidP="00CC629E">
      <w:pPr>
        <w:pStyle w:val="Heading2"/>
        <w:rPr>
          <w:sz w:val="32"/>
          <w:szCs w:val="32"/>
        </w:rPr>
      </w:pPr>
      <w:bookmarkStart w:id="23" w:name="_Toc145616168"/>
      <w:r>
        <w:rPr>
          <w:sz w:val="32"/>
          <w:szCs w:val="32"/>
        </w:rPr>
        <w:t>2.1.</w:t>
      </w:r>
      <w:r w:rsidR="00624886" w:rsidRPr="003C7034">
        <w:rPr>
          <w:sz w:val="32"/>
          <w:szCs w:val="32"/>
        </w:rPr>
        <w:t>Theor</w:t>
      </w:r>
      <w:r w:rsidR="00193A10" w:rsidRPr="003C7034">
        <w:rPr>
          <w:sz w:val="32"/>
          <w:szCs w:val="32"/>
        </w:rPr>
        <w:t xml:space="preserve">ies of </w:t>
      </w:r>
      <w:r w:rsidR="00CB2EB7" w:rsidRPr="003C7034">
        <w:rPr>
          <w:sz w:val="32"/>
          <w:szCs w:val="32"/>
        </w:rPr>
        <w:t>Bank Governance</w:t>
      </w:r>
      <w:bookmarkEnd w:id="23"/>
    </w:p>
    <w:p w14:paraId="64430220" w14:textId="06981769"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 xml:space="preserve">Banks suffer from governance problems like non-bank firms due to the separation of ownership and control (John et al., 2016). However, banks have unique features that intensify governance problems and might reduce the effectiveness of standard governance mechanisms (Caprio &amp; Levine, 2002; Leaven, 2013; Levine, 2004). In banks, the conflict of interest between shareholders and various stakeholders arises due to the structure of the business, </w:t>
      </w:r>
      <w:r w:rsidR="00B603C3" w:rsidRPr="00624886">
        <w:rPr>
          <w:rFonts w:ascii="Times New Roman" w:hAnsi="Times New Roman" w:cs="Times New Roman"/>
          <w:sz w:val="24"/>
          <w:szCs w:val="24"/>
        </w:rPr>
        <w:t>e.g.,</w:t>
      </w:r>
      <w:r w:rsidRPr="00624886">
        <w:rPr>
          <w:rFonts w:ascii="Times New Roman" w:hAnsi="Times New Roman" w:cs="Times New Roman"/>
          <w:sz w:val="24"/>
          <w:szCs w:val="24"/>
        </w:rPr>
        <w:t xml:space="preserve"> high leverage (Jensen </w:t>
      </w:r>
      <w:r w:rsidR="0009428C">
        <w:rPr>
          <w:rFonts w:ascii="Times New Roman" w:hAnsi="Times New Roman" w:cs="Times New Roman"/>
          <w:sz w:val="24"/>
          <w:szCs w:val="24"/>
        </w:rPr>
        <w:t>&amp;</w:t>
      </w:r>
      <w:r w:rsidRPr="00624886">
        <w:rPr>
          <w:rFonts w:ascii="Times New Roman" w:hAnsi="Times New Roman" w:cs="Times New Roman"/>
          <w:sz w:val="24"/>
          <w:szCs w:val="24"/>
        </w:rPr>
        <w:t xml:space="preserve"> Meckling, 1976), opaque information (Morgan, 2002), </w:t>
      </w:r>
      <w:r w:rsidR="00FA4401">
        <w:rPr>
          <w:rFonts w:ascii="Times New Roman" w:hAnsi="Times New Roman" w:cs="Times New Roman"/>
          <w:sz w:val="24"/>
          <w:szCs w:val="24"/>
        </w:rPr>
        <w:t>and moral hazard problem</w:t>
      </w:r>
      <w:r w:rsidR="00567377">
        <w:rPr>
          <w:rFonts w:ascii="Times New Roman" w:hAnsi="Times New Roman" w:cs="Times New Roman"/>
          <w:sz w:val="24"/>
          <w:szCs w:val="24"/>
        </w:rPr>
        <w:t>s</w:t>
      </w:r>
      <w:r w:rsidR="00FA4401">
        <w:rPr>
          <w:rFonts w:ascii="Times New Roman" w:hAnsi="Times New Roman" w:cs="Times New Roman"/>
          <w:sz w:val="24"/>
          <w:szCs w:val="24"/>
        </w:rPr>
        <w:t xml:space="preserve"> due to the </w:t>
      </w:r>
      <w:r w:rsidRPr="00624886">
        <w:rPr>
          <w:rFonts w:ascii="Times New Roman" w:hAnsi="Times New Roman" w:cs="Times New Roman"/>
          <w:sz w:val="24"/>
          <w:szCs w:val="24"/>
        </w:rPr>
        <w:t>presence of deposit insurance and implicit and explicit government guarantees (Merton, 1977).</w:t>
      </w:r>
    </w:p>
    <w:p w14:paraId="41C276E0" w14:textId="4A893C41" w:rsidR="00624886" w:rsidRPr="00624886" w:rsidRDefault="00B603C3" w:rsidP="0062488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624886" w:rsidRPr="00624886">
        <w:rPr>
          <w:rFonts w:ascii="Times New Roman" w:hAnsi="Times New Roman" w:cs="Times New Roman"/>
          <w:sz w:val="24"/>
          <w:szCs w:val="24"/>
        </w:rPr>
        <w:t xml:space="preserve">he capital structure of the banks makes them highly leveraged institutions, as banks finance approximately 90% of their loan portfolios with deposits and bonds (John et al., 2016). Banks' stakeholders (debtors/creditors) get exposed to a moral hazard problem of risk-shifting from shareholders as a corollary of high leverage (Jensen &amp; Meckling, 1976). All the gains on the assets side of the banks are absorbed by equity, even though it contributes fractionally to the total </w:t>
      </w:r>
      <w:r w:rsidR="00624886" w:rsidRPr="00567377">
        <w:rPr>
          <w:rFonts w:ascii="Times New Roman" w:hAnsi="Times New Roman" w:cs="Times New Roman"/>
          <w:sz w:val="24"/>
          <w:szCs w:val="24"/>
        </w:rPr>
        <w:t>funds. In</w:t>
      </w:r>
      <w:r w:rsidR="00624886" w:rsidRPr="00624886">
        <w:rPr>
          <w:rFonts w:ascii="Times New Roman" w:hAnsi="Times New Roman" w:cs="Times New Roman"/>
          <w:sz w:val="24"/>
          <w:szCs w:val="24"/>
        </w:rPr>
        <w:t xml:space="preserve"> the event of default, the entire burden of loss shifts to creditors and to the government as the insurer of deposits. As a result, shareholders are less motivated to account for losses that risk-taking can result in for creditors and taxpayers (</w:t>
      </w:r>
      <w:r w:rsidR="00624886" w:rsidRPr="00567377">
        <w:rPr>
          <w:rFonts w:ascii="Times New Roman" w:hAnsi="Times New Roman" w:cs="Times New Roman"/>
          <w:sz w:val="24"/>
          <w:szCs w:val="24"/>
        </w:rPr>
        <w:t>Tung, 2010)</w:t>
      </w:r>
      <w:r w:rsidR="00624886" w:rsidRPr="00624886">
        <w:rPr>
          <w:rFonts w:ascii="Times New Roman" w:hAnsi="Times New Roman" w:cs="Times New Roman"/>
          <w:sz w:val="24"/>
          <w:szCs w:val="24"/>
        </w:rPr>
        <w:t xml:space="preserve">. The problem worsens when management interest aligns with equity holders in highly leveraged firms like banks (John and Qian, 2003). This results in an increased conflict of interest between shareholders and debtholders. </w:t>
      </w:r>
    </w:p>
    <w:p w14:paraId="7A28E814" w14:textId="075AE034"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 xml:space="preserve">Secondly, the opacity and complexity of banking assets also challenge bank governance. As banks </w:t>
      </w:r>
      <w:r w:rsidR="001658DC">
        <w:rPr>
          <w:rFonts w:ascii="Times New Roman" w:hAnsi="Times New Roman" w:cs="Times New Roman"/>
          <w:sz w:val="24"/>
          <w:szCs w:val="24"/>
        </w:rPr>
        <w:t>collect</w:t>
      </w:r>
      <w:r w:rsidR="001658DC" w:rsidRPr="00624886">
        <w:rPr>
          <w:rFonts w:ascii="Times New Roman" w:hAnsi="Times New Roman" w:cs="Times New Roman"/>
          <w:sz w:val="24"/>
          <w:szCs w:val="24"/>
        </w:rPr>
        <w:t xml:space="preserve"> </w:t>
      </w:r>
      <w:r w:rsidRPr="00624886">
        <w:rPr>
          <w:rFonts w:ascii="Times New Roman" w:hAnsi="Times New Roman" w:cs="Times New Roman"/>
          <w:sz w:val="24"/>
          <w:szCs w:val="24"/>
        </w:rPr>
        <w:t>funds from depositors and bondholders and channel them to borrowers as loans, the confidential information collected by the bank about their loan portfolio is neither disclosed nor assessable to the stakeholder (</w:t>
      </w:r>
      <w:r w:rsidRPr="00567377">
        <w:rPr>
          <w:rFonts w:ascii="Times New Roman" w:hAnsi="Times New Roman" w:cs="Times New Roman"/>
          <w:sz w:val="24"/>
          <w:szCs w:val="24"/>
        </w:rPr>
        <w:t>Mehran et al., 201</w:t>
      </w:r>
      <w:r w:rsidR="00567377">
        <w:rPr>
          <w:rFonts w:ascii="Times New Roman" w:hAnsi="Times New Roman" w:cs="Times New Roman"/>
          <w:sz w:val="24"/>
          <w:szCs w:val="24"/>
        </w:rPr>
        <w:t>2</w:t>
      </w:r>
      <w:r w:rsidRPr="00624886">
        <w:rPr>
          <w:rFonts w:ascii="Times New Roman" w:hAnsi="Times New Roman" w:cs="Times New Roman"/>
          <w:sz w:val="24"/>
          <w:szCs w:val="24"/>
        </w:rPr>
        <w:t>). This complicates the bank's assets' true valuation, resulting in information asymmetry</w:t>
      </w:r>
      <w:r w:rsidR="001658DC">
        <w:rPr>
          <w:rFonts w:ascii="Times New Roman" w:hAnsi="Times New Roman" w:cs="Times New Roman"/>
          <w:sz w:val="24"/>
          <w:szCs w:val="24"/>
        </w:rPr>
        <w:t xml:space="preserve"> </w:t>
      </w:r>
      <w:r w:rsidRPr="00624886">
        <w:rPr>
          <w:rFonts w:ascii="Times New Roman" w:hAnsi="Times New Roman" w:cs="Times New Roman"/>
          <w:sz w:val="24"/>
          <w:szCs w:val="24"/>
        </w:rPr>
        <w:t xml:space="preserve">(Diamond, 1989; Morgan, 2002). Information asymmetry is highlighted as one of the primary reasons for the </w:t>
      </w:r>
      <w:r w:rsidR="00B603C3">
        <w:rPr>
          <w:rFonts w:ascii="Times New Roman" w:hAnsi="Times New Roman" w:cs="Times New Roman"/>
          <w:sz w:val="24"/>
          <w:szCs w:val="24"/>
        </w:rPr>
        <w:t>GFC</w:t>
      </w:r>
      <w:r w:rsidRPr="00624886">
        <w:rPr>
          <w:rFonts w:ascii="Times New Roman" w:hAnsi="Times New Roman" w:cs="Times New Roman"/>
          <w:sz w:val="24"/>
          <w:szCs w:val="24"/>
        </w:rPr>
        <w:t xml:space="preserve"> 2007-2009, where securitized products increased bank risk (John et al., 2016). Information asymmetry in banks increases challenges to </w:t>
      </w:r>
      <w:r w:rsidR="001658DC">
        <w:rPr>
          <w:rFonts w:ascii="Times New Roman" w:hAnsi="Times New Roman" w:cs="Times New Roman"/>
          <w:sz w:val="24"/>
          <w:szCs w:val="24"/>
        </w:rPr>
        <w:t xml:space="preserve">monitor </w:t>
      </w:r>
      <w:r w:rsidRPr="00624886">
        <w:rPr>
          <w:rFonts w:ascii="Times New Roman" w:hAnsi="Times New Roman" w:cs="Times New Roman"/>
          <w:sz w:val="24"/>
          <w:szCs w:val="24"/>
        </w:rPr>
        <w:t xml:space="preserve">managers, especially in the presence of diffuse equity holders and conflict of interest between shareholders and debt holders due to high leverage (Levine, 2004). Furthermore, opaque business structures provide an opportunity for the managers to serve their self-interest, </w:t>
      </w:r>
      <w:r w:rsidR="00B603C3" w:rsidRPr="00624886">
        <w:rPr>
          <w:rFonts w:ascii="Times New Roman" w:hAnsi="Times New Roman" w:cs="Times New Roman"/>
          <w:sz w:val="24"/>
          <w:szCs w:val="24"/>
        </w:rPr>
        <w:t>i.e.,</w:t>
      </w:r>
      <w:r w:rsidRPr="00624886">
        <w:rPr>
          <w:rFonts w:ascii="Times New Roman" w:hAnsi="Times New Roman" w:cs="Times New Roman"/>
          <w:sz w:val="24"/>
          <w:szCs w:val="24"/>
        </w:rPr>
        <w:t xml:space="preserve"> find ways to easily manipulate their compensation packages (Levine, 2004; John et al., 2016) </w:t>
      </w:r>
    </w:p>
    <w:p w14:paraId="02ECD26A" w14:textId="0806846B"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Thirdly, the unique feature of banks in the form of implicit and explicit guarantees poses a challenge to bank governance by worsening the monitoring by shareholders and even creditors (</w:t>
      </w:r>
      <w:r w:rsidR="00491DBE">
        <w:rPr>
          <w:rFonts w:ascii="Times New Roman" w:hAnsi="Times New Roman" w:cs="Times New Roman"/>
          <w:sz w:val="24"/>
          <w:szCs w:val="24"/>
        </w:rPr>
        <w:t xml:space="preserve">Srivastav </w:t>
      </w:r>
      <w:r w:rsidRPr="00624886">
        <w:rPr>
          <w:rFonts w:ascii="Times New Roman" w:hAnsi="Times New Roman" w:cs="Times New Roman"/>
          <w:sz w:val="24"/>
          <w:szCs w:val="24"/>
        </w:rPr>
        <w:t>et al., 20</w:t>
      </w:r>
      <w:r w:rsidR="00491DBE">
        <w:rPr>
          <w:rFonts w:ascii="Times New Roman" w:hAnsi="Times New Roman" w:cs="Times New Roman"/>
          <w:sz w:val="24"/>
          <w:szCs w:val="24"/>
        </w:rPr>
        <w:t>1</w:t>
      </w:r>
      <w:r w:rsidR="00B82406">
        <w:rPr>
          <w:rFonts w:ascii="Times New Roman" w:hAnsi="Times New Roman" w:cs="Times New Roman"/>
          <w:sz w:val="24"/>
          <w:szCs w:val="24"/>
        </w:rPr>
        <w:t>6</w:t>
      </w:r>
      <w:r w:rsidRPr="00624886">
        <w:rPr>
          <w:rFonts w:ascii="Times New Roman" w:hAnsi="Times New Roman" w:cs="Times New Roman"/>
          <w:sz w:val="24"/>
          <w:szCs w:val="24"/>
        </w:rPr>
        <w:t xml:space="preserve">). In the presence of such guaranteed schemes by the regulators, depositors and creditors are not motivated to monitor as they know that their funds are, fully or partly, protected regardless of the outcomes of the investment strategies that the banks select (John et al., 2016). </w:t>
      </w:r>
      <w:r w:rsidR="00567377">
        <w:rPr>
          <w:rFonts w:ascii="Times New Roman" w:hAnsi="Times New Roman" w:cs="Times New Roman"/>
          <w:sz w:val="24"/>
          <w:szCs w:val="24"/>
        </w:rPr>
        <w:t>T</w:t>
      </w:r>
      <w:r w:rsidRPr="00624886">
        <w:rPr>
          <w:rFonts w:ascii="Times New Roman" w:hAnsi="Times New Roman" w:cs="Times New Roman"/>
          <w:sz w:val="24"/>
          <w:szCs w:val="24"/>
        </w:rPr>
        <w:t xml:space="preserve">he unique feature of implicit and explicit guarantees </w:t>
      </w:r>
      <w:r w:rsidR="00567377">
        <w:rPr>
          <w:rFonts w:ascii="Times New Roman" w:hAnsi="Times New Roman" w:cs="Times New Roman"/>
          <w:sz w:val="24"/>
          <w:szCs w:val="24"/>
        </w:rPr>
        <w:t xml:space="preserve">also </w:t>
      </w:r>
      <w:r w:rsidRPr="00624886">
        <w:rPr>
          <w:rFonts w:ascii="Times New Roman" w:hAnsi="Times New Roman" w:cs="Times New Roman"/>
          <w:sz w:val="24"/>
          <w:szCs w:val="24"/>
        </w:rPr>
        <w:t xml:space="preserve">worsens the monitoring </w:t>
      </w:r>
      <w:r w:rsidR="00567377">
        <w:rPr>
          <w:rFonts w:ascii="Times New Roman" w:hAnsi="Times New Roman" w:cs="Times New Roman"/>
          <w:sz w:val="24"/>
          <w:szCs w:val="24"/>
        </w:rPr>
        <w:t xml:space="preserve">by the regulators </w:t>
      </w:r>
      <w:r w:rsidRPr="00624886">
        <w:rPr>
          <w:rFonts w:ascii="Times New Roman" w:hAnsi="Times New Roman" w:cs="Times New Roman"/>
          <w:sz w:val="24"/>
          <w:szCs w:val="24"/>
        </w:rPr>
        <w:t xml:space="preserve">in banks while protecting the broader interest of the global economy, financial </w:t>
      </w:r>
      <w:r w:rsidR="00491DBE" w:rsidRPr="00624886">
        <w:rPr>
          <w:rFonts w:ascii="Times New Roman" w:hAnsi="Times New Roman" w:cs="Times New Roman"/>
          <w:sz w:val="24"/>
          <w:szCs w:val="24"/>
        </w:rPr>
        <w:t>system,</w:t>
      </w:r>
      <w:r w:rsidRPr="00624886">
        <w:rPr>
          <w:rFonts w:ascii="Times New Roman" w:hAnsi="Times New Roman" w:cs="Times New Roman"/>
          <w:sz w:val="24"/>
          <w:szCs w:val="24"/>
        </w:rPr>
        <w:t xml:space="preserve"> and depositors (Caprio and Levine, 20</w:t>
      </w:r>
      <w:r w:rsidR="00491DBE">
        <w:rPr>
          <w:rFonts w:ascii="Times New Roman" w:hAnsi="Times New Roman" w:cs="Times New Roman"/>
          <w:sz w:val="24"/>
          <w:szCs w:val="24"/>
        </w:rPr>
        <w:t>0</w:t>
      </w:r>
      <w:r w:rsidRPr="00624886">
        <w:rPr>
          <w:rFonts w:ascii="Times New Roman" w:hAnsi="Times New Roman" w:cs="Times New Roman"/>
          <w:sz w:val="24"/>
          <w:szCs w:val="24"/>
        </w:rPr>
        <w:t xml:space="preserve">2). For example, the </w:t>
      </w:r>
      <w:r w:rsidR="00B603C3">
        <w:rPr>
          <w:rFonts w:ascii="Times New Roman" w:hAnsi="Times New Roman" w:cs="Times New Roman"/>
          <w:sz w:val="24"/>
          <w:szCs w:val="24"/>
        </w:rPr>
        <w:t>GFC</w:t>
      </w:r>
      <w:r w:rsidRPr="00624886">
        <w:rPr>
          <w:rFonts w:ascii="Times New Roman" w:hAnsi="Times New Roman" w:cs="Times New Roman"/>
          <w:sz w:val="24"/>
          <w:szCs w:val="24"/>
        </w:rPr>
        <w:t xml:space="preserve"> of 2007-2009 shifted the debate of risk taken by the banks towards systemic risk, demonstrating the banking sector's fragility. Systemic risk arises because banks (directors and senior managers) are incentivized to take the excessive risk because they do not incur the total social costs of their risk-taking (IMF, 2014). Bank regulators (the principals), acting as agents for society as a whole, aim to establish a system that limits systemic risk by supervising the risk behaviour of banks, directors and senior managers (the agents) (</w:t>
      </w:r>
      <w:r w:rsidRPr="00567377">
        <w:rPr>
          <w:rFonts w:ascii="Times New Roman" w:hAnsi="Times New Roman" w:cs="Times New Roman"/>
          <w:sz w:val="24"/>
          <w:szCs w:val="24"/>
        </w:rPr>
        <w:t>Goodhart et al., 1998)</w:t>
      </w:r>
      <w:r w:rsidRPr="00624886">
        <w:rPr>
          <w:rFonts w:ascii="Times New Roman" w:hAnsi="Times New Roman" w:cs="Times New Roman"/>
          <w:sz w:val="24"/>
          <w:szCs w:val="24"/>
        </w:rPr>
        <w:t>.</w:t>
      </w:r>
      <w:r w:rsidR="00BE48D9">
        <w:rPr>
          <w:rFonts w:ascii="Times New Roman" w:hAnsi="Times New Roman" w:cs="Times New Roman"/>
          <w:sz w:val="24"/>
          <w:szCs w:val="24"/>
        </w:rPr>
        <w:t xml:space="preserve"> </w:t>
      </w:r>
      <w:r w:rsidRPr="00624886">
        <w:rPr>
          <w:rFonts w:ascii="Times New Roman" w:hAnsi="Times New Roman" w:cs="Times New Roman"/>
          <w:sz w:val="24"/>
          <w:szCs w:val="24"/>
        </w:rPr>
        <w:t>In the principal-agent relationship, regulators are dominant because they can legally enforce their will over the banks (</w:t>
      </w:r>
      <w:r w:rsidRPr="00567377">
        <w:rPr>
          <w:rFonts w:ascii="Times New Roman" w:hAnsi="Times New Roman" w:cs="Times New Roman"/>
          <w:sz w:val="24"/>
          <w:szCs w:val="24"/>
        </w:rPr>
        <w:t>Black, 2005</w:t>
      </w:r>
      <w:r w:rsidRPr="00624886">
        <w:rPr>
          <w:rFonts w:ascii="Times New Roman" w:hAnsi="Times New Roman" w:cs="Times New Roman"/>
          <w:sz w:val="24"/>
          <w:szCs w:val="24"/>
        </w:rPr>
        <w:t xml:space="preserve">). Thus, regulators discipline the banks by imposing regulatory requirements on capital and prudential requirements on bank governance to address these governance </w:t>
      </w:r>
      <w:r w:rsidR="00D15998" w:rsidRPr="00624886">
        <w:rPr>
          <w:rFonts w:ascii="Times New Roman" w:hAnsi="Times New Roman" w:cs="Times New Roman"/>
          <w:sz w:val="24"/>
          <w:szCs w:val="24"/>
        </w:rPr>
        <w:t>problems (</w:t>
      </w:r>
      <w:r w:rsidRPr="00624886">
        <w:rPr>
          <w:rFonts w:ascii="Times New Roman" w:hAnsi="Times New Roman" w:cs="Times New Roman"/>
          <w:sz w:val="24"/>
          <w:szCs w:val="24"/>
        </w:rPr>
        <w:t>IMF, 2014).</w:t>
      </w:r>
    </w:p>
    <w:p w14:paraId="035A3BFA" w14:textId="7DDAA528" w:rsidR="00D15998"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While disciplining the banks, regulators face various challenges hamper</w:t>
      </w:r>
      <w:r w:rsidR="00057265">
        <w:rPr>
          <w:rFonts w:ascii="Times New Roman" w:hAnsi="Times New Roman" w:cs="Times New Roman"/>
          <w:sz w:val="24"/>
          <w:szCs w:val="24"/>
        </w:rPr>
        <w:t>ing</w:t>
      </w:r>
      <w:r w:rsidRPr="00624886">
        <w:rPr>
          <w:rFonts w:ascii="Times New Roman" w:hAnsi="Times New Roman" w:cs="Times New Roman"/>
          <w:sz w:val="24"/>
          <w:szCs w:val="24"/>
        </w:rPr>
        <w:t xml:space="preserve"> their work in three distinct ways: 1) Lack of information about the bank's risk management function, ii) inability to determine to what extent the bank follows the rules and iii) existence of residual risk. Despite having a dominant role in the principal-agent relationship, regulators face </w:t>
      </w:r>
      <w:r w:rsidR="00BE48D9">
        <w:rPr>
          <w:rFonts w:ascii="Times New Roman" w:hAnsi="Times New Roman" w:cs="Times New Roman"/>
          <w:sz w:val="24"/>
          <w:szCs w:val="24"/>
        </w:rPr>
        <w:t>a</w:t>
      </w:r>
      <w:r w:rsidR="00BE48D9" w:rsidRPr="00624886">
        <w:rPr>
          <w:rFonts w:ascii="Times New Roman" w:hAnsi="Times New Roman" w:cs="Times New Roman"/>
          <w:sz w:val="24"/>
          <w:szCs w:val="24"/>
        </w:rPr>
        <w:t xml:space="preserve"> </w:t>
      </w:r>
      <w:r w:rsidRPr="00624886">
        <w:rPr>
          <w:rFonts w:ascii="Times New Roman" w:hAnsi="Times New Roman" w:cs="Times New Roman"/>
          <w:sz w:val="24"/>
          <w:szCs w:val="24"/>
        </w:rPr>
        <w:t>moral hazard problem. The moral hazard problem arises between regulators and banks under various circumstances</w:t>
      </w:r>
      <w:r w:rsidR="00567377">
        <w:rPr>
          <w:rFonts w:ascii="Times New Roman" w:hAnsi="Times New Roman" w:cs="Times New Roman"/>
          <w:sz w:val="24"/>
          <w:szCs w:val="24"/>
        </w:rPr>
        <w:t>,</w:t>
      </w:r>
      <w:r w:rsidRPr="00624886">
        <w:rPr>
          <w:rFonts w:ascii="Times New Roman" w:hAnsi="Times New Roman" w:cs="Times New Roman"/>
          <w:sz w:val="24"/>
          <w:szCs w:val="24"/>
        </w:rPr>
        <w:t xml:space="preserve"> e.g., when a one-off opportunity might a</w:t>
      </w:r>
      <w:r w:rsidR="00567377">
        <w:rPr>
          <w:rFonts w:ascii="Times New Roman" w:hAnsi="Times New Roman" w:cs="Times New Roman"/>
          <w:sz w:val="24"/>
          <w:szCs w:val="24"/>
        </w:rPr>
        <w:t>ppear</w:t>
      </w:r>
      <w:r w:rsidRPr="00624886">
        <w:rPr>
          <w:rFonts w:ascii="Times New Roman" w:hAnsi="Times New Roman" w:cs="Times New Roman"/>
          <w:sz w:val="24"/>
          <w:szCs w:val="24"/>
        </w:rPr>
        <w:t xml:space="preserve"> at a bank that is too good to miss (</w:t>
      </w:r>
      <w:r w:rsidR="00B603C3" w:rsidRPr="00624886">
        <w:rPr>
          <w:rFonts w:ascii="Times New Roman" w:hAnsi="Times New Roman" w:cs="Times New Roman"/>
          <w:sz w:val="24"/>
          <w:szCs w:val="24"/>
        </w:rPr>
        <w:t>e.g.,</w:t>
      </w:r>
      <w:r w:rsidRPr="00624886">
        <w:rPr>
          <w:rFonts w:ascii="Times New Roman" w:hAnsi="Times New Roman" w:cs="Times New Roman"/>
          <w:sz w:val="24"/>
          <w:szCs w:val="24"/>
        </w:rPr>
        <w:t xml:space="preserve"> </w:t>
      </w:r>
      <w:r w:rsidR="00567377">
        <w:rPr>
          <w:rFonts w:ascii="Times New Roman" w:hAnsi="Times New Roman" w:cs="Times New Roman"/>
          <w:sz w:val="24"/>
          <w:szCs w:val="24"/>
        </w:rPr>
        <w:t xml:space="preserve">the </w:t>
      </w:r>
      <w:r w:rsidRPr="00624886">
        <w:rPr>
          <w:rFonts w:ascii="Times New Roman" w:hAnsi="Times New Roman" w:cs="Times New Roman"/>
          <w:sz w:val="24"/>
          <w:szCs w:val="24"/>
        </w:rPr>
        <w:t xml:space="preserve">Barings fiasco is an excellent example).  </w:t>
      </w:r>
      <w:r w:rsidR="00BE48D9">
        <w:rPr>
          <w:rFonts w:ascii="Times New Roman" w:hAnsi="Times New Roman" w:cs="Times New Roman"/>
          <w:sz w:val="24"/>
          <w:szCs w:val="24"/>
        </w:rPr>
        <w:t>A</w:t>
      </w:r>
      <w:r w:rsidRPr="00624886">
        <w:rPr>
          <w:rFonts w:ascii="Times New Roman" w:hAnsi="Times New Roman" w:cs="Times New Roman"/>
          <w:sz w:val="24"/>
          <w:szCs w:val="24"/>
        </w:rPr>
        <w:t xml:space="preserve"> moral hazard problem </w:t>
      </w:r>
      <w:r w:rsidR="00BE48D9">
        <w:rPr>
          <w:rFonts w:ascii="Times New Roman" w:hAnsi="Times New Roman" w:cs="Times New Roman"/>
          <w:sz w:val="24"/>
          <w:szCs w:val="24"/>
        </w:rPr>
        <w:t xml:space="preserve">can </w:t>
      </w:r>
      <w:r w:rsidRPr="00624886">
        <w:rPr>
          <w:rFonts w:ascii="Times New Roman" w:hAnsi="Times New Roman" w:cs="Times New Roman"/>
          <w:sz w:val="24"/>
          <w:szCs w:val="24"/>
        </w:rPr>
        <w:t>occur when banks are reluctant to confess their mistakes/errors/losses to the regulator, which raises concerns about the bank's design policy (</w:t>
      </w:r>
      <w:r w:rsidRPr="00567377">
        <w:rPr>
          <w:rFonts w:ascii="Times New Roman" w:hAnsi="Times New Roman" w:cs="Times New Roman"/>
          <w:sz w:val="24"/>
          <w:szCs w:val="24"/>
        </w:rPr>
        <w:t>Henrich and Hunt, 1996).</w:t>
      </w:r>
      <w:r w:rsidRPr="00624886">
        <w:rPr>
          <w:rFonts w:ascii="Times New Roman" w:hAnsi="Times New Roman" w:cs="Times New Roman"/>
          <w:sz w:val="24"/>
          <w:szCs w:val="24"/>
        </w:rPr>
        <w:t xml:space="preserve"> Moreover, even if banks are given a real incentive (rating by the regulators) to share their risk management arrangements with regulators, there is a chance that all banks will self-select into the top group. This behaviour is likely seen as every bank want</w:t>
      </w:r>
      <w:r w:rsidR="00567377">
        <w:rPr>
          <w:rFonts w:ascii="Times New Roman" w:hAnsi="Times New Roman" w:cs="Times New Roman"/>
          <w:sz w:val="24"/>
          <w:szCs w:val="24"/>
        </w:rPr>
        <w:t>ing</w:t>
      </w:r>
      <w:r w:rsidRPr="00624886">
        <w:rPr>
          <w:rFonts w:ascii="Times New Roman" w:hAnsi="Times New Roman" w:cs="Times New Roman"/>
          <w:sz w:val="24"/>
          <w:szCs w:val="24"/>
        </w:rPr>
        <w:t xml:space="preserve"> to be considered careful, </w:t>
      </w:r>
      <w:r w:rsidR="00B603C3" w:rsidRPr="00624886">
        <w:rPr>
          <w:rFonts w:ascii="Times New Roman" w:hAnsi="Times New Roman" w:cs="Times New Roman"/>
          <w:sz w:val="24"/>
          <w:szCs w:val="24"/>
        </w:rPr>
        <w:t>prudent,</w:t>
      </w:r>
      <w:r w:rsidRPr="00624886">
        <w:rPr>
          <w:rFonts w:ascii="Times New Roman" w:hAnsi="Times New Roman" w:cs="Times New Roman"/>
          <w:sz w:val="24"/>
          <w:szCs w:val="24"/>
        </w:rPr>
        <w:t xml:space="preserve"> and safe</w:t>
      </w:r>
      <w:r w:rsidR="00BE48D9">
        <w:rPr>
          <w:rFonts w:ascii="Times New Roman" w:hAnsi="Times New Roman" w:cs="Times New Roman"/>
          <w:sz w:val="24"/>
          <w:szCs w:val="24"/>
        </w:rPr>
        <w:t>, making it challenging</w:t>
      </w:r>
      <w:r w:rsidRPr="00624886">
        <w:rPr>
          <w:rFonts w:ascii="Times New Roman" w:hAnsi="Times New Roman" w:cs="Times New Roman"/>
          <w:sz w:val="24"/>
          <w:szCs w:val="24"/>
        </w:rPr>
        <w:t xml:space="preserve"> for regulators to gain an actual picture. Despite the challenges, regulators solve banks' multiple agency problems by effectively undertaking a close and continuous monitoring regime of the bank's risk management and governance systems</w:t>
      </w:r>
      <w:r w:rsidR="00BE48D9">
        <w:rPr>
          <w:rFonts w:ascii="Times New Roman" w:hAnsi="Times New Roman" w:cs="Times New Roman"/>
          <w:sz w:val="24"/>
          <w:szCs w:val="24"/>
        </w:rPr>
        <w:t xml:space="preserve"> </w:t>
      </w:r>
      <w:r w:rsidRPr="00624886">
        <w:rPr>
          <w:rFonts w:ascii="Times New Roman" w:hAnsi="Times New Roman" w:cs="Times New Roman"/>
          <w:sz w:val="24"/>
          <w:szCs w:val="24"/>
        </w:rPr>
        <w:t>(</w:t>
      </w:r>
      <w:r w:rsidRPr="00567377">
        <w:rPr>
          <w:rFonts w:ascii="Times New Roman" w:hAnsi="Times New Roman" w:cs="Times New Roman"/>
          <w:sz w:val="24"/>
          <w:szCs w:val="24"/>
        </w:rPr>
        <w:t>FSA,2006c</w:t>
      </w:r>
      <w:r w:rsidRPr="00624886">
        <w:rPr>
          <w:rFonts w:ascii="Times New Roman" w:hAnsi="Times New Roman" w:cs="Times New Roman"/>
          <w:sz w:val="24"/>
          <w:szCs w:val="24"/>
        </w:rPr>
        <w:t xml:space="preserve">). </w:t>
      </w:r>
    </w:p>
    <w:p w14:paraId="024C0B72" w14:textId="77777777" w:rsidR="00D15998" w:rsidRDefault="00D15998">
      <w:pPr>
        <w:rPr>
          <w:rFonts w:ascii="Times New Roman" w:hAnsi="Times New Roman" w:cs="Times New Roman"/>
          <w:sz w:val="24"/>
          <w:szCs w:val="24"/>
        </w:rPr>
      </w:pPr>
      <w:r>
        <w:rPr>
          <w:rFonts w:ascii="Times New Roman" w:hAnsi="Times New Roman" w:cs="Times New Roman"/>
          <w:sz w:val="24"/>
          <w:szCs w:val="24"/>
        </w:rPr>
        <w:br w:type="page"/>
      </w:r>
    </w:p>
    <w:p w14:paraId="40E1BEEC" w14:textId="77777777" w:rsidR="00624886" w:rsidRPr="00624886" w:rsidRDefault="00624886" w:rsidP="00624886">
      <w:pPr>
        <w:spacing w:line="480" w:lineRule="auto"/>
        <w:jc w:val="both"/>
        <w:rPr>
          <w:rFonts w:ascii="Times New Roman" w:hAnsi="Times New Roman" w:cs="Times New Roman"/>
          <w:sz w:val="24"/>
          <w:szCs w:val="24"/>
        </w:rPr>
      </w:pPr>
    </w:p>
    <w:p w14:paraId="099CD6CF" w14:textId="744C4D48" w:rsidR="00556235" w:rsidRPr="003C7034" w:rsidRDefault="00556235" w:rsidP="003C7034">
      <w:pPr>
        <w:pStyle w:val="Heading2"/>
        <w:numPr>
          <w:ilvl w:val="0"/>
          <w:numId w:val="19"/>
        </w:numPr>
        <w:rPr>
          <w:sz w:val="32"/>
          <w:szCs w:val="32"/>
        </w:rPr>
      </w:pPr>
      <w:bookmarkStart w:id="24" w:name="_Toc145616169"/>
      <w:r w:rsidRPr="003C7034">
        <w:rPr>
          <w:sz w:val="32"/>
          <w:szCs w:val="32"/>
        </w:rPr>
        <w:t>Risk Culture and Risk Governance</w:t>
      </w:r>
      <w:bookmarkEnd w:id="24"/>
    </w:p>
    <w:p w14:paraId="7A322629" w14:textId="478AAF1B"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 xml:space="preserve">In the aftermath of the </w:t>
      </w:r>
      <w:r w:rsidR="00B603C3">
        <w:rPr>
          <w:rFonts w:ascii="Times New Roman" w:hAnsi="Times New Roman" w:cs="Times New Roman"/>
          <w:sz w:val="24"/>
          <w:szCs w:val="24"/>
        </w:rPr>
        <w:t>GFC</w:t>
      </w:r>
      <w:r w:rsidR="00057265">
        <w:rPr>
          <w:rFonts w:ascii="Times New Roman" w:hAnsi="Times New Roman" w:cs="Times New Roman"/>
          <w:sz w:val="24"/>
          <w:szCs w:val="24"/>
        </w:rPr>
        <w:t xml:space="preserve"> 2007-2009</w:t>
      </w:r>
      <w:r w:rsidR="00567377">
        <w:rPr>
          <w:rFonts w:ascii="Times New Roman" w:hAnsi="Times New Roman" w:cs="Times New Roman"/>
          <w:sz w:val="24"/>
          <w:szCs w:val="24"/>
        </w:rPr>
        <w:t>,</w:t>
      </w:r>
      <w:r w:rsidR="00B603C3">
        <w:rPr>
          <w:rFonts w:ascii="Times New Roman" w:hAnsi="Times New Roman" w:cs="Times New Roman"/>
          <w:sz w:val="24"/>
          <w:szCs w:val="24"/>
        </w:rPr>
        <w:t xml:space="preserve"> </w:t>
      </w:r>
      <w:r w:rsidR="00B603C3" w:rsidRPr="00624886">
        <w:rPr>
          <w:rFonts w:ascii="Times New Roman" w:hAnsi="Times New Roman" w:cs="Times New Roman"/>
          <w:sz w:val="24"/>
          <w:szCs w:val="24"/>
        </w:rPr>
        <w:t>regulators</w:t>
      </w:r>
      <w:r w:rsidRPr="00624886">
        <w:rPr>
          <w:rFonts w:ascii="Times New Roman" w:hAnsi="Times New Roman" w:cs="Times New Roman"/>
          <w:sz w:val="24"/>
          <w:szCs w:val="24"/>
        </w:rPr>
        <w:t xml:space="preserve"> and policymakers </w:t>
      </w:r>
      <w:r w:rsidR="00BE48D9">
        <w:rPr>
          <w:rFonts w:ascii="Times New Roman" w:hAnsi="Times New Roman" w:cs="Times New Roman"/>
          <w:sz w:val="24"/>
          <w:szCs w:val="24"/>
        </w:rPr>
        <w:t>have identified</w:t>
      </w:r>
      <w:r w:rsidRPr="00624886">
        <w:rPr>
          <w:rFonts w:ascii="Times New Roman" w:hAnsi="Times New Roman" w:cs="Times New Roman"/>
          <w:sz w:val="24"/>
          <w:szCs w:val="24"/>
        </w:rPr>
        <w:t xml:space="preserve"> another challenge to bank governance</w:t>
      </w:r>
      <w:r w:rsidR="00567377">
        <w:rPr>
          <w:rFonts w:ascii="Times New Roman" w:hAnsi="Times New Roman" w:cs="Times New Roman"/>
          <w:sz w:val="24"/>
          <w:szCs w:val="24"/>
        </w:rPr>
        <w:t>: establishing a sound 'risk culture' within financial institutions</w:t>
      </w:r>
      <w:r w:rsidRPr="00624886">
        <w:rPr>
          <w:rFonts w:ascii="Times New Roman" w:hAnsi="Times New Roman" w:cs="Times New Roman"/>
          <w:sz w:val="24"/>
          <w:szCs w:val="24"/>
        </w:rPr>
        <w:t xml:space="preserve">. </w:t>
      </w:r>
      <w:r w:rsidR="00BE48D9">
        <w:rPr>
          <w:rFonts w:ascii="Times New Roman" w:hAnsi="Times New Roman" w:cs="Times New Roman"/>
          <w:sz w:val="24"/>
          <w:szCs w:val="24"/>
        </w:rPr>
        <w:t>The importance of</w:t>
      </w:r>
      <w:r w:rsidR="00BE48D9" w:rsidRPr="00624886">
        <w:rPr>
          <w:rFonts w:ascii="Times New Roman" w:hAnsi="Times New Roman" w:cs="Times New Roman"/>
          <w:sz w:val="24"/>
          <w:szCs w:val="24"/>
        </w:rPr>
        <w:t xml:space="preserve"> </w:t>
      </w:r>
      <w:r w:rsidRPr="00624886">
        <w:rPr>
          <w:rFonts w:ascii="Times New Roman" w:hAnsi="Times New Roman" w:cs="Times New Roman"/>
          <w:sz w:val="24"/>
          <w:szCs w:val="24"/>
        </w:rPr>
        <w:t xml:space="preserve">risk culture </w:t>
      </w:r>
      <w:r w:rsidR="00BE48D9">
        <w:rPr>
          <w:rFonts w:ascii="Times New Roman" w:hAnsi="Times New Roman" w:cs="Times New Roman"/>
          <w:sz w:val="24"/>
          <w:szCs w:val="24"/>
        </w:rPr>
        <w:t>stems from its impact on</w:t>
      </w:r>
      <w:r w:rsidRPr="00624886">
        <w:rPr>
          <w:rFonts w:ascii="Times New Roman" w:hAnsi="Times New Roman" w:cs="Times New Roman"/>
          <w:sz w:val="24"/>
          <w:szCs w:val="24"/>
        </w:rPr>
        <w:t xml:space="preserve"> bank risk-taking. Song and Thakor (2019) explained the relationship between bank risk and culture through a model developed under a principal-agent setting. According to this model, banks make choices between safety and growth, and if they opt for safety, it comes at the expense of growth and vice versa. The organization's culture further influences the choice between safety and growth (Song and Thakor, 2019). This suggests that a bank with a risky culture will choose growth and take </w:t>
      </w:r>
      <w:r w:rsidR="00BE48D9">
        <w:rPr>
          <w:rFonts w:ascii="Times New Roman" w:hAnsi="Times New Roman" w:cs="Times New Roman"/>
          <w:sz w:val="24"/>
          <w:szCs w:val="24"/>
        </w:rPr>
        <w:t xml:space="preserve">on </w:t>
      </w:r>
      <w:r w:rsidRPr="00624886">
        <w:rPr>
          <w:rFonts w:ascii="Times New Roman" w:hAnsi="Times New Roman" w:cs="Times New Roman"/>
          <w:sz w:val="24"/>
          <w:szCs w:val="24"/>
        </w:rPr>
        <w:t xml:space="preserve">more risks. </w:t>
      </w:r>
      <w:r w:rsidR="00D15998">
        <w:rPr>
          <w:rFonts w:ascii="Times New Roman" w:hAnsi="Times New Roman" w:cs="Times New Roman"/>
          <w:sz w:val="24"/>
          <w:szCs w:val="24"/>
        </w:rPr>
        <w:t xml:space="preserve">However, </w:t>
      </w:r>
      <w:r w:rsidR="00D15998" w:rsidRPr="00624886">
        <w:rPr>
          <w:rFonts w:ascii="Times New Roman" w:hAnsi="Times New Roman" w:cs="Times New Roman"/>
          <w:sz w:val="24"/>
          <w:szCs w:val="24"/>
        </w:rPr>
        <w:t>Power</w:t>
      </w:r>
      <w:r w:rsidRPr="00624886">
        <w:rPr>
          <w:rFonts w:ascii="Times New Roman" w:hAnsi="Times New Roman" w:cs="Times New Roman"/>
          <w:sz w:val="24"/>
          <w:szCs w:val="24"/>
        </w:rPr>
        <w:t xml:space="preserve"> et al. (2013) </w:t>
      </w:r>
      <w:r w:rsidR="001C08EE" w:rsidRPr="00624886">
        <w:rPr>
          <w:rFonts w:ascii="Times New Roman" w:hAnsi="Times New Roman" w:cs="Times New Roman"/>
          <w:sz w:val="24"/>
          <w:szCs w:val="24"/>
        </w:rPr>
        <w:t>recommend</w:t>
      </w:r>
      <w:r w:rsidRPr="00624886">
        <w:rPr>
          <w:rFonts w:ascii="Times New Roman" w:hAnsi="Times New Roman" w:cs="Times New Roman"/>
          <w:sz w:val="24"/>
          <w:szCs w:val="24"/>
        </w:rPr>
        <w:t xml:space="preserve"> a balance between safety and growth, as too much emphasis on controls and risk avoidance can </w:t>
      </w:r>
      <w:r w:rsidR="00BE48D9">
        <w:rPr>
          <w:rFonts w:ascii="Times New Roman" w:hAnsi="Times New Roman" w:cs="Times New Roman"/>
          <w:sz w:val="24"/>
          <w:szCs w:val="24"/>
        </w:rPr>
        <w:t>hinder</w:t>
      </w:r>
      <w:r w:rsidR="00BE48D9" w:rsidRPr="00624886">
        <w:rPr>
          <w:rFonts w:ascii="Times New Roman" w:hAnsi="Times New Roman" w:cs="Times New Roman"/>
          <w:sz w:val="24"/>
          <w:szCs w:val="24"/>
        </w:rPr>
        <w:t xml:space="preserve"> </w:t>
      </w:r>
      <w:r w:rsidRPr="00624886">
        <w:rPr>
          <w:rFonts w:ascii="Times New Roman" w:hAnsi="Times New Roman" w:cs="Times New Roman"/>
          <w:sz w:val="24"/>
          <w:szCs w:val="24"/>
        </w:rPr>
        <w:t xml:space="preserve">innovation and result in organizational paralysis. </w:t>
      </w:r>
    </w:p>
    <w:p w14:paraId="70EEFB43" w14:textId="5DA27F4B"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The importance of risk culture in bank governance and risk management can be gauged from the fact that it has become a central topic in debates on financial regulation at all levels (Basel, 2010, 2015; FSB, 201</w:t>
      </w:r>
      <w:r w:rsidR="0009428C">
        <w:rPr>
          <w:rFonts w:ascii="Times New Roman" w:hAnsi="Times New Roman" w:cs="Times New Roman"/>
          <w:sz w:val="24"/>
          <w:szCs w:val="24"/>
        </w:rPr>
        <w:t>3</w:t>
      </w:r>
      <w:r w:rsidRPr="00624886">
        <w:rPr>
          <w:rFonts w:ascii="Times New Roman" w:hAnsi="Times New Roman" w:cs="Times New Roman"/>
          <w:sz w:val="24"/>
          <w:szCs w:val="24"/>
        </w:rPr>
        <w:t xml:space="preserve">). It is believed that the culture within banking institutions before the </w:t>
      </w:r>
      <w:r w:rsidR="00D15998">
        <w:rPr>
          <w:rFonts w:ascii="Times New Roman" w:hAnsi="Times New Roman" w:cs="Times New Roman"/>
          <w:sz w:val="24"/>
          <w:szCs w:val="24"/>
        </w:rPr>
        <w:t>GFC</w:t>
      </w:r>
      <w:r w:rsidRPr="00624886">
        <w:rPr>
          <w:rFonts w:ascii="Times New Roman" w:hAnsi="Times New Roman" w:cs="Times New Roman"/>
          <w:sz w:val="24"/>
          <w:szCs w:val="24"/>
        </w:rPr>
        <w:t xml:space="preserve"> 2007-2009 </w:t>
      </w:r>
      <w:r w:rsidR="00E30E2D">
        <w:rPr>
          <w:rFonts w:ascii="Times New Roman" w:hAnsi="Times New Roman" w:cs="Times New Roman"/>
          <w:sz w:val="24"/>
          <w:szCs w:val="24"/>
        </w:rPr>
        <w:t>focused more</w:t>
      </w:r>
      <w:r w:rsidRPr="00624886">
        <w:rPr>
          <w:rFonts w:ascii="Times New Roman" w:hAnsi="Times New Roman" w:cs="Times New Roman"/>
          <w:sz w:val="24"/>
          <w:szCs w:val="24"/>
        </w:rPr>
        <w:t xml:space="preserve"> on short-term profits and excessive risk-taking </w:t>
      </w:r>
      <w:r w:rsidR="00567377">
        <w:rPr>
          <w:rFonts w:ascii="Times New Roman" w:hAnsi="Times New Roman" w:cs="Times New Roman"/>
          <w:sz w:val="24"/>
          <w:szCs w:val="24"/>
        </w:rPr>
        <w:t>than</w:t>
      </w:r>
      <w:r w:rsidRPr="00624886">
        <w:rPr>
          <w:rFonts w:ascii="Times New Roman" w:hAnsi="Times New Roman" w:cs="Times New Roman"/>
          <w:sz w:val="24"/>
          <w:szCs w:val="24"/>
        </w:rPr>
        <w:t xml:space="preserve"> long-term performance and sustainable firm value. The nature of risk culture in the banks before the crisis of 2007-2009 can be </w:t>
      </w:r>
      <w:r w:rsidR="00D15998" w:rsidRPr="00624886">
        <w:rPr>
          <w:rFonts w:ascii="Times New Roman" w:hAnsi="Times New Roman" w:cs="Times New Roman"/>
          <w:sz w:val="24"/>
          <w:szCs w:val="24"/>
        </w:rPr>
        <w:t>analysed</w:t>
      </w:r>
      <w:r w:rsidRPr="00624886">
        <w:rPr>
          <w:rFonts w:ascii="Times New Roman" w:hAnsi="Times New Roman" w:cs="Times New Roman"/>
          <w:sz w:val="24"/>
          <w:szCs w:val="24"/>
        </w:rPr>
        <w:t xml:space="preserve"> from the compensation structures that were more inclined towards variable pay components dependent on current (short-term) profits. This arrangement eventually affected the bank's long-term viability and disadvantaged the customers (Alexander, 2019). To protect the financial system from collapsing in the future, regulator, policymakers, and practitioners have been devoting their efforts in providing effective strategies to ensure a sound risk culture in banks, gauging its impacts on firm's behaviour and risk-taking and developing ways to protect the greater interest of society (FSB, 201</w:t>
      </w:r>
      <w:r w:rsidR="0009428C">
        <w:rPr>
          <w:rFonts w:ascii="Times New Roman" w:hAnsi="Times New Roman" w:cs="Times New Roman"/>
          <w:sz w:val="24"/>
          <w:szCs w:val="24"/>
        </w:rPr>
        <w:t>3</w:t>
      </w:r>
      <w:r w:rsidRPr="00624886">
        <w:rPr>
          <w:rFonts w:ascii="Times New Roman" w:hAnsi="Times New Roman" w:cs="Times New Roman"/>
          <w:sz w:val="24"/>
          <w:szCs w:val="24"/>
        </w:rPr>
        <w:t>; Alexander, 2019).</w:t>
      </w:r>
    </w:p>
    <w:p w14:paraId="3B8CF6A9" w14:textId="3119B86D" w:rsid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 xml:space="preserve">Furthermore, focusing on risk culture for effective governance and risk management is a timely step because if the target is to balance all stakeholders' preferences, it requires everyone's </w:t>
      </w:r>
      <w:r w:rsidR="00556235">
        <w:rPr>
          <w:rFonts w:ascii="Times New Roman" w:hAnsi="Times New Roman" w:cs="Times New Roman"/>
          <w:sz w:val="24"/>
          <w:szCs w:val="24"/>
        </w:rPr>
        <w:t>collective</w:t>
      </w:r>
      <w:r w:rsidR="00556235" w:rsidRPr="00624886">
        <w:rPr>
          <w:rFonts w:ascii="Times New Roman" w:hAnsi="Times New Roman" w:cs="Times New Roman"/>
          <w:sz w:val="24"/>
          <w:szCs w:val="24"/>
        </w:rPr>
        <w:t xml:space="preserve"> </w:t>
      </w:r>
      <w:r w:rsidRPr="00624886">
        <w:rPr>
          <w:rFonts w:ascii="Times New Roman" w:hAnsi="Times New Roman" w:cs="Times New Roman"/>
          <w:sz w:val="24"/>
          <w:szCs w:val="24"/>
        </w:rPr>
        <w:t xml:space="preserve">efforts (Bandura, </w:t>
      </w:r>
      <w:r w:rsidR="00491DBE">
        <w:rPr>
          <w:rFonts w:ascii="Times New Roman" w:hAnsi="Times New Roman" w:cs="Times New Roman"/>
          <w:sz w:val="24"/>
          <w:szCs w:val="24"/>
        </w:rPr>
        <w:t>2006</w:t>
      </w:r>
      <w:r w:rsidRPr="00624886">
        <w:rPr>
          <w:rFonts w:ascii="Times New Roman" w:hAnsi="Times New Roman" w:cs="Times New Roman"/>
          <w:sz w:val="24"/>
          <w:szCs w:val="24"/>
        </w:rPr>
        <w:t xml:space="preserve">). This requires the same beliefs and coordination among activities that lead to the firm's success. Bandura (2006) presented his theory which adds to the traditional corporate governance agency theory by suggesting that, even in banks, individuals work according to societal norms and institutional values that impact how they coordinate their activities to achieve collective objectives (risk) of the institution. However, this is only possible if they share the same belief and values, which is only possible if the organization has an appropriate culture. This type of human agency motivated by individuals' shared behaviour throughout an organization can only be fostered through its leadership (Bandura, 2006; Alexander, 2019). </w:t>
      </w:r>
    </w:p>
    <w:p w14:paraId="068B42D9" w14:textId="77777777" w:rsidR="002A4845" w:rsidRPr="002A4845" w:rsidRDefault="002A4845" w:rsidP="005B5592">
      <w:pPr>
        <w:pStyle w:val="Heading2"/>
      </w:pPr>
      <w:bookmarkStart w:id="25" w:name="_Toc145616170"/>
      <w:r w:rsidRPr="002A4845">
        <w:t>2.2.1 Relationship between Risk Culture, Risk Management and Governance Structures:</w:t>
      </w:r>
      <w:bookmarkEnd w:id="25"/>
    </w:p>
    <w:p w14:paraId="27903B9A" w14:textId="77777777" w:rsidR="002A4845" w:rsidRPr="002A4845" w:rsidRDefault="002A4845" w:rsidP="002A4845">
      <w:pPr>
        <w:spacing w:line="480" w:lineRule="auto"/>
        <w:ind w:left="357"/>
        <w:contextualSpacing/>
        <w:jc w:val="both"/>
        <w:rPr>
          <w:rFonts w:ascii="Times New Roman" w:hAnsi="Times New Roman" w:cs="Times New Roman"/>
          <w:kern w:val="2"/>
          <w:sz w:val="24"/>
          <w:szCs w:val="24"/>
          <w14:ligatures w14:val="standardContextual"/>
        </w:rPr>
      </w:pPr>
      <w:r w:rsidRPr="002A4845">
        <w:rPr>
          <w:rFonts w:ascii="Times New Roman" w:hAnsi="Times New Roman" w:cs="Times New Roman"/>
          <w:kern w:val="2"/>
          <w:sz w:val="24"/>
          <w:szCs w:val="24"/>
          <w14:ligatures w14:val="standardContextual"/>
        </w:rPr>
        <w:t xml:space="preserve">To understand the relationship between risk culture and governance structures, we must understand the existing risk management approaches. The vast literature on risk management follows two broad approaches: the reductionist approach and the system thinking approach. Most traditional risk management strategies follow a reductionist approach (Beasley et al., 2015; Agarwal and Kallapur, 2018). The reductionist method tries to simplify the problem by breaking it into smaller parts, understanding each part's behaviour and deducing the whole's behaviour from understanding each component's behaviour (Agarwal and Kallapur, 2018). In contrast to the reductionist approach, systems thinking promotes understanding of the system over time (Kim and Senge, 1994). This approach posits that a system is more than the sum of individual components (Ackoff, 1994) and the system can have emergent properties absent in any component. The relationships between the components are more important than the components themselves. Lee and Green (2015) link it to ERM which is considered essential in risk governance (Agarwal and Kallapur, 2018). Thus, systems thinking focuses on the root cause and in-depth understanding of the issue resulting in a "cognitive risk culture." Cognitive risk culture focuses on improving the understanding of risk and resolving the problems by addressing their root cause. Thus, a "cognitive risk culture" enhances the effectiveness of risk management. </w:t>
      </w:r>
    </w:p>
    <w:p w14:paraId="634B4255"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Realising the importance of culture for effective risk management, it is also essential to understand the factors affecting an organisation's culture (risk culture). Gupta (2011) highlights the critical role the management and employees play in influential risk culture. It is argued that top management can cultivate risk culture by emphasising risk through their decisions and communicating those decisions back to employees consistently through effective risk management processes such as through a risk committee, chief risk officer or through knowledge-enhancing risk workshops (Xavier et al., 2013; Protiviti and RMA, 2014). According to Mikes and Kaplan (2014), top management support creates a culture of trust where employees can speak up and discuss risk issues concerning them. Thus, an open and constructive environment can build a strong culture where employees are more involved.</w:t>
      </w:r>
    </w:p>
    <w:p w14:paraId="593CAA58"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 xml:space="preserve"> Further, to understand how management and employees are related to risk culture, one must understand the risk governance in financial institutions following a three-line defence model. Front-line staff are at the forefront of risk management and make daily decisions to accept or reject risks within an assigned limit (Agarwal and Kallapur, 2018). The second line of defence comprises senior management, the central risk unit headed by CRO, the risk committee, the board risk committee, and the board (Agarwal and Kallapur, 2018). The role of the second line of defence is to ascertain risk infrastructure and best practice standards for ERM. The third line of defence comprises internal auditors responsible for independently verifying the adequacy and effectiveness of internal risk procedures. </w:t>
      </w:r>
    </w:p>
    <w:p w14:paraId="075FC84A"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Agarwal and Kallapur (2018) identifies absence of "cognitive risk culture" as a cause of poor risk management in financial companies despite following best practices e.g. dedicated board level risk committees, board independence and CRO representation on the board. The authors revealed risk reporting as a significant obstacle in the risk governance system where the three lines of defence worked in isolation. Despite the regulatory pressure, the inability of financial industry to resolve the risk management failures were rooted in the quick fixes used by the institutions , i.e. signing off the system and setting new roles and responsibilities (Agarwal and Kallapur, 2018). The sign off approach is an end year activity where employee(primarily from first line of defence) tick marks the issue without any understanding of risk. This resulted in employees following a compliance-based culture and without knowing the risk or the value of reporting. This solution also failed to engage employees, resulting in risk under-reporting as employees feared that reporting more risk would result in more questions (resulting in a defensive culture). As a result, no executive could understand the long-risk reports generated every year.</w:t>
      </w:r>
    </w:p>
    <w:p w14:paraId="00937BF4"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Furthermore, comprehending risk information generated this way was challenging for the second line of defence, especially the CRO. Agarwal and Kallapur (2018) also identified poor communication between the first and second lines as the root cause of the company's compliance-based and defensive risk cultures. The reasons for poor communication were the lack of understanding regarding risks (by first line of defence) and roles and responsibilities (second line of defence). For example, CROs believed their role was primarily that of a process leader who ensures that risk is identified at the senior executive level but managed effectively at the business unit level. Moreover, the unclear reporting line of CROs, i.e. not reporting directly to the entire board but to the risk committee, was also recognised as one of the causes (Abei et al., 2012). CROs not reporting directly to the board creates the possibility that essential details could be omitted (Aebi et al., 2012).</w:t>
      </w:r>
    </w:p>
    <w:p w14:paraId="3506F48A"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 xml:space="preserve">Thus, the solution recommended after the financial crisis of 2007-2009 required the board to set a vision to establish a cognitive risk culture where everyone understood the risks and their roles and responsibilities (Agarwal and Kallapur, 2018). Top management responsibilities moved beyond the traditional approval and supervisory roles to a significant player in developing an effective risk culture (EY, 2017). </w:t>
      </w:r>
    </w:p>
    <w:p w14:paraId="66E0351D"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 xml:space="preserve">The solutions also demanded the roles and responsibilities of senior executives to be changed, e.g. assigning the responsibility for the company's risk, conduct and compliance to the group CRO. External communication to all stakeholders was another responsibility suggested for the CRO. The enhanced role of CRO required the company to hire a highly experienced and well-reputed CRO. As a result CRO's role expanded dramatically as compliance champion due to their involvement in the firm's strategic decision-making. CROs were responsible for coordinating the organisation's process to oversee the risk management programme (Mikes, 2008, 2014; Wong et al., 2021). In addition, they were required to ensure that risks were identified and managed effectively at the department's level. CROs were made responsible for communicating and escalating the risk information for top management to assess the overall achievement of the corporate goals by paying attention to high-risk areas (Wong et al., 2021). </w:t>
      </w:r>
    </w:p>
    <w:p w14:paraId="42627CDA" w14:textId="77777777" w:rsidR="002A4845" w:rsidRPr="002A4845" w:rsidRDefault="002A4845" w:rsidP="002A4845">
      <w:pPr>
        <w:spacing w:before="100" w:beforeAutospacing="1" w:after="100" w:afterAutospacing="1" w:line="480" w:lineRule="auto"/>
        <w:ind w:left="425"/>
        <w:jc w:val="both"/>
        <w:rPr>
          <w:rFonts w:ascii="Times New Roman" w:eastAsia="Times New Roman" w:hAnsi="Times New Roman" w:cs="Times New Roman"/>
          <w:sz w:val="24"/>
          <w:szCs w:val="24"/>
          <w:lang w:eastAsia="en-GB"/>
        </w:rPr>
      </w:pPr>
      <w:r w:rsidRPr="002A4845">
        <w:rPr>
          <w:rFonts w:ascii="Times New Roman" w:eastAsia="Times New Roman" w:hAnsi="Times New Roman" w:cs="Times New Roman"/>
          <w:sz w:val="24"/>
          <w:szCs w:val="24"/>
          <w:lang w:eastAsia="en-GB"/>
        </w:rPr>
        <w:t>However, top management has to be more vigilant as the increasing emphasis on the role of CRO results in a moral hazard problem, where risk is considered as only CRO's responsibility rather than everyone else (Pernell et al., 2017).</w:t>
      </w:r>
    </w:p>
    <w:p w14:paraId="049A56FC" w14:textId="77777777" w:rsidR="002A4845" w:rsidRPr="00624886" w:rsidRDefault="002A4845" w:rsidP="00624886">
      <w:pPr>
        <w:spacing w:line="480" w:lineRule="auto"/>
        <w:jc w:val="both"/>
        <w:rPr>
          <w:rFonts w:ascii="Times New Roman" w:hAnsi="Times New Roman" w:cs="Times New Roman"/>
          <w:sz w:val="24"/>
          <w:szCs w:val="24"/>
        </w:rPr>
      </w:pPr>
    </w:p>
    <w:p w14:paraId="02732225" w14:textId="346578D4" w:rsidR="00556235" w:rsidRPr="003C7034" w:rsidRDefault="00556235" w:rsidP="003C7034">
      <w:pPr>
        <w:pStyle w:val="Heading2"/>
        <w:rPr>
          <w:sz w:val="32"/>
          <w:szCs w:val="32"/>
        </w:rPr>
      </w:pPr>
      <w:bookmarkStart w:id="26" w:name="_Toc145616171"/>
      <w:r w:rsidRPr="003C7034">
        <w:rPr>
          <w:sz w:val="32"/>
          <w:szCs w:val="32"/>
        </w:rPr>
        <w:t>2.3. Board of Director</w:t>
      </w:r>
      <w:r w:rsidR="004D34A5">
        <w:rPr>
          <w:sz w:val="32"/>
          <w:szCs w:val="32"/>
        </w:rPr>
        <w:t>s</w:t>
      </w:r>
      <w:r w:rsidRPr="003C7034">
        <w:rPr>
          <w:sz w:val="32"/>
          <w:szCs w:val="32"/>
        </w:rPr>
        <w:t xml:space="preserve"> in Bank Governance</w:t>
      </w:r>
      <w:bookmarkEnd w:id="26"/>
    </w:p>
    <w:p w14:paraId="29DF8910" w14:textId="57763F2C" w:rsidR="00624886" w:rsidRPr="00624886" w:rsidRDefault="00624886" w:rsidP="00624886">
      <w:pPr>
        <w:spacing w:line="480" w:lineRule="auto"/>
        <w:jc w:val="both"/>
        <w:rPr>
          <w:rFonts w:ascii="Times New Roman" w:hAnsi="Times New Roman" w:cs="Times New Roman"/>
          <w:sz w:val="24"/>
          <w:szCs w:val="24"/>
        </w:rPr>
      </w:pPr>
      <w:r w:rsidRPr="00624886">
        <w:rPr>
          <w:rFonts w:ascii="Times New Roman" w:hAnsi="Times New Roman" w:cs="Times New Roman"/>
          <w:sz w:val="24"/>
          <w:szCs w:val="24"/>
        </w:rPr>
        <w:t xml:space="preserve">The above analysis of various sources of agency problems </w:t>
      </w:r>
      <w:r w:rsidR="00556235">
        <w:rPr>
          <w:rFonts w:ascii="Times New Roman" w:hAnsi="Times New Roman" w:cs="Times New Roman"/>
          <w:sz w:val="24"/>
          <w:szCs w:val="24"/>
        </w:rPr>
        <w:t>suggest</w:t>
      </w:r>
      <w:r w:rsidRPr="00624886">
        <w:rPr>
          <w:rFonts w:ascii="Times New Roman" w:hAnsi="Times New Roman" w:cs="Times New Roman"/>
          <w:sz w:val="24"/>
          <w:szCs w:val="24"/>
        </w:rPr>
        <w:t>s that managers are usually more resourceful and self-serving and, if left un-monitored, will pursue policy in the best of their interest (Adams and Ferreira, 200</w:t>
      </w:r>
      <w:r w:rsidR="00491DBE">
        <w:rPr>
          <w:rFonts w:ascii="Times New Roman" w:hAnsi="Times New Roman" w:cs="Times New Roman"/>
          <w:sz w:val="24"/>
          <w:szCs w:val="24"/>
        </w:rPr>
        <w:t>9</w:t>
      </w:r>
      <w:r w:rsidRPr="00624886">
        <w:rPr>
          <w:rFonts w:ascii="Times New Roman" w:hAnsi="Times New Roman" w:cs="Times New Roman"/>
          <w:sz w:val="24"/>
          <w:szCs w:val="24"/>
        </w:rPr>
        <w:t xml:space="preserve">). Thus, to reduce such agency problems, managers need </w:t>
      </w:r>
      <w:r w:rsidR="00556235">
        <w:rPr>
          <w:rFonts w:ascii="Times New Roman" w:hAnsi="Times New Roman" w:cs="Times New Roman"/>
          <w:sz w:val="24"/>
          <w:szCs w:val="24"/>
        </w:rPr>
        <w:t>oversight from</w:t>
      </w:r>
      <w:r w:rsidRPr="00624886">
        <w:rPr>
          <w:rFonts w:ascii="Times New Roman" w:hAnsi="Times New Roman" w:cs="Times New Roman"/>
          <w:sz w:val="24"/>
          <w:szCs w:val="24"/>
        </w:rPr>
        <w:t xml:space="preserve"> the board</w:t>
      </w:r>
      <w:r w:rsidR="00556235">
        <w:rPr>
          <w:rFonts w:ascii="Times New Roman" w:hAnsi="Times New Roman" w:cs="Times New Roman"/>
          <w:sz w:val="24"/>
          <w:szCs w:val="24"/>
        </w:rPr>
        <w:t xml:space="preserve"> of directors</w:t>
      </w:r>
      <w:r w:rsidRPr="00624886">
        <w:rPr>
          <w:rFonts w:ascii="Times New Roman" w:hAnsi="Times New Roman" w:cs="Times New Roman"/>
          <w:sz w:val="24"/>
          <w:szCs w:val="24"/>
        </w:rPr>
        <w:t xml:space="preserve"> (Zalaata et al., 2019). We argue that the board of directors is essential in reducing agency costs through effective monitoring. When there is divergent interest between management and stakeholders, stakeholders put their faith in the board of directors, as it is the board's legal responsibility to supervise the agents and protect the stakeholders' rights (Hill and Jones, 1992). Although directors must act in good faith towards all stakeholders, they encounter certain constraints while conducting their responsibilities (Hill and Jones, 1992). </w:t>
      </w:r>
    </w:p>
    <w:bookmarkEnd w:id="22"/>
    <w:p w14:paraId="401235AA" w14:textId="77777777" w:rsidR="009F2172" w:rsidRPr="009F2172" w:rsidRDefault="009F2172" w:rsidP="009F2172">
      <w:pPr>
        <w:spacing w:line="480" w:lineRule="auto"/>
        <w:jc w:val="both"/>
        <w:rPr>
          <w:rFonts w:ascii="Times New Roman" w:hAnsi="Times New Roman" w:cs="Times New Roman"/>
          <w:sz w:val="24"/>
          <w:szCs w:val="24"/>
        </w:rPr>
      </w:pPr>
      <w:r w:rsidRPr="009F2172">
        <w:rPr>
          <w:rFonts w:ascii="Times New Roman" w:hAnsi="Times New Roman" w:cs="Times New Roman"/>
          <w:sz w:val="24"/>
          <w:szCs w:val="24"/>
        </w:rPr>
        <w:t xml:space="preserve">Directors face these constraints primarily due to a lack of experience, limited resources, and association with the management (Boivie et al., 2016; Jain and Zaman, 2020; Zaman et al., 2021). Scholars have highlighted board composition as an effective mechanism to make them more effective (Haynes &amp; Hillman, 2010; Akram et al., 2020). This view aligns with the resource-dependency theory, which emphasises that firms should have the unique human and social capital to overcome uncertainties (Taljaard et al., 2015). </w:t>
      </w:r>
      <w:r w:rsidRPr="009F2172">
        <w:rPr>
          <w:rFonts w:ascii="Times New Roman" w:eastAsia="Times New Roman" w:hAnsi="Times New Roman" w:cs="Times New Roman"/>
          <w:sz w:val="24"/>
          <w:szCs w:val="24"/>
        </w:rPr>
        <w:t xml:space="preserve">In this regard, a more heterogeneous board can bring more diverse resources to the firm (Midavaine et al., 2016). Moreover, heterogeneity among directors enables them to evaluate a situation critically, enhances the board's independence and reduces agency conflicts (Akram et al., 2020). Directors with diverse education and experience can question management's performance, which probably cannot be expected from a homogeneous board (Taljaard et al., 2015). Existing literature provides ample evidence that board heterogeneity in terms of gender, experience, educational background and age improves corporate decision-making for all stakeholders (Burke et al., 2019; Hutzschenreuter and Horstkotte, 2013; Talavera et al., 2018) </w:t>
      </w:r>
    </w:p>
    <w:p w14:paraId="15A1A0D0" w14:textId="77777777" w:rsidR="009F2172" w:rsidRPr="009F2172" w:rsidRDefault="009F2172" w:rsidP="009F2172">
      <w:pPr>
        <w:spacing w:line="480" w:lineRule="auto"/>
        <w:jc w:val="both"/>
        <w:rPr>
          <w:rFonts w:ascii="Times New Roman" w:eastAsia="Times New Roman" w:hAnsi="Times New Roman" w:cs="Times New Roman"/>
          <w:sz w:val="24"/>
          <w:szCs w:val="24"/>
        </w:rPr>
      </w:pPr>
      <w:r w:rsidRPr="009F2172">
        <w:rPr>
          <w:rFonts w:ascii="Times New Roman" w:eastAsia="Times New Roman" w:hAnsi="Times New Roman" w:cs="Times New Roman"/>
          <w:sz w:val="24"/>
          <w:szCs w:val="24"/>
        </w:rPr>
        <w:t xml:space="preserve">Prior literature categorises heterogeneity into two categories, i.e. occupational heterogeneity, which is based on non-observable attributes of directors, e.g. education, tenure, and professional background (Mahadeo et al., 2012; Akram et al., 2020). The other category is social heterogeneity based on observable attributes, e.g., age, gender and nationality (Anderson et al., 2011; Akram et al., 2020). According to upper echelon theory, occupational heterogeneity affects individuals' cognitive ability and decision-making (Tuggle et al., 2010). When such individuals work in a group, their knowledge, ability to process information, and previous experience influence the whole group's decision (Akram et al., 2020). Moreover, occupational heterogeneity has been used as a proxy for human or intellectual capital in previous investigations (Anderson et al., 2011; Midavaine et al., 2016). In this context, the upper echelon's educational background has gained considerable academic attention as higher education significantly impacts their ability to allocate resources efficiently to profitable projects (Akram et al., 2020). </w:t>
      </w:r>
    </w:p>
    <w:p w14:paraId="74A30E2C" w14:textId="77777777" w:rsidR="009F2172" w:rsidRPr="009F2172" w:rsidRDefault="009F2172" w:rsidP="009F2172">
      <w:pPr>
        <w:spacing w:line="480" w:lineRule="auto"/>
        <w:jc w:val="both"/>
        <w:rPr>
          <w:rFonts w:ascii="Times New Roman" w:eastAsia="Times New Roman" w:hAnsi="Times New Roman" w:cs="Times New Roman"/>
          <w:sz w:val="24"/>
          <w:szCs w:val="24"/>
        </w:rPr>
      </w:pPr>
      <w:r w:rsidRPr="009F2172">
        <w:rPr>
          <w:rFonts w:ascii="Times New Roman" w:eastAsia="Times New Roman" w:hAnsi="Times New Roman" w:cs="Times New Roman"/>
          <w:sz w:val="24"/>
          <w:szCs w:val="24"/>
        </w:rPr>
        <w:t xml:space="preserve">In social heterogeneity, gender heterogeneity has gained much attention from academic scholars and human rights workers (Adusei et al., 2017). Gender diversity postulate that women on boards enhance board effectiveness, increase understanding of the marketplace, and produce the most creative solution to board agendas (Zaid et al., 2020). According to psychology and behaviour literature </w:t>
      </w:r>
      <w:r w:rsidRPr="009F2172">
        <w:rPr>
          <w:rFonts w:ascii="Times New Roman" w:eastAsia="DengXian" w:hAnsi="Times New Roman" w:cs="Times New Roman"/>
          <w:kern w:val="2"/>
          <w:sz w:val="24"/>
          <w:szCs w:val="24"/>
          <w:lang w:eastAsia="zh-CN"/>
          <w14:ligatures w14:val="standardContextual"/>
        </w:rPr>
        <w:t>women are psychologically, cognitively, and behaviourally different from men (Zalaata et al., 2019). These attributes improve the board's effectiveness and positively impact the relationship between governance structure and corporate outcomes (Charness &amp; Gneezy, 2012; Adams &amp; Ferreira, 2009).</w:t>
      </w:r>
    </w:p>
    <w:p w14:paraId="2E639A2F" w14:textId="77777777" w:rsidR="009F2172" w:rsidRPr="009F2172" w:rsidRDefault="009F2172" w:rsidP="009F2172">
      <w:pPr>
        <w:spacing w:line="480" w:lineRule="auto"/>
        <w:jc w:val="both"/>
        <w:rPr>
          <w:rFonts w:ascii="Times New Roman" w:eastAsia="Times New Roman" w:hAnsi="Times New Roman" w:cs="Times New Roman"/>
          <w:sz w:val="24"/>
          <w:szCs w:val="24"/>
        </w:rPr>
      </w:pPr>
      <w:r w:rsidRPr="009F2172">
        <w:rPr>
          <w:rFonts w:ascii="Times New Roman" w:eastAsia="Times New Roman" w:hAnsi="Times New Roman" w:cs="Times New Roman"/>
          <w:sz w:val="24"/>
          <w:szCs w:val="24"/>
        </w:rPr>
        <w:t>Further</w:t>
      </w:r>
      <w:r w:rsidRPr="009F2172">
        <w:rPr>
          <w:rFonts w:ascii="Times New Roman" w:eastAsia="DengXian" w:hAnsi="Times New Roman" w:cs="Times New Roman"/>
          <w:kern w:val="2"/>
          <w:sz w:val="24"/>
          <w:szCs w:val="24"/>
          <w:lang w:eastAsia="zh-CN"/>
          <w14:ligatures w14:val="standardContextual"/>
        </w:rPr>
        <w:t xml:space="preserve">, to reduce agency problems, managers need monitoring by the board of directors, who are more responsible, conservative, independent and objective (Zalaata et al., 2019). According to behavioural and psychology literature (Sarin and Wieland, 2016), these qualities are dominant in women compared to men, thus making female directors better monitor than their male counterparts (Zalaata et al., 2019). </w:t>
      </w:r>
    </w:p>
    <w:p w14:paraId="3E1EBBA4" w14:textId="77777777" w:rsidR="009F2172" w:rsidRPr="009F2172" w:rsidRDefault="009F2172" w:rsidP="009F2172">
      <w:pPr>
        <w:spacing w:line="480" w:lineRule="auto"/>
        <w:jc w:val="both"/>
        <w:rPr>
          <w:rFonts w:ascii="Times New Roman" w:eastAsia="DengXian" w:hAnsi="Times New Roman" w:cs="Times New Roman"/>
          <w:kern w:val="2"/>
          <w:sz w:val="24"/>
          <w:szCs w:val="24"/>
          <w:lang w:eastAsia="zh-CN"/>
          <w14:ligatures w14:val="standardContextual"/>
        </w:rPr>
      </w:pPr>
      <w:r w:rsidRPr="009F2172">
        <w:rPr>
          <w:rFonts w:ascii="Times New Roman" w:eastAsia="DengXian" w:hAnsi="Times New Roman" w:cs="Times New Roman"/>
          <w:kern w:val="2"/>
          <w:sz w:val="24"/>
          <w:szCs w:val="24"/>
          <w:lang w:eastAsia="zh-CN"/>
          <w14:ligatures w14:val="standardContextual"/>
        </w:rPr>
        <w:t>Furthermore, gender diverse board finds support from economic-based theories (economics, finance, management and psychology), which provides a "business case" of board gender diversity for corporate outcomes (Khlif and Achek, 2017; Adams and Funk, 2012; Zalaata et al., 2018). According to economic-based theories, the unique attribute women bring to the board reduces agency problems through improved corporate disclosure, board engagement, monitoring and risk-taking (Adams and Ferreira, 2009; Gul et al., 2011; Arnaboldi et al., 2021). Thus, the presence of women brings new values, knowledge, perceptions, beliefs and work ethics that may improve board decisions</w:t>
      </w:r>
      <w:r w:rsidRPr="009F2172" w:rsidDel="001E1179">
        <w:rPr>
          <w:rFonts w:ascii="Times New Roman" w:eastAsia="DengXian" w:hAnsi="Times New Roman" w:cs="Times New Roman"/>
          <w:kern w:val="2"/>
          <w:sz w:val="24"/>
          <w:szCs w:val="24"/>
          <w:lang w:eastAsia="zh-CN"/>
          <w14:ligatures w14:val="standardContextual"/>
        </w:rPr>
        <w:t xml:space="preserve"> </w:t>
      </w:r>
      <w:r w:rsidRPr="009F2172">
        <w:rPr>
          <w:rFonts w:ascii="Times New Roman" w:eastAsia="DengXian" w:hAnsi="Times New Roman" w:cs="Times New Roman"/>
          <w:kern w:val="2"/>
          <w:sz w:val="24"/>
          <w:szCs w:val="24"/>
          <w:lang w:eastAsia="zh-CN"/>
          <w14:ligatures w14:val="standardContextual"/>
        </w:rPr>
        <w:t xml:space="preserve">and efficiency (Zalaata et al., 2019). </w:t>
      </w:r>
    </w:p>
    <w:p w14:paraId="3C114FC1" w14:textId="77777777" w:rsidR="009F2172" w:rsidRPr="009F2172" w:rsidRDefault="009F2172" w:rsidP="009F2172">
      <w:pPr>
        <w:spacing w:line="480" w:lineRule="auto"/>
        <w:jc w:val="both"/>
        <w:rPr>
          <w:rFonts w:ascii="Times New Roman" w:eastAsia="DengXian" w:hAnsi="Times New Roman" w:cs="Times New Roman"/>
          <w:kern w:val="2"/>
          <w:sz w:val="24"/>
          <w:szCs w:val="24"/>
          <w:lang w:eastAsia="zh-CN"/>
          <w14:ligatures w14:val="standardContextual"/>
        </w:rPr>
      </w:pPr>
      <w:r w:rsidRPr="009F2172">
        <w:rPr>
          <w:rFonts w:ascii="Times New Roman" w:eastAsia="DengXian" w:hAnsi="Times New Roman" w:cs="Times New Roman"/>
          <w:kern w:val="2"/>
          <w:sz w:val="24"/>
          <w:szCs w:val="24"/>
          <w:lang w:eastAsia="zh-CN"/>
          <w14:ligatures w14:val="standardContextual"/>
        </w:rPr>
        <w:t xml:space="preserve">Apart from the "business case" argument for having a more gender-diverse board, the literature supports the "ethical/moral" case for having women on board. According to ethical, behavioural, psychological and social theories, the presence of women on corporate boards improves social responsibility, good governance and greater connection with stakeholders (Wang and Clift, 2009). According to social role theory, men and women differ because they are taught different appropriate behaviours as a part of their upbringing, making women more caring, compassionate, and attentive to others' needs( Chizema et al., 2015). Prior literature also supports the theoretical prediction between women and men, with women being more ethical, caring, and stakeholder-oriented (Kohlberg, 1982; Adams and Funk, 2012) and with less probability of following individual goals (Levi et al., 2014). These skills help female directors gain executives' trust; thus, they are comfortable in exchanging information with the female board of directors, thus making board monitoring more effective with gender-diverse boards (Adams &amp; Ferreira, 2007). </w:t>
      </w:r>
    </w:p>
    <w:p w14:paraId="7F2D7C65" w14:textId="77777777" w:rsidR="009F2172" w:rsidRPr="009F2172" w:rsidRDefault="009F2172" w:rsidP="009F2172">
      <w:pPr>
        <w:spacing w:line="480" w:lineRule="auto"/>
        <w:jc w:val="both"/>
        <w:rPr>
          <w:rFonts w:ascii="Times New Roman" w:eastAsia="DengXian" w:hAnsi="Times New Roman" w:cs="Times New Roman"/>
          <w:color w:val="000000" w:themeColor="text1"/>
          <w:sz w:val="24"/>
          <w:szCs w:val="24"/>
          <w:lang w:eastAsia="zh-CN"/>
        </w:rPr>
      </w:pPr>
      <w:r w:rsidRPr="009F2172">
        <w:rPr>
          <w:rFonts w:ascii="Times New Roman" w:eastAsia="DengXian" w:hAnsi="Times New Roman" w:cs="Times New Roman"/>
          <w:kern w:val="2"/>
          <w:sz w:val="24"/>
          <w:szCs w:val="24"/>
          <w:lang w:eastAsia="en-GB"/>
          <w14:ligatures w14:val="standardContextual"/>
        </w:rPr>
        <w:t xml:space="preserve">We further argue that although the board is an essential control mechanism, however being influential can affect managerial decisions as well. We build our argument by suggesting that </w:t>
      </w:r>
      <w:r w:rsidRPr="009F2172">
        <w:rPr>
          <w:rFonts w:ascii="Times New Roman" w:eastAsia="Times New Roman" w:hAnsi="Times New Roman" w:cs="Times New Roman"/>
          <w:sz w:val="24"/>
          <w:szCs w:val="24"/>
        </w:rPr>
        <w:t>to enhance and sustain organizational performance, organizations take great care when appointing managers at the executive level (Barker et al., 2001). However, the working environment can affect their decisions, actions, and performance (Lieberson &amp; O'Connor, 1972; Hannan &amp; Freeman, 1977). Thus, it is essential to recognize what restricts managers and what permits them to influence organizational outcomes. Hambrick and Finkelstein (1987) were the first to conceptualize this as 'managerial discretion'. Managerial decisions are affected at three levels: environment, organization, and individual (Hambrick &amp; Finkelstein, 1987). The decisions of managers are largely influenced by their relationships with executives and directors, who can either restrict or improve the managers' impacts on corporate decisions (</w:t>
      </w:r>
      <w:r w:rsidRPr="009F2172">
        <w:rPr>
          <w:rFonts w:ascii="Times New Roman" w:eastAsia="Times New Roman" w:hAnsi="Times New Roman" w:cs="Times New Roman"/>
          <w:color w:val="000000"/>
          <w:sz w:val="24"/>
          <w:szCs w:val="24"/>
        </w:rPr>
        <w:t>Wangrow et al., 2015; Schopohl et al., 2021).</w:t>
      </w:r>
      <w:r w:rsidRPr="009F2172">
        <w:rPr>
          <w:rFonts w:ascii="Times New Roman" w:eastAsia="Times New Roman" w:hAnsi="Times New Roman" w:cs="Times New Roman"/>
          <w:sz w:val="24"/>
          <w:szCs w:val="24"/>
        </w:rPr>
        <w:t xml:space="preserve"> Based on managerial discretion theory, we hypothesize regarding the environment in which managers risk preferences can translate into a lower level of bank risk. In chapter 3 we argue that female representation at the board and committee levels moderates the female CROs and bank risk relationship. Whereas in chapter4, we use managerial discretion to explain the </w:t>
      </w:r>
      <w:r w:rsidRPr="009F2172">
        <w:rPr>
          <w:rFonts w:ascii="Times New Roman" w:eastAsia="DengXian" w:hAnsi="Times New Roman" w:cs="Times New Roman"/>
          <w:color w:val="000000" w:themeColor="text1"/>
          <w:sz w:val="24"/>
          <w:szCs w:val="24"/>
          <w:lang w:eastAsia="zh-CN"/>
        </w:rPr>
        <w:t>moderating role of gender diverse board with the female leader (CEO/Chair) and risk culture, to reduce bank risk.</w:t>
      </w:r>
    </w:p>
    <w:p w14:paraId="0F0A345E" w14:textId="77777777" w:rsidR="009F2172" w:rsidRPr="009F2172" w:rsidRDefault="009F2172" w:rsidP="009F2172">
      <w:pPr>
        <w:spacing w:line="480" w:lineRule="auto"/>
        <w:jc w:val="both"/>
        <w:rPr>
          <w:rFonts w:ascii="Times New Roman" w:eastAsia="DengXian" w:hAnsi="Times New Roman" w:cs="Times New Roman"/>
          <w:kern w:val="2"/>
          <w:sz w:val="24"/>
          <w:szCs w:val="24"/>
          <w:lang w:eastAsia="zh-CN"/>
          <w14:ligatures w14:val="standardContextual"/>
        </w:rPr>
      </w:pPr>
      <w:r w:rsidRPr="009F2172">
        <w:rPr>
          <w:rFonts w:ascii="Times New Roman" w:hAnsi="Times New Roman" w:cs="Times New Roman"/>
          <w:sz w:val="24"/>
          <w:szCs w:val="24"/>
        </w:rPr>
        <w:t xml:space="preserve">Thus, in conclusion the current thesis takes the stakeholder-agency theory perspective to explain how board monitoring can reduce bank risk. I supplement my analysis with resource dependency theory, upper echelon theory, gender socialisation theory and managerial discretion theory to propose the solution to the stakeholder agency problem. </w:t>
      </w:r>
    </w:p>
    <w:p w14:paraId="02B5D7A0" w14:textId="77777777" w:rsidR="0009428C" w:rsidRDefault="0009428C">
      <w:pPr>
        <w:rPr>
          <w:rFonts w:ascii="Times New Roman" w:hAnsi="Times New Roman" w:cs="Times New Roman"/>
          <w:sz w:val="24"/>
          <w:szCs w:val="24"/>
        </w:rPr>
      </w:pPr>
      <w:r>
        <w:rPr>
          <w:rFonts w:ascii="Times New Roman" w:hAnsi="Times New Roman" w:cs="Times New Roman"/>
          <w:sz w:val="24"/>
          <w:szCs w:val="24"/>
        </w:rPr>
        <w:br w:type="page"/>
      </w:r>
    </w:p>
    <w:p w14:paraId="4FE5CFED" w14:textId="18CD0C5F" w:rsidR="00071AF6" w:rsidRPr="003C7034" w:rsidRDefault="0009428C" w:rsidP="0009428C">
      <w:pPr>
        <w:spacing w:line="480" w:lineRule="auto"/>
        <w:jc w:val="center"/>
        <w:rPr>
          <w:rFonts w:ascii="Times New Roman" w:hAnsi="Times New Roman" w:cs="Times New Roman"/>
          <w:b/>
          <w:bCs/>
          <w:sz w:val="40"/>
          <w:szCs w:val="40"/>
        </w:rPr>
      </w:pPr>
      <w:r w:rsidRPr="003C7034">
        <w:rPr>
          <w:rFonts w:ascii="Times New Roman" w:hAnsi="Times New Roman" w:cs="Times New Roman"/>
          <w:b/>
          <w:bCs/>
          <w:sz w:val="40"/>
          <w:szCs w:val="40"/>
        </w:rPr>
        <w:t>References</w:t>
      </w:r>
    </w:p>
    <w:p w14:paraId="31B05EA2" w14:textId="77777777" w:rsidR="0009428C" w:rsidRPr="004C0013" w:rsidRDefault="0009428C" w:rsidP="004C0013">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Times New Roman" w:hAnsi="Times New Roman" w:cs="Times New Roman"/>
          <w:color w:val="000000" w:themeColor="text1"/>
          <w:sz w:val="24"/>
          <w:szCs w:val="24"/>
          <w:lang w:eastAsia="en-GB"/>
        </w:rPr>
        <w:t xml:space="preserve">Adams, R. B., &amp; Ferreira, D. (2009). Women in the boardroom and their impact on governance and performance. </w:t>
      </w:r>
      <w:r w:rsidRPr="0009428C">
        <w:rPr>
          <w:rFonts w:ascii="Times New Roman" w:eastAsia="Times New Roman" w:hAnsi="Times New Roman" w:cs="Times New Roman"/>
          <w:i/>
          <w:iCs/>
          <w:color w:val="000000" w:themeColor="text1"/>
          <w:sz w:val="24"/>
          <w:szCs w:val="24"/>
          <w:lang w:eastAsia="en-GB"/>
        </w:rPr>
        <w:t>Journal of Financial Economics</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94</w:t>
      </w:r>
      <w:r w:rsidRPr="0009428C">
        <w:rPr>
          <w:rFonts w:ascii="Times New Roman" w:eastAsia="Times New Roman" w:hAnsi="Times New Roman" w:cs="Times New Roman"/>
          <w:color w:val="000000" w:themeColor="text1"/>
          <w:sz w:val="24"/>
          <w:szCs w:val="24"/>
          <w:lang w:eastAsia="en-GB"/>
        </w:rPr>
        <w:t>(2), 291–309.</w:t>
      </w:r>
    </w:p>
    <w:p w14:paraId="13129EB2" w14:textId="00F08108" w:rsidR="004C0013" w:rsidRPr="004C0013" w:rsidRDefault="004C0013" w:rsidP="004C0013">
      <w:pPr>
        <w:pStyle w:val="NormalWeb"/>
        <w:numPr>
          <w:ilvl w:val="0"/>
          <w:numId w:val="11"/>
        </w:numPr>
        <w:spacing w:line="480" w:lineRule="auto"/>
      </w:pPr>
      <w:r>
        <w:t xml:space="preserve">Agarwal, R., &amp; Kallapur, S. (2018). Cognitive risk culture and advanced roles of actors in risk governance: a case study. </w:t>
      </w:r>
      <w:r>
        <w:rPr>
          <w:i/>
          <w:iCs/>
        </w:rPr>
        <w:t>Journal of Risk Finance</w:t>
      </w:r>
      <w:r>
        <w:t xml:space="preserve">, </w:t>
      </w:r>
      <w:r>
        <w:rPr>
          <w:i/>
          <w:iCs/>
        </w:rPr>
        <w:t>19</w:t>
      </w:r>
      <w:r>
        <w:t xml:space="preserve">(4), 327–342. </w:t>
      </w:r>
    </w:p>
    <w:p w14:paraId="562B492A"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Akram, F., Abrar ul Haq, M., Natarajan, V. K., &amp; Chellakan, R. S. (2020). Board heterogeneity and corporate performance: An insight beyond agency issues. </w:t>
      </w:r>
      <w:r w:rsidRPr="0009428C">
        <w:rPr>
          <w:rFonts w:ascii="Times New Roman" w:eastAsia="Calibri" w:hAnsi="Times New Roman" w:cs="Times New Roman"/>
          <w:i/>
          <w:iCs/>
          <w:color w:val="000000" w:themeColor="text1"/>
          <w:sz w:val="24"/>
          <w:szCs w:val="24"/>
        </w:rPr>
        <w:t>Cogent Business and Management</w:t>
      </w:r>
      <w:r w:rsidRPr="0009428C">
        <w:rPr>
          <w:rFonts w:ascii="Times New Roman" w:eastAsia="Calibri" w:hAnsi="Times New Roman" w:cs="Times New Roman"/>
          <w:color w:val="000000" w:themeColor="text1"/>
          <w:sz w:val="24"/>
          <w:szCs w:val="24"/>
        </w:rPr>
        <w:t xml:space="preserve">, </w:t>
      </w:r>
      <w:r w:rsidRPr="0009428C">
        <w:rPr>
          <w:rFonts w:ascii="Times New Roman" w:eastAsia="Calibri" w:hAnsi="Times New Roman" w:cs="Times New Roman"/>
          <w:i/>
          <w:iCs/>
          <w:color w:val="000000" w:themeColor="text1"/>
          <w:sz w:val="24"/>
          <w:szCs w:val="24"/>
        </w:rPr>
        <w:t>7</w:t>
      </w:r>
      <w:r w:rsidRPr="0009428C">
        <w:rPr>
          <w:rFonts w:ascii="Times New Roman" w:eastAsia="Calibri" w:hAnsi="Times New Roman" w:cs="Times New Roman"/>
          <w:color w:val="000000" w:themeColor="text1"/>
          <w:sz w:val="24"/>
          <w:szCs w:val="24"/>
        </w:rPr>
        <w:t>(1), 1-15.</w:t>
      </w:r>
    </w:p>
    <w:p w14:paraId="55A2A1B4"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i/>
          <w:iCs/>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Alexander, K. (2019). Regulating risk culture in banks. https://ssrn.com/abstract=3321163</w:t>
      </w:r>
      <w:r w:rsidRPr="0009428C">
        <w:rPr>
          <w:rFonts w:ascii="Times New Roman" w:eastAsia="Times New Roman" w:hAnsi="Times New Roman" w:cs="Times New Roman"/>
          <w:i/>
          <w:iCs/>
          <w:color w:val="000000" w:themeColor="text1"/>
          <w:sz w:val="24"/>
          <w:szCs w:val="24"/>
          <w:lang w:eastAsia="en-GB"/>
        </w:rPr>
        <w:t xml:space="preserve"> </w:t>
      </w:r>
    </w:p>
    <w:p w14:paraId="5B22613D"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Bandura, A. (2006). Toward a psychology of human agency. </w:t>
      </w:r>
      <w:r w:rsidRPr="0009428C">
        <w:rPr>
          <w:rFonts w:ascii="Times New Roman" w:eastAsia="Times New Roman" w:hAnsi="Times New Roman" w:cs="Times New Roman"/>
          <w:i/>
          <w:iCs/>
          <w:color w:val="000000" w:themeColor="text1"/>
          <w:sz w:val="24"/>
          <w:szCs w:val="24"/>
          <w:lang w:eastAsia="en-GB"/>
        </w:rPr>
        <w:t>Perspectives on Psychological Science</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1</w:t>
      </w:r>
      <w:r w:rsidRPr="0009428C">
        <w:rPr>
          <w:rFonts w:ascii="Times New Roman" w:eastAsia="Times New Roman" w:hAnsi="Times New Roman" w:cs="Times New Roman"/>
          <w:color w:val="000000" w:themeColor="text1"/>
          <w:sz w:val="24"/>
          <w:szCs w:val="24"/>
          <w:lang w:eastAsia="en-GB"/>
        </w:rPr>
        <w:t xml:space="preserve">(2), 164–180. </w:t>
      </w:r>
    </w:p>
    <w:p w14:paraId="50F93BBF"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i/>
          <w:iCs/>
          <w:color w:val="000000" w:themeColor="text1"/>
          <w:sz w:val="24"/>
          <w:szCs w:val="24"/>
        </w:rPr>
      </w:pPr>
      <w:r w:rsidRPr="0009428C">
        <w:rPr>
          <w:rFonts w:ascii="Times New Roman" w:eastAsia="Calibri" w:hAnsi="Times New Roman" w:cs="Times New Roman"/>
          <w:color w:val="000000" w:themeColor="text1"/>
          <w:sz w:val="24"/>
          <w:szCs w:val="24"/>
        </w:rPr>
        <w:t xml:space="preserve">Basel. (2010) Basel Committee on Banking Supervision (BCBS, 2010), </w:t>
      </w:r>
      <w:r w:rsidRPr="0009428C">
        <w:rPr>
          <w:rFonts w:ascii="Times New Roman" w:eastAsia="Calibri" w:hAnsi="Times New Roman" w:cs="Times New Roman"/>
          <w:iCs/>
          <w:color w:val="000000" w:themeColor="text1"/>
          <w:sz w:val="24"/>
          <w:szCs w:val="24"/>
        </w:rPr>
        <w:t>An assessment of the long-term economic impact of stronger capital and liquidity requirements</w:t>
      </w:r>
      <w:r w:rsidRPr="0009428C">
        <w:rPr>
          <w:rFonts w:ascii="Times New Roman" w:eastAsia="Calibri" w:hAnsi="Times New Roman" w:cs="Times New Roman"/>
          <w:i/>
          <w:iCs/>
          <w:color w:val="000000" w:themeColor="text1"/>
          <w:sz w:val="24"/>
          <w:szCs w:val="24"/>
        </w:rPr>
        <w:t xml:space="preserve">, </w:t>
      </w:r>
      <w:r w:rsidRPr="0009428C">
        <w:rPr>
          <w:rFonts w:ascii="Times New Roman" w:eastAsia="Calibri" w:hAnsi="Times New Roman" w:cs="Times New Roman"/>
          <w:color w:val="000000" w:themeColor="text1"/>
          <w:sz w:val="24"/>
          <w:szCs w:val="24"/>
        </w:rPr>
        <w:t>Available at:</w:t>
      </w:r>
      <w:r w:rsidRPr="0009428C">
        <w:rPr>
          <w:rFonts w:ascii="Times New Roman" w:eastAsia="Calibri" w:hAnsi="Times New Roman" w:cs="Times New Roman"/>
          <w:i/>
          <w:iCs/>
          <w:color w:val="000000" w:themeColor="text1"/>
          <w:sz w:val="24"/>
          <w:szCs w:val="24"/>
        </w:rPr>
        <w:t xml:space="preserve"> </w:t>
      </w:r>
      <w:r w:rsidRPr="0009428C">
        <w:rPr>
          <w:rFonts w:ascii="Times New Roman" w:eastAsia="Calibri" w:hAnsi="Times New Roman" w:cs="Times New Roman"/>
          <w:color w:val="000000" w:themeColor="text1"/>
          <w:sz w:val="24"/>
          <w:szCs w:val="24"/>
        </w:rPr>
        <w:t>http://www.bis.org/publ/bcbs173.pdf (Accessed: 15 October 2018).</w:t>
      </w:r>
    </w:p>
    <w:p w14:paraId="0475FF62"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i/>
          <w:iCs/>
          <w:color w:val="000000" w:themeColor="text1"/>
          <w:sz w:val="24"/>
          <w:szCs w:val="24"/>
        </w:rPr>
      </w:pPr>
      <w:r w:rsidRPr="0009428C">
        <w:rPr>
          <w:rFonts w:ascii="Times New Roman" w:eastAsia="Calibri" w:hAnsi="Times New Roman" w:cs="Times New Roman"/>
          <w:color w:val="000000" w:themeColor="text1"/>
          <w:sz w:val="24"/>
          <w:szCs w:val="24"/>
        </w:rPr>
        <w:t xml:space="preserve">Basel. (2015a), Basel Committee on Banking Supervision Guidelines. </w:t>
      </w:r>
      <w:r w:rsidRPr="0009428C">
        <w:rPr>
          <w:rFonts w:ascii="Times New Roman" w:eastAsia="Calibri" w:hAnsi="Times New Roman" w:cs="Times New Roman"/>
          <w:i/>
          <w:iCs/>
          <w:color w:val="000000" w:themeColor="text1"/>
          <w:sz w:val="24"/>
          <w:szCs w:val="24"/>
        </w:rPr>
        <w:t>Corporate Governance.</w:t>
      </w:r>
    </w:p>
    <w:p w14:paraId="3DD302C8"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i/>
          <w:iCs/>
          <w:color w:val="000000" w:themeColor="text1"/>
          <w:sz w:val="24"/>
          <w:szCs w:val="24"/>
        </w:rPr>
      </w:pPr>
      <w:r w:rsidRPr="0009428C">
        <w:rPr>
          <w:rFonts w:ascii="Times New Roman" w:eastAsia="Calibri" w:hAnsi="Times New Roman" w:cs="Times New Roman"/>
          <w:color w:val="000000" w:themeColor="text1"/>
          <w:sz w:val="24"/>
          <w:szCs w:val="24"/>
        </w:rPr>
        <w:t xml:space="preserve">Basel. (2015b) Basel Committee on Banking Supervision. </w:t>
      </w:r>
      <w:r w:rsidRPr="0009428C">
        <w:rPr>
          <w:rFonts w:ascii="Times New Roman" w:eastAsia="Calibri" w:hAnsi="Times New Roman" w:cs="Times New Roman"/>
          <w:i/>
          <w:iCs/>
          <w:color w:val="000000" w:themeColor="text1"/>
          <w:sz w:val="24"/>
          <w:szCs w:val="24"/>
        </w:rPr>
        <w:t xml:space="preserve">Report on the impact and accountability of banking supervision. </w:t>
      </w:r>
      <w:r w:rsidRPr="0009428C">
        <w:rPr>
          <w:rFonts w:ascii="Times New Roman" w:eastAsia="Calibri" w:hAnsi="Times New Roman" w:cs="Times New Roman"/>
          <w:color w:val="000000" w:themeColor="text1"/>
          <w:sz w:val="24"/>
          <w:szCs w:val="24"/>
        </w:rPr>
        <w:t xml:space="preserve">Available at </w:t>
      </w:r>
      <w:hyperlink r:id="rId23" w:history="1">
        <w:r w:rsidRPr="0009428C">
          <w:rPr>
            <w:rFonts w:ascii="Times New Roman" w:eastAsia="Calibri" w:hAnsi="Times New Roman" w:cs="Times New Roman"/>
            <w:color w:val="000000" w:themeColor="text1"/>
            <w:sz w:val="24"/>
            <w:szCs w:val="24"/>
            <w:u w:val="single"/>
          </w:rPr>
          <w:t>http://www.bis.org/bcbs/publ/d326.htm</w:t>
        </w:r>
      </w:hyperlink>
      <w:r w:rsidRPr="0009428C">
        <w:rPr>
          <w:rFonts w:ascii="Times New Roman" w:eastAsia="Calibri" w:hAnsi="Times New Roman" w:cs="Times New Roman"/>
          <w:i/>
          <w:iCs/>
          <w:color w:val="000000" w:themeColor="text1"/>
          <w:sz w:val="24"/>
          <w:szCs w:val="24"/>
        </w:rPr>
        <w:t xml:space="preserve"> </w:t>
      </w:r>
      <w:r w:rsidRPr="0009428C">
        <w:rPr>
          <w:rFonts w:ascii="Times New Roman" w:eastAsia="Calibri" w:hAnsi="Times New Roman" w:cs="Times New Roman"/>
          <w:color w:val="000000" w:themeColor="text1"/>
          <w:sz w:val="24"/>
          <w:szCs w:val="24"/>
        </w:rPr>
        <w:t>(Accessed: 15 Nov 2018).</w:t>
      </w:r>
    </w:p>
    <w:p w14:paraId="631E84A0"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Boivie, S., Bednar, M. K., Aguilera, R. V., &amp; Andrus, J. L. (2016). Are Boards Designed to Fail? The Implausibility of Effective Board Monitoring. </w:t>
      </w:r>
      <w:r w:rsidRPr="0009428C">
        <w:rPr>
          <w:rFonts w:ascii="Times New Roman" w:eastAsia="Times New Roman" w:hAnsi="Times New Roman" w:cs="Times New Roman"/>
          <w:i/>
          <w:iCs/>
          <w:color w:val="000000" w:themeColor="text1"/>
          <w:sz w:val="24"/>
          <w:szCs w:val="24"/>
          <w:lang w:eastAsia="en-GB"/>
        </w:rPr>
        <w:t>Academy of Management Annals</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10</w:t>
      </w:r>
      <w:r w:rsidRPr="0009428C">
        <w:rPr>
          <w:rFonts w:ascii="Times New Roman" w:eastAsia="Times New Roman" w:hAnsi="Times New Roman" w:cs="Times New Roman"/>
          <w:color w:val="000000" w:themeColor="text1"/>
          <w:sz w:val="24"/>
          <w:szCs w:val="24"/>
          <w:lang w:eastAsia="en-GB"/>
        </w:rPr>
        <w:t xml:space="preserve">(1), 319–407. </w:t>
      </w:r>
    </w:p>
    <w:p w14:paraId="24D2E364"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Caprio, G. &amp; Levine, R. 2002. Corporate governance in finance: Concepts and international observations. In R. E. Litan, M. Pomerleano, &amp; V. Sundararajan (Eds.), Financial </w:t>
      </w:r>
    </w:p>
    <w:p w14:paraId="496A3112"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sector governance: The roles of the public and private sectors. Washington, DC: The Brookings Institution.</w:t>
      </w:r>
    </w:p>
    <w:p w14:paraId="09E94CCB" w14:textId="77777777" w:rsid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Diamond, D. W. 1989, Reputation acquisition in debt markets, </w:t>
      </w:r>
      <w:r w:rsidRPr="0009428C">
        <w:rPr>
          <w:rFonts w:ascii="Times New Roman" w:eastAsia="Calibri" w:hAnsi="Times New Roman" w:cs="Times New Roman"/>
          <w:i/>
          <w:color w:val="000000" w:themeColor="text1"/>
          <w:sz w:val="24"/>
          <w:szCs w:val="24"/>
        </w:rPr>
        <w:t>Journal of Political Economy</w:t>
      </w:r>
      <w:r w:rsidRPr="0009428C">
        <w:rPr>
          <w:rFonts w:ascii="Times New Roman" w:eastAsia="Calibri" w:hAnsi="Times New Roman" w:cs="Times New Roman"/>
          <w:color w:val="000000" w:themeColor="text1"/>
          <w:sz w:val="24"/>
          <w:szCs w:val="24"/>
        </w:rPr>
        <w:t>, 97, 828–862.</w:t>
      </w:r>
    </w:p>
    <w:p w14:paraId="120E83F4" w14:textId="39F96EEF" w:rsidR="003875BB" w:rsidRPr="0009428C" w:rsidRDefault="003875BB"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3875BB">
        <w:rPr>
          <w:rFonts w:ascii="Times New Roman" w:eastAsia="Calibri" w:hAnsi="Times New Roman" w:cs="Times New Roman"/>
          <w:color w:val="000000" w:themeColor="text1"/>
          <w:sz w:val="24"/>
          <w:szCs w:val="24"/>
        </w:rPr>
        <w:t xml:space="preserve">De Jonghe, F., Edelsten, M. and Xavier, I. (2013). The cultural revolution in risk management. </w:t>
      </w:r>
      <w:r w:rsidRPr="003875BB">
        <w:rPr>
          <w:rFonts w:ascii="Times New Roman" w:eastAsia="Calibri" w:hAnsi="Times New Roman" w:cs="Times New Roman"/>
          <w:i/>
          <w:iCs/>
          <w:color w:val="000000" w:themeColor="text1"/>
          <w:sz w:val="24"/>
          <w:szCs w:val="24"/>
        </w:rPr>
        <w:t>Journal of Financial Perspectives</w:t>
      </w:r>
      <w:r w:rsidRPr="003875BB">
        <w:rPr>
          <w:rFonts w:ascii="Times New Roman" w:eastAsia="Calibri" w:hAnsi="Times New Roman" w:cs="Times New Roman"/>
          <w:color w:val="000000" w:themeColor="text1"/>
          <w:sz w:val="24"/>
          <w:szCs w:val="24"/>
        </w:rPr>
        <w:t>, 1(1)</w:t>
      </w:r>
      <w:r>
        <w:rPr>
          <w:rFonts w:ascii="Times New Roman" w:eastAsia="Calibri" w:hAnsi="Times New Roman" w:cs="Times New Roman"/>
          <w:color w:val="000000" w:themeColor="text1"/>
          <w:sz w:val="24"/>
          <w:szCs w:val="24"/>
        </w:rPr>
        <w:t>,</w:t>
      </w:r>
      <w:r w:rsidRPr="003875BB">
        <w:rPr>
          <w:rFonts w:ascii="Times New Roman" w:eastAsia="Calibri" w:hAnsi="Times New Roman" w:cs="Times New Roman"/>
          <w:color w:val="000000" w:themeColor="text1"/>
          <w:sz w:val="24"/>
          <w:szCs w:val="24"/>
        </w:rPr>
        <w:t xml:space="preserve"> 179–187.</w:t>
      </w:r>
    </w:p>
    <w:p w14:paraId="5633C5A3" w14:textId="77777777" w:rsidR="0009428C" w:rsidRPr="0009428C" w:rsidRDefault="0009428C" w:rsidP="0009428C">
      <w:pPr>
        <w:numPr>
          <w:ilvl w:val="0"/>
          <w:numId w:val="11"/>
        </w:numPr>
        <w:spacing w:after="240"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Financial Stability Board (2013), Thematic review on risk governance, Available at: </w:t>
      </w:r>
      <w:hyperlink r:id="rId24" w:history="1">
        <w:r w:rsidRPr="0009428C">
          <w:rPr>
            <w:rFonts w:ascii="Times New Roman" w:eastAsia="Times New Roman" w:hAnsi="Times New Roman" w:cs="Times New Roman"/>
            <w:color w:val="000000" w:themeColor="text1"/>
            <w:sz w:val="24"/>
            <w:szCs w:val="24"/>
            <w:u w:val="single"/>
            <w:lang w:eastAsia="en-GB"/>
          </w:rPr>
          <w:t>http://www.financialstabilityboard.org/publications/r_130212.pdf</w:t>
        </w:r>
      </w:hyperlink>
      <w:r w:rsidRPr="0009428C">
        <w:rPr>
          <w:rFonts w:ascii="Times New Roman" w:eastAsia="Times New Roman" w:hAnsi="Times New Roman" w:cs="Times New Roman"/>
          <w:color w:val="000000" w:themeColor="text1"/>
          <w:sz w:val="24"/>
          <w:szCs w:val="24"/>
          <w:lang w:eastAsia="en-GB"/>
        </w:rPr>
        <w:t>.</w:t>
      </w:r>
    </w:p>
    <w:p w14:paraId="1B31D968"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Haynes, K. T., &amp; Hillman, A. (2010). The effect of board capital and CEO power on strategic change. </w:t>
      </w:r>
      <w:r w:rsidRPr="0009428C">
        <w:rPr>
          <w:rFonts w:ascii="Times New Roman" w:eastAsia="Calibri" w:hAnsi="Times New Roman" w:cs="Times New Roman"/>
          <w:i/>
          <w:iCs/>
          <w:color w:val="000000" w:themeColor="text1"/>
          <w:sz w:val="24"/>
          <w:szCs w:val="24"/>
        </w:rPr>
        <w:t>Strategic Management Journal</w:t>
      </w:r>
      <w:r w:rsidRPr="0009428C">
        <w:rPr>
          <w:rFonts w:ascii="Times New Roman" w:eastAsia="Calibri" w:hAnsi="Times New Roman" w:cs="Times New Roman"/>
          <w:color w:val="000000" w:themeColor="text1"/>
          <w:sz w:val="24"/>
          <w:szCs w:val="24"/>
        </w:rPr>
        <w:t xml:space="preserve">, </w:t>
      </w:r>
      <w:r w:rsidRPr="0009428C">
        <w:rPr>
          <w:rFonts w:ascii="Times New Roman" w:eastAsia="Calibri" w:hAnsi="Times New Roman" w:cs="Times New Roman"/>
          <w:i/>
          <w:iCs/>
          <w:color w:val="000000" w:themeColor="text1"/>
          <w:sz w:val="24"/>
          <w:szCs w:val="24"/>
        </w:rPr>
        <w:t>31</w:t>
      </w:r>
      <w:r w:rsidRPr="0009428C">
        <w:rPr>
          <w:rFonts w:ascii="Times New Roman" w:eastAsia="Calibri" w:hAnsi="Times New Roman" w:cs="Times New Roman"/>
          <w:color w:val="000000" w:themeColor="text1"/>
          <w:sz w:val="24"/>
          <w:szCs w:val="24"/>
        </w:rPr>
        <w:t>(11), 1145–1163.</w:t>
      </w:r>
    </w:p>
    <w:p w14:paraId="626E206E"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Hill, C. (1992). Stakeholder-agency theory. </w:t>
      </w:r>
      <w:r w:rsidRPr="0009428C">
        <w:rPr>
          <w:rFonts w:ascii="Times New Roman" w:eastAsia="Times New Roman" w:hAnsi="Times New Roman" w:cs="Times New Roman"/>
          <w:i/>
          <w:iCs/>
          <w:color w:val="000000" w:themeColor="text1"/>
          <w:sz w:val="24"/>
          <w:szCs w:val="24"/>
          <w:lang w:eastAsia="en-GB"/>
        </w:rPr>
        <w:t>Journal of Management Studies</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29</w:t>
      </w:r>
      <w:r w:rsidRPr="0009428C">
        <w:rPr>
          <w:rFonts w:ascii="Times New Roman" w:eastAsia="Times New Roman" w:hAnsi="Times New Roman" w:cs="Times New Roman"/>
          <w:color w:val="000000" w:themeColor="text1"/>
          <w:sz w:val="24"/>
          <w:szCs w:val="24"/>
          <w:lang w:eastAsia="en-GB"/>
        </w:rPr>
        <w:t>(2), 131–154.</w:t>
      </w:r>
    </w:p>
    <w:p w14:paraId="35DEF7E6"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IMF. (2014) </w:t>
      </w:r>
      <w:r w:rsidRPr="0009428C">
        <w:rPr>
          <w:rFonts w:ascii="Times New Roman" w:eastAsia="Calibri" w:hAnsi="Times New Roman" w:cs="Times New Roman"/>
          <w:i/>
          <w:iCs/>
          <w:color w:val="000000" w:themeColor="text1"/>
          <w:sz w:val="24"/>
          <w:szCs w:val="24"/>
        </w:rPr>
        <w:t xml:space="preserve">Risk-taking by Banks: The role of governance and executive pay </w:t>
      </w:r>
      <w:r w:rsidRPr="0009428C">
        <w:rPr>
          <w:rFonts w:ascii="Times New Roman" w:eastAsia="Calibri" w:hAnsi="Times New Roman" w:cs="Times New Roman"/>
          <w:color w:val="000000" w:themeColor="text1"/>
          <w:sz w:val="24"/>
          <w:szCs w:val="24"/>
        </w:rPr>
        <w:t>(IMF). Available at: https://www.imf.org/external/pubs/ft/gfsr/2014/02/pdf/c3.pdf (Accessed: 18 December 2018).</w:t>
      </w:r>
    </w:p>
    <w:p w14:paraId="45D90786"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Jain, T., &amp; Zaman, R. (2020). When Boards Matter: The Case of Corporate Social Irresponsibility. </w:t>
      </w:r>
      <w:r w:rsidRPr="0009428C">
        <w:rPr>
          <w:rFonts w:ascii="Times New Roman" w:eastAsia="Times New Roman" w:hAnsi="Times New Roman" w:cs="Times New Roman"/>
          <w:i/>
          <w:iCs/>
          <w:color w:val="000000" w:themeColor="text1"/>
          <w:sz w:val="24"/>
          <w:szCs w:val="24"/>
          <w:lang w:eastAsia="en-GB"/>
        </w:rPr>
        <w:t>British Journal of Management</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31</w:t>
      </w:r>
      <w:r w:rsidRPr="0009428C">
        <w:rPr>
          <w:rFonts w:ascii="Times New Roman" w:eastAsia="Times New Roman" w:hAnsi="Times New Roman" w:cs="Times New Roman"/>
          <w:color w:val="000000" w:themeColor="text1"/>
          <w:sz w:val="24"/>
          <w:szCs w:val="24"/>
          <w:lang w:eastAsia="en-GB"/>
        </w:rPr>
        <w:t xml:space="preserve">(2), 365–386. </w:t>
      </w:r>
    </w:p>
    <w:p w14:paraId="320278C5"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Jensen, M., &amp; Meckling, W. 1976. Theory of the firm: Managerial behaviours, agency costs, and ownership structure. </w:t>
      </w:r>
      <w:r w:rsidRPr="0009428C">
        <w:rPr>
          <w:rFonts w:ascii="Times New Roman" w:eastAsia="Calibri" w:hAnsi="Times New Roman" w:cs="Times New Roman"/>
          <w:i/>
          <w:iCs/>
          <w:color w:val="000000" w:themeColor="text1"/>
          <w:sz w:val="24"/>
          <w:szCs w:val="24"/>
        </w:rPr>
        <w:t>Journal of Financial Economics</w:t>
      </w:r>
      <w:r w:rsidRPr="0009428C">
        <w:rPr>
          <w:rFonts w:ascii="Times New Roman" w:eastAsia="Calibri" w:hAnsi="Times New Roman" w:cs="Times New Roman"/>
          <w:color w:val="000000" w:themeColor="text1"/>
          <w:sz w:val="24"/>
          <w:szCs w:val="24"/>
        </w:rPr>
        <w:t>, 3, 305–360.</w:t>
      </w:r>
    </w:p>
    <w:p w14:paraId="23DFF649" w14:textId="77777777" w:rsidR="0009428C" w:rsidRPr="0009428C" w:rsidRDefault="0009428C" w:rsidP="0009428C">
      <w:pPr>
        <w:numPr>
          <w:ilvl w:val="0"/>
          <w:numId w:val="11"/>
        </w:numPr>
        <w:spacing w:after="200" w:line="480" w:lineRule="auto"/>
        <w:ind w:left="0" w:firstLine="0"/>
        <w:jc w:val="both"/>
        <w:rPr>
          <w:rFonts w:ascii="Times New Roman" w:eastAsia="Cambria" w:hAnsi="Times New Roman" w:cs="Times New Roman"/>
          <w:color w:val="000000" w:themeColor="text1"/>
          <w:sz w:val="24"/>
          <w:szCs w:val="24"/>
          <w:lang w:val="en-US"/>
        </w:rPr>
      </w:pPr>
      <w:r w:rsidRPr="0009428C">
        <w:rPr>
          <w:rFonts w:ascii="Times New Roman" w:eastAsia="Calibri" w:hAnsi="Times New Roman" w:cs="Times New Roman"/>
          <w:color w:val="000000" w:themeColor="text1"/>
          <w:sz w:val="24"/>
          <w:szCs w:val="24"/>
        </w:rPr>
        <w:t xml:space="preserve">John, K. &amp; Qian, Y. 2003. Incentive features in CEO compensation in the banking industry, </w:t>
      </w:r>
      <w:r w:rsidRPr="0009428C">
        <w:rPr>
          <w:rFonts w:ascii="Times New Roman" w:eastAsia="Calibri" w:hAnsi="Times New Roman" w:cs="Times New Roman"/>
          <w:i/>
          <w:iCs/>
          <w:color w:val="000000" w:themeColor="text1"/>
          <w:sz w:val="24"/>
          <w:szCs w:val="24"/>
        </w:rPr>
        <w:t>FRBNY Economic Policy Review</w:t>
      </w:r>
      <w:r w:rsidRPr="0009428C">
        <w:rPr>
          <w:rFonts w:ascii="Times New Roman" w:eastAsia="Calibri" w:hAnsi="Times New Roman" w:cs="Times New Roman"/>
          <w:color w:val="000000" w:themeColor="text1"/>
          <w:sz w:val="24"/>
          <w:szCs w:val="24"/>
        </w:rPr>
        <w:t>, 9, 109–121.</w:t>
      </w:r>
    </w:p>
    <w:p w14:paraId="61F80464" w14:textId="77777777" w:rsidR="0009428C" w:rsidRPr="0009428C" w:rsidRDefault="0009428C" w:rsidP="0009428C">
      <w:pPr>
        <w:numPr>
          <w:ilvl w:val="0"/>
          <w:numId w:val="11"/>
        </w:numPr>
        <w:spacing w:before="100" w:beforeAutospacing="1" w:after="24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John, K., De Masi, S., &amp; Paci, A. (2016). Corporate governance in banks. </w:t>
      </w:r>
      <w:r w:rsidRPr="0009428C">
        <w:rPr>
          <w:rFonts w:ascii="Times New Roman" w:eastAsia="Times New Roman" w:hAnsi="Times New Roman" w:cs="Times New Roman"/>
          <w:i/>
          <w:iCs/>
          <w:color w:val="000000" w:themeColor="text1"/>
          <w:sz w:val="24"/>
          <w:szCs w:val="24"/>
          <w:lang w:eastAsia="en-GB"/>
        </w:rPr>
        <w:t>Corporate Governance: An International Review</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24</w:t>
      </w:r>
      <w:r w:rsidRPr="0009428C">
        <w:rPr>
          <w:rFonts w:ascii="Times New Roman" w:eastAsia="Times New Roman" w:hAnsi="Times New Roman" w:cs="Times New Roman"/>
          <w:color w:val="000000" w:themeColor="text1"/>
          <w:sz w:val="24"/>
          <w:szCs w:val="24"/>
          <w:lang w:eastAsia="en-GB"/>
        </w:rPr>
        <w:t xml:space="preserve">(3), 303–321. </w:t>
      </w:r>
    </w:p>
    <w:p w14:paraId="02CD612D"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Laeven, L. (2013). Corporate governance: What’s special about banks? </w:t>
      </w:r>
      <w:r w:rsidRPr="0009428C">
        <w:rPr>
          <w:rFonts w:ascii="Times New Roman" w:eastAsia="Calibri" w:hAnsi="Times New Roman" w:cs="Times New Roman"/>
          <w:i/>
          <w:iCs/>
          <w:color w:val="000000" w:themeColor="text1"/>
          <w:sz w:val="24"/>
          <w:szCs w:val="24"/>
        </w:rPr>
        <w:t>Annual Review of Financial Economics</w:t>
      </w:r>
      <w:r w:rsidRPr="0009428C">
        <w:rPr>
          <w:rFonts w:ascii="Times New Roman" w:eastAsia="Calibri" w:hAnsi="Times New Roman" w:cs="Times New Roman"/>
          <w:color w:val="000000" w:themeColor="text1"/>
          <w:sz w:val="24"/>
          <w:szCs w:val="24"/>
        </w:rPr>
        <w:t>, 5, 63–92</w:t>
      </w:r>
    </w:p>
    <w:p w14:paraId="1C159D98"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Levine, R. (2004). The corporate governance of banks: A concise discussion of concepts and evidence. Working paper no. 3404, World Bank Research, Washington, DC.</w:t>
      </w:r>
    </w:p>
    <w:p w14:paraId="044B8413" w14:textId="77777777" w:rsidR="0009428C" w:rsidRPr="0009428C" w:rsidRDefault="0009428C" w:rsidP="0009428C">
      <w:pPr>
        <w:numPr>
          <w:ilvl w:val="0"/>
          <w:numId w:val="11"/>
        </w:numPr>
        <w:spacing w:after="200" w:line="480" w:lineRule="auto"/>
        <w:ind w:left="0" w:firstLine="0"/>
        <w:jc w:val="both"/>
        <w:rPr>
          <w:rFonts w:ascii="Times New Roman" w:eastAsia="Cambria" w:hAnsi="Times New Roman" w:cs="Times New Roman"/>
          <w:color w:val="000000" w:themeColor="text1"/>
          <w:sz w:val="24"/>
          <w:szCs w:val="24"/>
          <w:lang w:val="en-US"/>
        </w:rPr>
      </w:pPr>
      <w:r w:rsidRPr="0009428C">
        <w:rPr>
          <w:rFonts w:ascii="Times New Roman" w:eastAsia="Calibri" w:hAnsi="Times New Roman" w:cs="Times New Roman"/>
          <w:color w:val="000000" w:themeColor="text1"/>
          <w:sz w:val="24"/>
          <w:szCs w:val="24"/>
          <w:lang w:eastAsia="en-GB"/>
        </w:rPr>
        <w:t>Merton, R. (1977), An analytic derivation of the cost of deposit insurance and loan guarantees,</w:t>
      </w:r>
      <w:r w:rsidRPr="0009428C">
        <w:rPr>
          <w:rFonts w:ascii="Times New Roman" w:eastAsia="Cambria" w:hAnsi="Times New Roman" w:cs="Times New Roman"/>
          <w:color w:val="000000" w:themeColor="text1"/>
          <w:sz w:val="24"/>
          <w:szCs w:val="24"/>
          <w:lang w:val="en-US"/>
        </w:rPr>
        <w:t xml:space="preserve"> </w:t>
      </w:r>
      <w:r w:rsidRPr="0009428C">
        <w:rPr>
          <w:rFonts w:ascii="Times New Roman" w:eastAsia="Calibri" w:hAnsi="Times New Roman" w:cs="Times New Roman"/>
          <w:i/>
          <w:iCs/>
          <w:color w:val="000000" w:themeColor="text1"/>
          <w:sz w:val="24"/>
          <w:szCs w:val="24"/>
          <w:lang w:eastAsia="en-GB"/>
        </w:rPr>
        <w:t xml:space="preserve">Journal of Banking &amp; Finance, </w:t>
      </w:r>
      <w:r w:rsidRPr="0009428C">
        <w:rPr>
          <w:rFonts w:ascii="Times New Roman" w:eastAsia="Calibri" w:hAnsi="Times New Roman" w:cs="Times New Roman"/>
          <w:color w:val="000000" w:themeColor="text1"/>
          <w:sz w:val="24"/>
          <w:szCs w:val="24"/>
          <w:lang w:eastAsia="en-GB"/>
        </w:rPr>
        <w:t>1 (1), 3–11.</w:t>
      </w:r>
    </w:p>
    <w:p w14:paraId="60168BB1" w14:textId="77777777" w:rsidR="0009428C" w:rsidRDefault="0009428C" w:rsidP="0009428C">
      <w:pPr>
        <w:numPr>
          <w:ilvl w:val="0"/>
          <w:numId w:val="11"/>
        </w:numPr>
        <w:spacing w:after="240"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Miller, P. &amp; Power, M. (2013), Accounting, Organizing, and Economizing: Connecting Accounting Research and Organization Theory, </w:t>
      </w:r>
      <w:r w:rsidRPr="0009428C">
        <w:rPr>
          <w:rFonts w:ascii="Times New Roman" w:eastAsia="Times New Roman" w:hAnsi="Times New Roman" w:cs="Times New Roman"/>
          <w:i/>
          <w:iCs/>
          <w:color w:val="000000" w:themeColor="text1"/>
          <w:sz w:val="24"/>
          <w:szCs w:val="24"/>
          <w:lang w:eastAsia="en-GB"/>
        </w:rPr>
        <w:t>Academy of Management Annals</w:t>
      </w:r>
      <w:r w:rsidRPr="0009428C">
        <w:rPr>
          <w:rFonts w:ascii="Times New Roman" w:eastAsia="Times New Roman" w:hAnsi="Times New Roman" w:cs="Times New Roman"/>
          <w:color w:val="000000" w:themeColor="text1"/>
          <w:sz w:val="24"/>
          <w:szCs w:val="24"/>
          <w:lang w:eastAsia="en-GB"/>
        </w:rPr>
        <w:t xml:space="preserve">, 7(1), pp. 557–605. </w:t>
      </w:r>
    </w:p>
    <w:p w14:paraId="23252CAE" w14:textId="642FCA67" w:rsidR="004C0013" w:rsidRDefault="004C0013" w:rsidP="0009428C">
      <w:pPr>
        <w:numPr>
          <w:ilvl w:val="0"/>
          <w:numId w:val="11"/>
        </w:numPr>
        <w:spacing w:after="240" w:line="480" w:lineRule="auto"/>
        <w:ind w:left="0" w:firstLine="0"/>
        <w:jc w:val="both"/>
        <w:rPr>
          <w:rFonts w:ascii="Times New Roman" w:eastAsia="Times New Roman" w:hAnsi="Times New Roman" w:cs="Times New Roman"/>
          <w:color w:val="000000" w:themeColor="text1"/>
          <w:sz w:val="24"/>
          <w:szCs w:val="24"/>
          <w:lang w:eastAsia="en-GB"/>
        </w:rPr>
      </w:pPr>
      <w:r w:rsidRPr="009E69CE">
        <w:rPr>
          <w:rFonts w:ascii="Times New Roman" w:eastAsia="Calibri" w:hAnsi="Times New Roman" w:cs="Times New Roman"/>
          <w:sz w:val="24"/>
          <w:szCs w:val="24"/>
        </w:rPr>
        <w:t xml:space="preserve">Mikes, A. (2008), CROs at crunch time: Compliance champions or business partners? </w:t>
      </w:r>
      <w:r w:rsidRPr="009E69CE">
        <w:rPr>
          <w:rFonts w:ascii="Times New Roman" w:eastAsia="Calibri" w:hAnsi="Times New Roman" w:cs="Times New Roman"/>
          <w:i/>
          <w:iCs/>
          <w:sz w:val="24"/>
          <w:szCs w:val="24"/>
        </w:rPr>
        <w:t>Journal of Risk Management in Financial Institutions</w:t>
      </w:r>
      <w:r w:rsidRPr="009E69CE">
        <w:rPr>
          <w:rFonts w:ascii="Times New Roman" w:eastAsia="Calibri" w:hAnsi="Times New Roman" w:cs="Times New Roman"/>
          <w:sz w:val="24"/>
          <w:szCs w:val="24"/>
        </w:rPr>
        <w:t>, 2(1), pp. 7 – 25.</w:t>
      </w:r>
    </w:p>
    <w:p w14:paraId="2B7354C2" w14:textId="77777777" w:rsidR="004C0013" w:rsidRPr="004C0013" w:rsidRDefault="004C0013" w:rsidP="004C0013">
      <w:pPr>
        <w:pStyle w:val="ListParagraph"/>
        <w:numPr>
          <w:ilvl w:val="0"/>
          <w:numId w:val="11"/>
        </w:numPr>
        <w:spacing w:line="480" w:lineRule="auto"/>
        <w:jc w:val="both"/>
        <w:rPr>
          <w:rFonts w:ascii="Times New Roman" w:eastAsia="Times New Roman" w:hAnsi="Times New Roman"/>
          <w:sz w:val="24"/>
          <w:szCs w:val="24"/>
        </w:rPr>
      </w:pPr>
      <w:r w:rsidRPr="004C0013">
        <w:rPr>
          <w:rFonts w:ascii="Times New Roman" w:eastAsia="Times New Roman" w:hAnsi="Times New Roman"/>
          <w:sz w:val="24"/>
          <w:szCs w:val="24"/>
        </w:rPr>
        <w:t>Mikes, A. and Kaplan, R.S. (2015), “When one size doesn’t fit all: evolving directions in the research and practice of enterprise risk management”, Journal of Applied Corporate Finance, 27 (1), 7-40.</w:t>
      </w:r>
    </w:p>
    <w:p w14:paraId="5BF9E761" w14:textId="77777777" w:rsid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Morgan, D. P. (2002), Rating banks: Risk and uncertainty in an opaque industry, </w:t>
      </w:r>
      <w:r w:rsidRPr="0009428C">
        <w:rPr>
          <w:rFonts w:ascii="Times New Roman" w:eastAsia="Calibri" w:hAnsi="Times New Roman" w:cs="Times New Roman"/>
          <w:i/>
          <w:iCs/>
          <w:color w:val="000000" w:themeColor="text1"/>
          <w:sz w:val="24"/>
          <w:szCs w:val="24"/>
        </w:rPr>
        <w:t>American Economic Review</w:t>
      </w:r>
      <w:r w:rsidRPr="0009428C">
        <w:rPr>
          <w:rFonts w:ascii="Times New Roman" w:eastAsia="Calibri" w:hAnsi="Times New Roman" w:cs="Times New Roman"/>
          <w:color w:val="000000" w:themeColor="text1"/>
          <w:sz w:val="24"/>
          <w:szCs w:val="24"/>
        </w:rPr>
        <w:t>, 92, 874–888.</w:t>
      </w:r>
    </w:p>
    <w:p w14:paraId="746AD38F" w14:textId="77777777" w:rsidR="004C0013" w:rsidRDefault="004C0013"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4C0013">
        <w:rPr>
          <w:rFonts w:ascii="Times New Roman" w:eastAsia="Calibri" w:hAnsi="Times New Roman" w:cs="Times New Roman"/>
          <w:color w:val="000000" w:themeColor="text1"/>
          <w:sz w:val="24"/>
          <w:szCs w:val="24"/>
        </w:rPr>
        <w:t xml:space="preserve">Protiviti (2014a). Establishing and Nurturing an Effective Risk Culture. California: Protiviti Inc. Available at: https://www.protiviti.com/sites/default/files/united _states/insights/cro-series4-establishing-and-nurturing-an-effective-risk -culture-protiviti.pdf. </w:t>
      </w:r>
    </w:p>
    <w:p w14:paraId="75008398" w14:textId="001DFD4D" w:rsidR="004C0013" w:rsidRPr="0009428C" w:rsidRDefault="004C0013" w:rsidP="004C0013">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sidRPr="004C0013">
        <w:rPr>
          <w:rFonts w:ascii="Times New Roman" w:eastAsia="Calibri" w:hAnsi="Times New Roman" w:cs="Times New Roman"/>
          <w:color w:val="000000" w:themeColor="text1"/>
          <w:sz w:val="24"/>
          <w:szCs w:val="24"/>
        </w:rPr>
        <w:t>(2014b). Board Perspectives: Risk Oversight. California: Protiviti Inc. Available at: https://www.protiviti.com/sites/default/files/united_states/insights/board-perspectives-risk-oversight-issue50-5-risk-oversight-questions -protiviti.pdf.</w:t>
      </w:r>
    </w:p>
    <w:p w14:paraId="1D2E6B87" w14:textId="77777777" w:rsidR="0009428C" w:rsidRPr="0009428C" w:rsidRDefault="0009428C" w:rsidP="0009428C">
      <w:pPr>
        <w:numPr>
          <w:ilvl w:val="0"/>
          <w:numId w:val="11"/>
        </w:numPr>
        <w:spacing w:line="480" w:lineRule="auto"/>
        <w:ind w:left="0" w:firstLine="0"/>
        <w:contextualSpacing/>
        <w:jc w:val="both"/>
        <w:rPr>
          <w:rFonts w:ascii="Times New Roman" w:eastAsia="DengXian" w:hAnsi="Times New Roman" w:cs="Times New Roman"/>
          <w:color w:val="000000" w:themeColor="text1"/>
          <w:sz w:val="24"/>
          <w:szCs w:val="24"/>
          <w:lang w:eastAsia="zh-CN"/>
        </w:rPr>
      </w:pPr>
      <w:r w:rsidRPr="0009428C">
        <w:rPr>
          <w:rFonts w:ascii="Times New Roman" w:eastAsia="DengXian" w:hAnsi="Times New Roman" w:cs="Times New Roman"/>
          <w:color w:val="000000" w:themeColor="text1"/>
          <w:sz w:val="24"/>
          <w:szCs w:val="24"/>
          <w:lang w:eastAsia="zh-CN"/>
        </w:rPr>
        <w:t xml:space="preserve">Song, F., &amp; Thakor, A. V. (2019). Bank culture. </w:t>
      </w:r>
      <w:r w:rsidRPr="0009428C">
        <w:rPr>
          <w:rFonts w:ascii="Times New Roman" w:eastAsia="DengXian" w:hAnsi="Times New Roman" w:cs="Times New Roman"/>
          <w:i/>
          <w:iCs/>
          <w:color w:val="000000" w:themeColor="text1"/>
          <w:sz w:val="24"/>
          <w:szCs w:val="24"/>
          <w:lang w:eastAsia="zh-CN"/>
        </w:rPr>
        <w:t>Journal of Financial Intermediation</w:t>
      </w:r>
      <w:r w:rsidRPr="0009428C">
        <w:rPr>
          <w:rFonts w:ascii="Times New Roman" w:eastAsia="DengXian" w:hAnsi="Times New Roman" w:cs="Times New Roman"/>
          <w:color w:val="000000" w:themeColor="text1"/>
          <w:sz w:val="24"/>
          <w:szCs w:val="24"/>
          <w:lang w:eastAsia="zh-CN"/>
        </w:rPr>
        <w:t xml:space="preserve">, </w:t>
      </w:r>
      <w:r w:rsidRPr="0009428C">
        <w:rPr>
          <w:rFonts w:ascii="Times New Roman" w:eastAsia="DengXian" w:hAnsi="Times New Roman" w:cs="Times New Roman"/>
          <w:i/>
          <w:iCs/>
          <w:color w:val="000000" w:themeColor="text1"/>
          <w:sz w:val="24"/>
          <w:szCs w:val="24"/>
          <w:lang w:eastAsia="zh-CN"/>
        </w:rPr>
        <w:t>39</w:t>
      </w:r>
      <w:r w:rsidRPr="0009428C">
        <w:rPr>
          <w:rFonts w:ascii="Times New Roman" w:eastAsia="DengXian" w:hAnsi="Times New Roman" w:cs="Times New Roman"/>
          <w:color w:val="000000" w:themeColor="text1"/>
          <w:sz w:val="24"/>
          <w:szCs w:val="24"/>
          <w:lang w:eastAsia="zh-CN"/>
        </w:rPr>
        <w:t xml:space="preserve">, 59–79. </w:t>
      </w:r>
    </w:p>
    <w:p w14:paraId="18DFD41D" w14:textId="77777777" w:rsidR="0009428C" w:rsidRPr="0009428C" w:rsidRDefault="0009428C" w:rsidP="0009428C">
      <w:pPr>
        <w:numPr>
          <w:ilvl w:val="0"/>
          <w:numId w:val="11"/>
        </w:numPr>
        <w:spacing w:after="240"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Srivastav, A., &amp; Hagendorff, J. (2016), Corporate governance and bank risk-taking, </w:t>
      </w:r>
      <w:r w:rsidRPr="0009428C">
        <w:rPr>
          <w:rFonts w:ascii="Times New Roman" w:eastAsia="Times New Roman" w:hAnsi="Times New Roman" w:cs="Times New Roman"/>
          <w:i/>
          <w:iCs/>
          <w:color w:val="000000" w:themeColor="text1"/>
          <w:sz w:val="24"/>
          <w:szCs w:val="24"/>
          <w:lang w:eastAsia="en-GB"/>
        </w:rPr>
        <w:t>Corporate Governance: An International Review</w:t>
      </w:r>
      <w:r w:rsidRPr="0009428C">
        <w:rPr>
          <w:rFonts w:ascii="Times New Roman" w:eastAsia="Times New Roman" w:hAnsi="Times New Roman" w:cs="Times New Roman"/>
          <w:color w:val="000000" w:themeColor="text1"/>
          <w:sz w:val="24"/>
          <w:szCs w:val="24"/>
          <w:lang w:eastAsia="en-GB"/>
        </w:rPr>
        <w:t xml:space="preserve">, 24(3), pp. 334–345. </w:t>
      </w:r>
    </w:p>
    <w:p w14:paraId="5DD92D9B" w14:textId="77777777" w:rsidR="0009428C" w:rsidRPr="0009428C" w:rsidRDefault="0009428C" w:rsidP="0009428C">
      <w:pPr>
        <w:numPr>
          <w:ilvl w:val="0"/>
          <w:numId w:val="11"/>
        </w:numPr>
        <w:autoSpaceDE w:val="0"/>
        <w:autoSpaceDN w:val="0"/>
        <w:adjustRightInd w:val="0"/>
        <w:spacing w:after="0" w:line="480" w:lineRule="auto"/>
        <w:ind w:left="0" w:firstLine="0"/>
        <w:jc w:val="both"/>
        <w:rPr>
          <w:rFonts w:ascii="Times New Roman" w:eastAsia="Calibri" w:hAnsi="Times New Roman" w:cs="Times New Roman"/>
          <w:color w:val="000000" w:themeColor="text1"/>
          <w:sz w:val="24"/>
          <w:szCs w:val="24"/>
        </w:rPr>
      </w:pPr>
      <w:r w:rsidRPr="0009428C">
        <w:rPr>
          <w:rFonts w:ascii="Times New Roman" w:eastAsia="Calibri" w:hAnsi="Times New Roman" w:cs="Times New Roman"/>
          <w:color w:val="000000" w:themeColor="text1"/>
          <w:sz w:val="24"/>
          <w:szCs w:val="24"/>
        </w:rPr>
        <w:t xml:space="preserve">Taljaard, C. C., Ward, M. J., &amp; Muller, C. J. (2015). Board diversity and financial performance: A graphical time-series approach. </w:t>
      </w:r>
      <w:r w:rsidRPr="0009428C">
        <w:rPr>
          <w:rFonts w:ascii="Times New Roman" w:eastAsia="Calibri" w:hAnsi="Times New Roman" w:cs="Times New Roman"/>
          <w:i/>
          <w:iCs/>
          <w:color w:val="000000" w:themeColor="text1"/>
          <w:sz w:val="24"/>
          <w:szCs w:val="24"/>
        </w:rPr>
        <w:t>South African Journal of Economic and Management Sciences, 18</w:t>
      </w:r>
      <w:r w:rsidRPr="0009428C">
        <w:rPr>
          <w:rFonts w:ascii="Times New Roman" w:eastAsia="Calibri" w:hAnsi="Times New Roman" w:cs="Times New Roman"/>
          <w:color w:val="000000" w:themeColor="text1"/>
          <w:sz w:val="24"/>
          <w:szCs w:val="24"/>
        </w:rPr>
        <w:t>(3), 425–447.</w:t>
      </w:r>
    </w:p>
    <w:p w14:paraId="6FB781AD" w14:textId="77777777" w:rsidR="0009428C" w:rsidRPr="0009428C" w:rsidRDefault="0009428C" w:rsidP="0009428C">
      <w:pPr>
        <w:numPr>
          <w:ilvl w:val="0"/>
          <w:numId w:val="11"/>
        </w:numPr>
        <w:spacing w:before="100" w:beforeAutospacing="1" w:after="100" w:afterAutospacing="1" w:line="480" w:lineRule="auto"/>
        <w:ind w:left="0" w:firstLine="0"/>
        <w:contextualSpacing/>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Zalata, A. M., Ntim, C. G., Choudhry, T., Hassanein, A., &amp; Elzahar, H. (2019). Female directors and managerial opportunism: Monitoring versus advisory female directors. </w:t>
      </w:r>
      <w:r w:rsidRPr="0009428C">
        <w:rPr>
          <w:rFonts w:ascii="Times New Roman" w:eastAsia="Times New Roman" w:hAnsi="Times New Roman" w:cs="Times New Roman"/>
          <w:i/>
          <w:iCs/>
          <w:color w:val="000000" w:themeColor="text1"/>
          <w:sz w:val="24"/>
          <w:szCs w:val="24"/>
          <w:lang w:eastAsia="en-GB"/>
        </w:rPr>
        <w:t>Leadership Quarterly</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30</w:t>
      </w:r>
      <w:r w:rsidRPr="0009428C">
        <w:rPr>
          <w:rFonts w:ascii="Times New Roman" w:eastAsia="Times New Roman" w:hAnsi="Times New Roman" w:cs="Times New Roman"/>
          <w:color w:val="000000" w:themeColor="text1"/>
          <w:sz w:val="24"/>
          <w:szCs w:val="24"/>
          <w:lang w:eastAsia="en-GB"/>
        </w:rPr>
        <w:t xml:space="preserve">(5). </w:t>
      </w:r>
    </w:p>
    <w:p w14:paraId="6DF6B90A" w14:textId="77777777" w:rsidR="0009428C" w:rsidRPr="0009428C" w:rsidRDefault="0009428C" w:rsidP="0009428C">
      <w:pPr>
        <w:numPr>
          <w:ilvl w:val="0"/>
          <w:numId w:val="11"/>
        </w:numPr>
        <w:spacing w:before="100" w:beforeAutospacing="1" w:after="100" w:afterAutospacing="1" w:line="480" w:lineRule="auto"/>
        <w:ind w:left="0" w:firstLine="0"/>
        <w:jc w:val="both"/>
        <w:rPr>
          <w:rFonts w:ascii="Times New Roman" w:eastAsia="Times New Roman" w:hAnsi="Times New Roman" w:cs="Times New Roman"/>
          <w:color w:val="000000" w:themeColor="text1"/>
          <w:sz w:val="24"/>
          <w:szCs w:val="24"/>
          <w:lang w:eastAsia="en-GB"/>
        </w:rPr>
      </w:pPr>
      <w:r w:rsidRPr="0009428C">
        <w:rPr>
          <w:rFonts w:ascii="Times New Roman" w:eastAsia="Times New Roman" w:hAnsi="Times New Roman" w:cs="Times New Roman"/>
          <w:color w:val="000000" w:themeColor="text1"/>
          <w:sz w:val="24"/>
          <w:szCs w:val="24"/>
          <w:lang w:eastAsia="en-GB"/>
        </w:rPr>
        <w:t xml:space="preserve">Zaman, R., Atawnah, N., Baghdadi, G. A., &amp; Liu, J. (2021). Fiduciary duty or loyalty? Evidence from co-opted boards and corporate misconduct. </w:t>
      </w:r>
      <w:r w:rsidRPr="0009428C">
        <w:rPr>
          <w:rFonts w:ascii="Times New Roman" w:eastAsia="Times New Roman" w:hAnsi="Times New Roman" w:cs="Times New Roman"/>
          <w:i/>
          <w:iCs/>
          <w:color w:val="000000" w:themeColor="text1"/>
          <w:sz w:val="24"/>
          <w:szCs w:val="24"/>
          <w:lang w:eastAsia="en-GB"/>
        </w:rPr>
        <w:t>Journal of Corporate Finance</w:t>
      </w:r>
      <w:r w:rsidRPr="0009428C">
        <w:rPr>
          <w:rFonts w:ascii="Times New Roman" w:eastAsia="Times New Roman" w:hAnsi="Times New Roman" w:cs="Times New Roman"/>
          <w:color w:val="000000" w:themeColor="text1"/>
          <w:sz w:val="24"/>
          <w:szCs w:val="24"/>
          <w:lang w:eastAsia="en-GB"/>
        </w:rPr>
        <w:t xml:space="preserve">, </w:t>
      </w:r>
      <w:r w:rsidRPr="0009428C">
        <w:rPr>
          <w:rFonts w:ascii="Times New Roman" w:eastAsia="Times New Roman" w:hAnsi="Times New Roman" w:cs="Times New Roman"/>
          <w:i/>
          <w:iCs/>
          <w:color w:val="000000" w:themeColor="text1"/>
          <w:sz w:val="24"/>
          <w:szCs w:val="24"/>
          <w:lang w:eastAsia="en-GB"/>
        </w:rPr>
        <w:t>70</w:t>
      </w:r>
      <w:r w:rsidRPr="0009428C">
        <w:rPr>
          <w:rFonts w:ascii="Times New Roman" w:eastAsia="Times New Roman" w:hAnsi="Times New Roman" w:cs="Times New Roman"/>
          <w:color w:val="000000" w:themeColor="text1"/>
          <w:sz w:val="24"/>
          <w:szCs w:val="24"/>
          <w:lang w:eastAsia="en-GB"/>
        </w:rPr>
        <w:t xml:space="preserve">, 1–64. </w:t>
      </w:r>
    </w:p>
    <w:p w14:paraId="58BEFB02" w14:textId="77777777" w:rsidR="0009428C" w:rsidRPr="0009428C" w:rsidRDefault="0009428C" w:rsidP="00624886">
      <w:pPr>
        <w:spacing w:line="480" w:lineRule="auto"/>
        <w:jc w:val="both"/>
        <w:rPr>
          <w:rFonts w:ascii="Times New Roman" w:hAnsi="Times New Roman" w:cs="Times New Roman"/>
          <w:color w:val="000000" w:themeColor="text1"/>
          <w:sz w:val="24"/>
          <w:szCs w:val="24"/>
        </w:rPr>
      </w:pPr>
    </w:p>
    <w:p w14:paraId="550E2788" w14:textId="42EE4FA2" w:rsidR="00071AF6" w:rsidRDefault="00071AF6">
      <w:pPr>
        <w:rPr>
          <w:rFonts w:ascii="Times New Roman" w:hAnsi="Times New Roman" w:cs="Times New Roman"/>
          <w:sz w:val="24"/>
          <w:szCs w:val="24"/>
        </w:rPr>
      </w:pPr>
      <w:r w:rsidRPr="0009428C">
        <w:rPr>
          <w:rFonts w:ascii="Times New Roman" w:hAnsi="Times New Roman" w:cs="Times New Roman"/>
          <w:color w:val="000000" w:themeColor="text1"/>
          <w:sz w:val="24"/>
          <w:szCs w:val="24"/>
        </w:rPr>
        <w:br w:type="page"/>
      </w:r>
    </w:p>
    <w:p w14:paraId="59EAE3FA" w14:textId="77777777" w:rsidR="00744EA4" w:rsidRDefault="00744EA4" w:rsidP="00624886">
      <w:pPr>
        <w:spacing w:line="480" w:lineRule="auto"/>
        <w:jc w:val="both"/>
        <w:rPr>
          <w:rFonts w:ascii="Times New Roman" w:hAnsi="Times New Roman" w:cs="Times New Roman"/>
          <w:sz w:val="24"/>
          <w:szCs w:val="24"/>
        </w:rPr>
      </w:pPr>
    </w:p>
    <w:p w14:paraId="13795690" w14:textId="6F223C96" w:rsidR="00057265" w:rsidRDefault="00057265" w:rsidP="001278ED">
      <w:pPr>
        <w:jc w:val="center"/>
        <w:rPr>
          <w:rFonts w:ascii="Times New Roman" w:hAnsi="Times New Roman" w:cs="Times New Roman"/>
          <w:b/>
          <w:bCs/>
          <w:sz w:val="32"/>
          <w:szCs w:val="32"/>
        </w:rPr>
      </w:pPr>
    </w:p>
    <w:p w14:paraId="1707FB41" w14:textId="4B71D9AF" w:rsidR="00057265" w:rsidRDefault="00057265">
      <w:pPr>
        <w:rPr>
          <w:rFonts w:ascii="Times New Roman" w:hAnsi="Times New Roman" w:cs="Times New Roman"/>
          <w:b/>
          <w:bCs/>
          <w:sz w:val="32"/>
          <w:szCs w:val="32"/>
        </w:rPr>
      </w:pPr>
    </w:p>
    <w:p w14:paraId="2CBDFB8F" w14:textId="77777777" w:rsidR="00057265" w:rsidRDefault="00057265" w:rsidP="001278ED">
      <w:pPr>
        <w:jc w:val="center"/>
        <w:rPr>
          <w:rFonts w:ascii="Times New Roman" w:hAnsi="Times New Roman" w:cs="Times New Roman"/>
          <w:b/>
          <w:bCs/>
          <w:sz w:val="32"/>
          <w:szCs w:val="32"/>
        </w:rPr>
      </w:pPr>
    </w:p>
    <w:p w14:paraId="6D41882C" w14:textId="77777777" w:rsidR="00057265" w:rsidRDefault="00057265" w:rsidP="001278ED">
      <w:pPr>
        <w:jc w:val="center"/>
        <w:rPr>
          <w:rFonts w:ascii="Times New Roman" w:hAnsi="Times New Roman" w:cs="Times New Roman"/>
          <w:b/>
          <w:bCs/>
          <w:sz w:val="32"/>
          <w:szCs w:val="32"/>
        </w:rPr>
      </w:pPr>
    </w:p>
    <w:p w14:paraId="6F5C1676" w14:textId="77777777" w:rsidR="00057265" w:rsidRDefault="00057265" w:rsidP="001278ED">
      <w:pPr>
        <w:jc w:val="center"/>
        <w:rPr>
          <w:rFonts w:ascii="Times New Roman" w:hAnsi="Times New Roman" w:cs="Times New Roman"/>
          <w:b/>
          <w:bCs/>
          <w:sz w:val="32"/>
          <w:szCs w:val="32"/>
        </w:rPr>
      </w:pPr>
    </w:p>
    <w:p w14:paraId="60CC7008" w14:textId="77777777" w:rsidR="00057265" w:rsidRDefault="00057265" w:rsidP="001278ED">
      <w:pPr>
        <w:jc w:val="center"/>
        <w:rPr>
          <w:rFonts w:ascii="Times New Roman" w:hAnsi="Times New Roman" w:cs="Times New Roman"/>
          <w:b/>
          <w:bCs/>
          <w:sz w:val="32"/>
          <w:szCs w:val="32"/>
        </w:rPr>
      </w:pPr>
    </w:p>
    <w:p w14:paraId="0FB2DA59" w14:textId="465CB2AD" w:rsidR="00057265" w:rsidRPr="009E69CE" w:rsidRDefault="00057265" w:rsidP="001278ED">
      <w:pPr>
        <w:jc w:val="center"/>
        <w:rPr>
          <w:rFonts w:ascii="Times New Roman" w:hAnsi="Times New Roman" w:cs="Times New Roman"/>
          <w:b/>
          <w:bCs/>
          <w:i/>
          <w:iCs/>
          <w:sz w:val="44"/>
          <w:szCs w:val="44"/>
        </w:rPr>
      </w:pPr>
      <w:r w:rsidRPr="009E69CE">
        <w:rPr>
          <w:rFonts w:ascii="Times New Roman" w:hAnsi="Times New Roman" w:cs="Times New Roman"/>
          <w:b/>
          <w:bCs/>
          <w:i/>
          <w:iCs/>
          <w:sz w:val="44"/>
          <w:szCs w:val="44"/>
        </w:rPr>
        <w:t>CHAPTER 3</w:t>
      </w:r>
    </w:p>
    <w:p w14:paraId="3EA7DEE8" w14:textId="77777777" w:rsidR="00057265" w:rsidRDefault="00057265" w:rsidP="001278ED">
      <w:pPr>
        <w:jc w:val="center"/>
        <w:rPr>
          <w:rFonts w:ascii="Times New Roman" w:hAnsi="Times New Roman" w:cs="Times New Roman"/>
          <w:b/>
          <w:bCs/>
          <w:sz w:val="32"/>
          <w:szCs w:val="32"/>
        </w:rPr>
      </w:pPr>
    </w:p>
    <w:p w14:paraId="6303A12E" w14:textId="2417C330" w:rsidR="00744EA4" w:rsidRPr="001278ED" w:rsidRDefault="00744EA4" w:rsidP="001278ED">
      <w:pPr>
        <w:jc w:val="center"/>
        <w:rPr>
          <w:rFonts w:ascii="Times New Roman" w:hAnsi="Times New Roman" w:cs="Times New Roman"/>
          <w:b/>
          <w:bCs/>
          <w:sz w:val="32"/>
          <w:szCs w:val="32"/>
        </w:rPr>
      </w:pPr>
      <w:r w:rsidRPr="001278ED">
        <w:rPr>
          <w:rFonts w:ascii="Times New Roman" w:hAnsi="Times New Roman" w:cs="Times New Roman"/>
          <w:b/>
          <w:bCs/>
          <w:sz w:val="32"/>
          <w:szCs w:val="32"/>
        </w:rPr>
        <w:br w:type="page"/>
      </w:r>
    </w:p>
    <w:p w14:paraId="17104CBE" w14:textId="16D3721B" w:rsidR="00744EA4" w:rsidRPr="003C7034" w:rsidRDefault="00744EA4" w:rsidP="003C7034">
      <w:pPr>
        <w:pStyle w:val="Heading1"/>
        <w:numPr>
          <w:ilvl w:val="0"/>
          <w:numId w:val="20"/>
        </w:numPr>
        <w:rPr>
          <w:sz w:val="36"/>
          <w:szCs w:val="36"/>
        </w:rPr>
      </w:pPr>
      <w:bookmarkStart w:id="27" w:name="_Toc145616172"/>
      <w:r w:rsidRPr="003C7034">
        <w:rPr>
          <w:sz w:val="36"/>
          <w:szCs w:val="36"/>
          <w:lang w:eastAsia="en-GB"/>
        </w:rPr>
        <w:t xml:space="preserve">Female Chief Risk Officers (CROs) and </w:t>
      </w:r>
      <w:r w:rsidR="00197BB6" w:rsidRPr="003C7034">
        <w:rPr>
          <w:sz w:val="36"/>
          <w:szCs w:val="36"/>
          <w:lang w:eastAsia="en-GB"/>
        </w:rPr>
        <w:t>Bank Risk</w:t>
      </w:r>
      <w:bookmarkEnd w:id="27"/>
    </w:p>
    <w:p w14:paraId="675CD84F" w14:textId="77777777" w:rsidR="00744EA4" w:rsidRDefault="00744EA4" w:rsidP="00744EA4">
      <w:pPr>
        <w:spacing w:line="240" w:lineRule="auto"/>
        <w:rPr>
          <w:rFonts w:ascii="Times New Roman" w:eastAsia="DengXian" w:hAnsi="Times New Roman" w:cs="Times New Roman"/>
          <w:b/>
          <w:bCs/>
          <w:sz w:val="24"/>
          <w:szCs w:val="24"/>
        </w:rPr>
      </w:pPr>
    </w:p>
    <w:p w14:paraId="727AF3D0" w14:textId="77777777" w:rsidR="003C7034" w:rsidRPr="00744EA4" w:rsidRDefault="003C7034" w:rsidP="00744EA4">
      <w:pPr>
        <w:spacing w:line="240" w:lineRule="auto"/>
        <w:rPr>
          <w:rFonts w:ascii="Times New Roman" w:eastAsia="DengXian" w:hAnsi="Times New Roman" w:cs="Times New Roman"/>
          <w:b/>
          <w:bCs/>
          <w:sz w:val="24"/>
          <w:szCs w:val="24"/>
        </w:rPr>
      </w:pPr>
    </w:p>
    <w:p w14:paraId="24CB98A3" w14:textId="0CE71080" w:rsidR="00744EA4" w:rsidRPr="003C7034" w:rsidRDefault="0037662B" w:rsidP="00744EA4">
      <w:pPr>
        <w:spacing w:line="240" w:lineRule="auto"/>
        <w:jc w:val="both"/>
        <w:rPr>
          <w:rFonts w:ascii="Times New Roman" w:eastAsia="Times New Roman" w:hAnsi="Times New Roman" w:cs="Times New Roman"/>
          <w:sz w:val="32"/>
          <w:szCs w:val="32"/>
        </w:rPr>
      </w:pPr>
      <w:bookmarkStart w:id="28" w:name="_Toc145616173"/>
      <w:r w:rsidRPr="003C7034">
        <w:rPr>
          <w:rStyle w:val="Heading2Char"/>
          <w:sz w:val="32"/>
          <w:szCs w:val="32"/>
        </w:rPr>
        <w:t xml:space="preserve">3.1. </w:t>
      </w:r>
      <w:r w:rsidR="00744EA4" w:rsidRPr="003C7034">
        <w:rPr>
          <w:rStyle w:val="Heading2Char"/>
          <w:sz w:val="32"/>
          <w:szCs w:val="32"/>
        </w:rPr>
        <w:t>Introduction</w:t>
      </w:r>
      <w:bookmarkEnd w:id="28"/>
    </w:p>
    <w:p w14:paraId="31AB673A" w14:textId="53440C85" w:rsidR="00744EA4" w:rsidRPr="00744EA4" w:rsidRDefault="002212F9"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wake of the</w:t>
      </w:r>
      <w:r w:rsidR="00744EA4" w:rsidRPr="00744EA4">
        <w:rPr>
          <w:rFonts w:ascii="Times New Roman" w:eastAsia="Times New Roman" w:hAnsi="Times New Roman" w:cs="Times New Roman"/>
          <w:sz w:val="24"/>
          <w:szCs w:val="24"/>
        </w:rPr>
        <w:t xml:space="preserve"> </w:t>
      </w:r>
      <w:r w:rsidR="00057265">
        <w:rPr>
          <w:rFonts w:ascii="Times New Roman" w:eastAsia="Times New Roman" w:hAnsi="Times New Roman" w:cs="Times New Roman"/>
          <w:sz w:val="24"/>
          <w:szCs w:val="24"/>
        </w:rPr>
        <w:t xml:space="preserve">GFC </w:t>
      </w:r>
      <w:r w:rsidRPr="00744EA4">
        <w:rPr>
          <w:rFonts w:ascii="Times New Roman" w:eastAsia="Times New Roman" w:hAnsi="Times New Roman" w:cs="Times New Roman"/>
          <w:sz w:val="24"/>
          <w:szCs w:val="24"/>
        </w:rPr>
        <w:t>2007–2008</w:t>
      </w:r>
      <w:r w:rsidR="00744EA4" w:rsidRPr="00744EA4">
        <w:rPr>
          <w:rFonts w:ascii="Times New Roman" w:eastAsia="Times New Roman" w:hAnsi="Times New Roman" w:cs="Times New Roman"/>
          <w:sz w:val="24"/>
          <w:szCs w:val="24"/>
        </w:rPr>
        <w:t xml:space="preserve">, regulatory guidelines have stressed the </w:t>
      </w:r>
      <w:r w:rsidR="00197BB6" w:rsidRPr="00880312">
        <w:rPr>
          <w:rFonts w:ascii="Times New Roman" w:eastAsia="Times New Roman" w:hAnsi="Times New Roman" w:cs="Times New Roman"/>
          <w:sz w:val="24"/>
          <w:szCs w:val="24"/>
        </w:rPr>
        <w:t>chief risk officer's (CRO) role</w:t>
      </w:r>
      <w:r w:rsidR="00744EA4" w:rsidRPr="00744EA4">
        <w:rPr>
          <w:rFonts w:ascii="Times New Roman" w:eastAsia="Times New Roman" w:hAnsi="Times New Roman" w:cs="Times New Roman"/>
          <w:sz w:val="24"/>
          <w:szCs w:val="24"/>
        </w:rPr>
        <w:t xml:space="preserve"> </w:t>
      </w:r>
      <w:r w:rsidR="00197BB6" w:rsidRPr="00880312">
        <w:rPr>
          <w:rFonts w:ascii="Times New Roman" w:eastAsia="Times New Roman" w:hAnsi="Times New Roman" w:cs="Times New Roman"/>
          <w:sz w:val="24"/>
          <w:szCs w:val="24"/>
        </w:rPr>
        <w:t>in</w:t>
      </w:r>
      <w:r w:rsidR="00744EA4" w:rsidRPr="00744EA4">
        <w:rPr>
          <w:rFonts w:ascii="Times New Roman" w:eastAsia="Times New Roman" w:hAnsi="Times New Roman" w:cs="Times New Roman"/>
          <w:sz w:val="24"/>
          <w:szCs w:val="24"/>
        </w:rPr>
        <w:t xml:space="preserve"> improving risk governance</w:t>
      </w:r>
      <w:r w:rsidR="00744EA4" w:rsidRPr="00744EA4">
        <w:rPr>
          <w:rFonts w:ascii="Times New Roman" w:eastAsia="Times New Roman" w:hAnsi="Times New Roman" w:cs="Times New Roman"/>
          <w:sz w:val="24"/>
          <w:szCs w:val="24"/>
          <w:vertAlign w:val="superscript"/>
        </w:rPr>
        <w:footnoteReference w:id="4"/>
      </w:r>
      <w:r w:rsidR="00744EA4" w:rsidRPr="00744EA4">
        <w:rPr>
          <w:rFonts w:ascii="Times New Roman" w:eastAsia="Times New Roman" w:hAnsi="Times New Roman" w:cs="Times New Roman"/>
          <w:sz w:val="24"/>
          <w:szCs w:val="24"/>
        </w:rPr>
        <w:t xml:space="preserve"> in financial institutions (Basel, 2010, 2015; Dodd Franck Act, 2010; IMF, 2014). The literature</w:t>
      </w:r>
      <w:r>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on risk management tends to focus on the role of the CRO</w:t>
      </w:r>
      <w:r w:rsidR="00744EA4" w:rsidRPr="00744EA4">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color w:val="000000"/>
          <w:sz w:val="24"/>
          <w:szCs w:val="24"/>
        </w:rPr>
        <w:t xml:space="preserve">, with many studies highlighting their importance </w:t>
      </w:r>
      <w:r>
        <w:rPr>
          <w:rFonts w:ascii="Times New Roman" w:eastAsia="Times New Roman" w:hAnsi="Times New Roman" w:cs="Times New Roman"/>
          <w:sz w:val="24"/>
          <w:szCs w:val="24"/>
        </w:rPr>
        <w:t xml:space="preserve">(e.g., </w:t>
      </w:r>
      <w:r w:rsidRPr="00744EA4">
        <w:rPr>
          <w:rFonts w:ascii="Times New Roman" w:eastAsia="DengXian" w:hAnsi="Times New Roman" w:cs="Times New Roman"/>
          <w:sz w:val="24"/>
          <w:szCs w:val="24"/>
        </w:rPr>
        <w:t xml:space="preserve">Aebi et al., 2012; Sheedy &amp; Lubojanski, 2012; Ellul &amp; </w:t>
      </w:r>
      <w:r w:rsidR="000B3888" w:rsidRPr="00744EA4">
        <w:rPr>
          <w:rFonts w:ascii="Times New Roman" w:eastAsia="DengXian" w:hAnsi="Times New Roman" w:cs="Times New Roman"/>
          <w:sz w:val="24"/>
          <w:szCs w:val="24"/>
        </w:rPr>
        <w:t>Yeramilli</w:t>
      </w:r>
      <w:r w:rsidRPr="00744EA4">
        <w:rPr>
          <w:rFonts w:ascii="Times New Roman" w:eastAsia="DengXian" w:hAnsi="Times New Roman" w:cs="Times New Roman"/>
          <w:sz w:val="24"/>
          <w:szCs w:val="24"/>
        </w:rPr>
        <w:t>, 2013; Magee et al., 2019; Balasubramanyan et al., 2019)</w:t>
      </w:r>
      <w:r>
        <w:rPr>
          <w:rFonts w:ascii="Times New Roman" w:eastAsia="Times New Roman" w:hAnsi="Times New Roman" w:cs="Times New Roman"/>
          <w:color w:val="000000"/>
          <w:sz w:val="24"/>
          <w:szCs w:val="24"/>
        </w:rPr>
        <w:t xml:space="preserve">. </w:t>
      </w:r>
      <w:r w:rsidR="00744EA4" w:rsidRPr="00744EA4">
        <w:rPr>
          <w:rFonts w:ascii="Times New Roman" w:eastAsia="Times New Roman" w:hAnsi="Times New Roman" w:cs="Times New Roman"/>
          <w:color w:val="000000"/>
          <w:sz w:val="24"/>
          <w:szCs w:val="24"/>
        </w:rPr>
        <w:t xml:space="preserve"> </w:t>
      </w:r>
      <w:r w:rsidR="00744EA4" w:rsidRPr="00744EA4">
        <w:rPr>
          <w:rFonts w:ascii="Times New Roman" w:eastAsia="Times New Roman" w:hAnsi="Times New Roman" w:cs="Times New Roman"/>
          <w:sz w:val="24"/>
          <w:szCs w:val="24"/>
        </w:rPr>
        <w:t xml:space="preserve">The </w:t>
      </w:r>
      <w:r w:rsidR="003D53BD" w:rsidRPr="00744EA4">
        <w:rPr>
          <w:rFonts w:ascii="Times New Roman" w:eastAsia="Times New Roman" w:hAnsi="Times New Roman" w:cs="Times New Roman"/>
          <w:sz w:val="24"/>
          <w:szCs w:val="24"/>
        </w:rPr>
        <w:t>central</w:t>
      </w:r>
      <w:r w:rsidR="00744EA4" w:rsidRPr="00744EA4">
        <w:rPr>
          <w:rFonts w:ascii="Times New Roman" w:eastAsia="Times New Roman" w:hAnsi="Times New Roman" w:cs="Times New Roman"/>
          <w:sz w:val="24"/>
          <w:szCs w:val="24"/>
        </w:rPr>
        <w:t xml:space="preserve"> </w:t>
      </w:r>
      <w:r w:rsidR="003D53BD">
        <w:rPr>
          <w:rFonts w:ascii="Times New Roman" w:eastAsia="Times New Roman" w:hAnsi="Times New Roman" w:cs="Times New Roman"/>
          <w:sz w:val="24"/>
          <w:szCs w:val="24"/>
        </w:rPr>
        <w:t>idea</w:t>
      </w:r>
      <w:r w:rsidR="003D53BD" w:rsidRPr="00744EA4">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in </w:t>
      </w:r>
      <w:r w:rsidR="003D53BD">
        <w:rPr>
          <w:rFonts w:ascii="Times New Roman" w:eastAsia="Times New Roman" w:hAnsi="Times New Roman" w:cs="Times New Roman"/>
          <w:sz w:val="24"/>
          <w:szCs w:val="24"/>
        </w:rPr>
        <w:t>prior research</w:t>
      </w:r>
      <w:r w:rsidR="00744EA4" w:rsidRPr="00744EA4">
        <w:rPr>
          <w:rFonts w:ascii="Times New Roman" w:eastAsia="Times New Roman" w:hAnsi="Times New Roman" w:cs="Times New Roman"/>
          <w:sz w:val="24"/>
          <w:szCs w:val="24"/>
        </w:rPr>
        <w:t xml:space="preserve"> is that the presence of a CRO represents an institution</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s commitment to </w:t>
      </w:r>
      <w:r w:rsidR="00197BB6" w:rsidRPr="00880312">
        <w:rPr>
          <w:rFonts w:ascii="Times New Roman" w:eastAsia="Times New Roman" w:hAnsi="Times New Roman" w:cs="Times New Roman"/>
          <w:sz w:val="24"/>
          <w:szCs w:val="24"/>
        </w:rPr>
        <w:t>adopting</w:t>
      </w:r>
      <w:r w:rsidR="00744EA4" w:rsidRPr="00744EA4">
        <w:rPr>
          <w:rFonts w:ascii="Times New Roman" w:eastAsia="Times New Roman" w:hAnsi="Times New Roman" w:cs="Times New Roman"/>
          <w:sz w:val="24"/>
          <w:szCs w:val="24"/>
        </w:rPr>
        <w:t xml:space="preserve"> enterprise risk management (</w:t>
      </w:r>
      <w:r w:rsidR="00744EA4" w:rsidRPr="00744EA4">
        <w:rPr>
          <w:rFonts w:ascii="Times New Roman" w:eastAsia="Times New Roman" w:hAnsi="Times New Roman" w:cs="Times New Roman"/>
          <w:color w:val="000000"/>
          <w:sz w:val="24"/>
          <w:szCs w:val="24"/>
        </w:rPr>
        <w:t>Beasley et al., 2005; Beasley &amp; Warr, 2007; Mikes, 2008; Eckles et al., 2014)</w:t>
      </w:r>
      <w:r w:rsidR="00744EA4" w:rsidRPr="00744EA4">
        <w:rPr>
          <w:rFonts w:ascii="Times New Roman" w:eastAsia="Times New Roman" w:hAnsi="Times New Roman" w:cs="Times New Roman"/>
          <w:sz w:val="24"/>
          <w:szCs w:val="24"/>
        </w:rPr>
        <w:t xml:space="preserve">. However, the literature </w:t>
      </w:r>
      <w:r w:rsidR="00057265">
        <w:rPr>
          <w:rFonts w:ascii="Times New Roman" w:eastAsia="Times New Roman" w:hAnsi="Times New Roman" w:cs="Times New Roman"/>
          <w:sz w:val="24"/>
          <w:szCs w:val="24"/>
        </w:rPr>
        <w:t>offers</w:t>
      </w:r>
      <w:r>
        <w:rPr>
          <w:rFonts w:ascii="Times New Roman" w:eastAsia="Times New Roman" w:hAnsi="Times New Roman" w:cs="Times New Roman"/>
          <w:sz w:val="24"/>
          <w:szCs w:val="24"/>
        </w:rPr>
        <w:t xml:space="preserve"> mixed </w:t>
      </w:r>
      <w:r w:rsidR="00744EA4" w:rsidRPr="00744EA4">
        <w:rPr>
          <w:rFonts w:ascii="Times New Roman" w:eastAsia="Times New Roman" w:hAnsi="Times New Roman" w:cs="Times New Roman"/>
          <w:sz w:val="24"/>
          <w:szCs w:val="24"/>
        </w:rPr>
        <w:t>findings regarding the relationship between CROs and risk-taking</w:t>
      </w:r>
      <w:r w:rsidR="00744EA4" w:rsidRPr="00744EA4">
        <w:rPr>
          <w:rFonts w:ascii="Times New Roman" w:eastAsia="Times New Roman" w:hAnsi="Times New Roman" w:cs="Times New Roman"/>
          <w:color w:val="000000"/>
          <w:sz w:val="24"/>
          <w:szCs w:val="24"/>
        </w:rPr>
        <w:t xml:space="preserve"> (Mikes, 2011; Pernell et al., 2017; Balasubramanyan et al., 2019)</w:t>
      </w:r>
      <w:r w:rsidR="00744EA4" w:rsidRPr="00744EA4">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has raised</w:t>
      </w:r>
      <w:r w:rsidRPr="00744EA4">
        <w:rPr>
          <w:rFonts w:ascii="Times New Roman" w:eastAsia="Times New Roman" w:hAnsi="Times New Roman" w:cs="Times New Roman"/>
          <w:sz w:val="24"/>
          <w:szCs w:val="24"/>
        </w:rPr>
        <w:t xml:space="preserve"> </w:t>
      </w:r>
      <w:r w:rsidR="00567377">
        <w:rPr>
          <w:rFonts w:ascii="Times New Roman" w:eastAsia="Times New Roman" w:hAnsi="Times New Roman" w:cs="Times New Roman"/>
          <w:sz w:val="24"/>
          <w:szCs w:val="24"/>
        </w:rPr>
        <w:t xml:space="preserve">the </w:t>
      </w:r>
      <w:r w:rsidR="00744EA4" w:rsidRPr="00744EA4">
        <w:rPr>
          <w:rFonts w:ascii="Times New Roman" w:eastAsia="Times New Roman" w:hAnsi="Times New Roman" w:cs="Times New Roman"/>
          <w:sz w:val="24"/>
          <w:szCs w:val="24"/>
        </w:rPr>
        <w:t xml:space="preserve">question </w:t>
      </w:r>
      <w:r>
        <w:rPr>
          <w:rFonts w:ascii="Times New Roman" w:eastAsia="Times New Roman" w:hAnsi="Times New Roman" w:cs="Times New Roman"/>
          <w:sz w:val="24"/>
          <w:szCs w:val="24"/>
        </w:rPr>
        <w:t>about</w:t>
      </w:r>
      <w:r w:rsidR="00744EA4" w:rsidRPr="00744EA4">
        <w:rPr>
          <w:rFonts w:ascii="Times New Roman" w:eastAsia="Times New Roman" w:hAnsi="Times New Roman" w:cs="Times New Roman"/>
          <w:sz w:val="24"/>
          <w:szCs w:val="24"/>
        </w:rPr>
        <w:t xml:space="preserve"> whether </w:t>
      </w:r>
      <w:r>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 xml:space="preserve">presence </w:t>
      </w:r>
      <w:r w:rsidR="00567377">
        <w:rPr>
          <w:rFonts w:ascii="Times New Roman" w:eastAsia="Times New Roman" w:hAnsi="Times New Roman" w:cs="Times New Roman"/>
          <w:sz w:val="24"/>
          <w:szCs w:val="24"/>
        </w:rPr>
        <w:t xml:space="preserve">of </w:t>
      </w:r>
      <w:r w:rsidR="00744EA4" w:rsidRPr="00744EA4">
        <w:rPr>
          <w:rFonts w:ascii="Times New Roman" w:eastAsia="Times New Roman" w:hAnsi="Times New Roman" w:cs="Times New Roman"/>
          <w:sz w:val="24"/>
          <w:szCs w:val="24"/>
        </w:rPr>
        <w:t xml:space="preserve">CRO benefits banks </w:t>
      </w:r>
      <w:r w:rsidR="00197BB6" w:rsidRPr="00880312">
        <w:rPr>
          <w:rFonts w:ascii="Times New Roman" w:eastAsia="Times New Roman" w:hAnsi="Times New Roman" w:cs="Times New Roman"/>
          <w:sz w:val="24"/>
          <w:szCs w:val="24"/>
        </w:rPr>
        <w:t>regarding</w:t>
      </w:r>
      <w:r w:rsidR="00744EA4" w:rsidRPr="00744EA4">
        <w:rPr>
          <w:rFonts w:ascii="Times New Roman" w:eastAsia="Times New Roman" w:hAnsi="Times New Roman" w:cs="Times New Roman"/>
          <w:sz w:val="24"/>
          <w:szCs w:val="24"/>
        </w:rPr>
        <w:t xml:space="preserve"> risk-taking</w:t>
      </w:r>
      <w:r>
        <w:rPr>
          <w:rFonts w:ascii="Times New Roman" w:eastAsia="Times New Roman" w:hAnsi="Times New Roman" w:cs="Times New Roman"/>
          <w:sz w:val="24"/>
          <w:szCs w:val="24"/>
        </w:rPr>
        <w:t xml:space="preserve">, </w:t>
      </w:r>
      <w:r w:rsidR="00197BB6" w:rsidRPr="00880312">
        <w:rPr>
          <w:rFonts w:ascii="Times New Roman" w:eastAsia="Times New Roman" w:hAnsi="Times New Roman" w:cs="Times New Roman"/>
          <w:sz w:val="24"/>
          <w:szCs w:val="24"/>
        </w:rPr>
        <w:t>challeng</w:t>
      </w:r>
      <w:r>
        <w:rPr>
          <w:rFonts w:ascii="Times New Roman" w:eastAsia="Times New Roman" w:hAnsi="Times New Roman" w:cs="Times New Roman"/>
          <w:sz w:val="24"/>
          <w:szCs w:val="24"/>
        </w:rPr>
        <w:t>ing</w:t>
      </w:r>
      <w:r w:rsidR="00744EA4" w:rsidRPr="00744EA4">
        <w:rPr>
          <w:rFonts w:ascii="Times New Roman" w:eastAsia="Times New Roman" w:hAnsi="Times New Roman" w:cs="Times New Roman"/>
          <w:sz w:val="24"/>
          <w:szCs w:val="24"/>
        </w:rPr>
        <w:t xml:space="preserve"> the prevalent policy narrative of whether CROs serve as a mechanism for better ERM.</w:t>
      </w:r>
    </w:p>
    <w:p w14:paraId="17A3F6E3" w14:textId="5A55ECCA" w:rsidR="00744EA4" w:rsidRPr="000E5A33" w:rsidRDefault="002212F9" w:rsidP="000E5A33">
      <w:pPr>
        <w:spacing w:line="480" w:lineRule="auto"/>
        <w:jc w:val="both"/>
        <w:rPr>
          <w:rFonts w:ascii="Times New Roman" w:eastAsia="Times New Roman" w:hAnsi="Times New Roman" w:cs="Times New Roman"/>
          <w:sz w:val="24"/>
          <w:szCs w:val="24"/>
        </w:rPr>
      </w:pPr>
      <w:r w:rsidRPr="000E5A33">
        <w:rPr>
          <w:rFonts w:ascii="Times New Roman" w:eastAsia="Times New Roman" w:hAnsi="Times New Roman" w:cs="Times New Roman"/>
          <w:sz w:val="24"/>
          <w:szCs w:val="24"/>
        </w:rPr>
        <w:t>A</w:t>
      </w:r>
      <w:r w:rsidR="00744EA4" w:rsidRPr="000E5A33">
        <w:rPr>
          <w:rFonts w:ascii="Times New Roman" w:eastAsia="Times New Roman" w:hAnsi="Times New Roman" w:cs="Times New Roman"/>
          <w:sz w:val="24"/>
          <w:szCs w:val="24"/>
        </w:rPr>
        <w:t xml:space="preserve">nother trend seen since the financial crisis of 2007–2008 is </w:t>
      </w:r>
      <w:r w:rsidRPr="000E5A33">
        <w:rPr>
          <w:rFonts w:ascii="Times New Roman" w:eastAsia="Times New Roman" w:hAnsi="Times New Roman" w:cs="Times New Roman"/>
          <w:sz w:val="24"/>
          <w:szCs w:val="24"/>
        </w:rPr>
        <w:t xml:space="preserve">the increasing attention paid by </w:t>
      </w:r>
      <w:r w:rsidR="00744EA4" w:rsidRPr="000E5A33">
        <w:rPr>
          <w:rFonts w:ascii="Times New Roman" w:eastAsia="Times New Roman" w:hAnsi="Times New Roman" w:cs="Times New Roman"/>
          <w:sz w:val="24"/>
          <w:szCs w:val="24"/>
        </w:rPr>
        <w:t xml:space="preserve">regulators and practitioners to female representation in senior banking and finance management (Sheedy &amp; Lubojanski, 2018). </w:t>
      </w:r>
      <w:r w:rsidRPr="000E5A33">
        <w:rPr>
          <w:rFonts w:ascii="Times New Roman" w:eastAsia="Times New Roman" w:hAnsi="Times New Roman" w:cs="Times New Roman"/>
          <w:sz w:val="24"/>
          <w:szCs w:val="24"/>
        </w:rPr>
        <w:t>This has led to the discussion of</w:t>
      </w:r>
      <w:r w:rsidR="00744EA4" w:rsidRPr="000E5A33">
        <w:rPr>
          <w:rFonts w:ascii="Times New Roman" w:eastAsia="Times New Roman" w:hAnsi="Times New Roman" w:cs="Times New Roman"/>
          <w:sz w:val="24"/>
          <w:szCs w:val="24"/>
        </w:rPr>
        <w:t xml:space="preserve"> the </w:t>
      </w:r>
      <w:r w:rsidR="00197BB6" w:rsidRPr="000E5A33">
        <w:rPr>
          <w:rFonts w:ascii="Times New Roman" w:eastAsia="Times New Roman" w:hAnsi="Times New Roman" w:cs="Times New Roman"/>
          <w:sz w:val="24"/>
          <w:szCs w:val="24"/>
        </w:rPr>
        <w:t>'</w:t>
      </w:r>
      <w:r w:rsidR="00744EA4" w:rsidRPr="000E5A33">
        <w:rPr>
          <w:rFonts w:ascii="Times New Roman" w:eastAsia="Times New Roman" w:hAnsi="Times New Roman" w:cs="Times New Roman"/>
          <w:sz w:val="24"/>
          <w:szCs w:val="24"/>
        </w:rPr>
        <w:t>Lehman Sisters hypothesis</w:t>
      </w:r>
      <w:r w:rsidR="00197BB6" w:rsidRPr="000E5A33">
        <w:rPr>
          <w:rFonts w:ascii="Times New Roman" w:eastAsia="Times New Roman" w:hAnsi="Times New Roman" w:cs="Times New Roman"/>
          <w:sz w:val="24"/>
          <w:szCs w:val="24"/>
        </w:rPr>
        <w:t>'</w:t>
      </w:r>
      <w:r w:rsidRPr="000E5A33">
        <w:rPr>
          <w:rFonts w:ascii="Times New Roman" w:eastAsia="Times New Roman" w:hAnsi="Times New Roman" w:cs="Times New Roman"/>
          <w:sz w:val="24"/>
          <w:szCs w:val="24"/>
        </w:rPr>
        <w:t xml:space="preserve">, which posits that </w:t>
      </w:r>
      <w:r w:rsidR="00744EA4" w:rsidRPr="000E5A33">
        <w:rPr>
          <w:rFonts w:ascii="Times New Roman" w:eastAsia="Times New Roman" w:hAnsi="Times New Roman" w:cs="Times New Roman"/>
          <w:sz w:val="24"/>
          <w:szCs w:val="24"/>
        </w:rPr>
        <w:t>male dominance and an aggressive masculine culture were responsible for the collapse of Lehman Brothers (Kroes, 2009). The literature on governance and risk management thus began to consider a gendered perspective, questioning how this masculine culture might affect organi</w:t>
      </w:r>
      <w:r w:rsidR="00197BB6" w:rsidRPr="000E5A33">
        <w:rPr>
          <w:rFonts w:ascii="Times New Roman" w:eastAsia="Times New Roman" w:hAnsi="Times New Roman" w:cs="Times New Roman"/>
          <w:sz w:val="24"/>
          <w:szCs w:val="24"/>
        </w:rPr>
        <w:t>z</w:t>
      </w:r>
      <w:r w:rsidR="00744EA4" w:rsidRPr="000E5A33">
        <w:rPr>
          <w:rFonts w:ascii="Times New Roman" w:eastAsia="Times New Roman" w:hAnsi="Times New Roman" w:cs="Times New Roman"/>
          <w:sz w:val="24"/>
          <w:szCs w:val="24"/>
        </w:rPr>
        <w:t xml:space="preserve">ational outcomes, such as risk. However, </w:t>
      </w:r>
      <w:r w:rsidRPr="000E5A33">
        <w:rPr>
          <w:rFonts w:ascii="Times New Roman" w:eastAsia="Times New Roman" w:hAnsi="Times New Roman" w:cs="Times New Roman"/>
          <w:sz w:val="24"/>
          <w:szCs w:val="24"/>
        </w:rPr>
        <w:t>the focus</w:t>
      </w:r>
      <w:r w:rsidR="00744EA4" w:rsidRPr="000E5A33">
        <w:rPr>
          <w:rFonts w:ascii="Times New Roman" w:eastAsia="Times New Roman" w:hAnsi="Times New Roman" w:cs="Times New Roman"/>
          <w:sz w:val="24"/>
          <w:szCs w:val="24"/>
        </w:rPr>
        <w:t xml:space="preserve"> has primarily </w:t>
      </w:r>
      <w:r w:rsidRPr="000E5A33">
        <w:rPr>
          <w:rFonts w:ascii="Times New Roman" w:eastAsia="Times New Roman" w:hAnsi="Times New Roman" w:cs="Times New Roman"/>
          <w:sz w:val="24"/>
          <w:szCs w:val="24"/>
        </w:rPr>
        <w:t xml:space="preserve">been </w:t>
      </w:r>
      <w:r w:rsidR="00744EA4" w:rsidRPr="000E5A33">
        <w:rPr>
          <w:rFonts w:ascii="Times New Roman" w:eastAsia="Times New Roman" w:hAnsi="Times New Roman" w:cs="Times New Roman"/>
          <w:sz w:val="24"/>
          <w:szCs w:val="24"/>
        </w:rPr>
        <w:t>on boards of directors, chief executive officers (CEOs), and chief financial officer</w:t>
      </w:r>
      <w:r w:rsidR="001278ED" w:rsidRPr="000E5A33">
        <w:rPr>
          <w:rFonts w:ascii="Times New Roman" w:eastAsia="Times New Roman" w:hAnsi="Times New Roman" w:cs="Times New Roman"/>
          <w:sz w:val="24"/>
          <w:szCs w:val="24"/>
        </w:rPr>
        <w:t>s</w:t>
      </w:r>
      <w:r w:rsidR="00744EA4" w:rsidRPr="000E5A33">
        <w:rPr>
          <w:rFonts w:ascii="Times New Roman" w:eastAsia="Times New Roman" w:hAnsi="Times New Roman" w:cs="Times New Roman"/>
          <w:sz w:val="24"/>
          <w:szCs w:val="24"/>
        </w:rPr>
        <w:t xml:space="preserve"> (CFOs; Adams &amp; Funk, 2012; Faccio et al., 2016; Adams &amp; Raghunathan, 2017; Schopohl et al., 2021). Studies of gender and risk-taking have generally reached the view that female executives take fewer risks in their financial decisions (Barber et al., 2001; Charness &amp; Gneezy, 2012; Cumming</w:t>
      </w:r>
      <w:r w:rsidR="003D53BD" w:rsidRPr="000E5A33">
        <w:rPr>
          <w:rFonts w:ascii="Times New Roman" w:eastAsia="Times New Roman" w:hAnsi="Times New Roman" w:cs="Times New Roman"/>
          <w:sz w:val="24"/>
          <w:szCs w:val="24"/>
        </w:rPr>
        <w:t xml:space="preserve"> et al., 2015</w:t>
      </w:r>
      <w:r w:rsidR="00744EA4" w:rsidRPr="000E5A33">
        <w:rPr>
          <w:rFonts w:ascii="Times New Roman" w:eastAsia="Times New Roman" w:hAnsi="Times New Roman" w:cs="Times New Roman"/>
          <w:sz w:val="24"/>
          <w:szCs w:val="24"/>
        </w:rPr>
        <w:t xml:space="preserve">; Faccio et al., 2016; </w:t>
      </w:r>
      <w:r w:rsidR="003D53BD" w:rsidRPr="000E5A33">
        <w:rPr>
          <w:rFonts w:ascii="Times New Roman" w:eastAsia="Times New Roman" w:hAnsi="Times New Roman" w:cs="Times New Roman"/>
          <w:sz w:val="24"/>
          <w:szCs w:val="24"/>
        </w:rPr>
        <w:t>Schopol</w:t>
      </w:r>
      <w:r w:rsidR="00744EA4" w:rsidRPr="000E5A33">
        <w:rPr>
          <w:rFonts w:ascii="Times New Roman" w:eastAsia="Times New Roman" w:hAnsi="Times New Roman" w:cs="Times New Roman"/>
          <w:sz w:val="24"/>
          <w:szCs w:val="24"/>
        </w:rPr>
        <w:t xml:space="preserve"> et al., 2021; Gormley et al., 2021). However, the evidence on female executives is not unanimous. </w:t>
      </w:r>
      <w:r w:rsidRPr="000E5A33">
        <w:rPr>
          <w:rFonts w:ascii="Times New Roman" w:eastAsia="Times New Roman" w:hAnsi="Times New Roman" w:cs="Times New Roman"/>
          <w:sz w:val="24"/>
          <w:szCs w:val="24"/>
        </w:rPr>
        <w:t>O</w:t>
      </w:r>
      <w:r w:rsidR="00744EA4" w:rsidRPr="000E5A33">
        <w:rPr>
          <w:rFonts w:ascii="Times New Roman" w:eastAsia="Times New Roman" w:hAnsi="Times New Roman" w:cs="Times New Roman"/>
          <w:sz w:val="24"/>
          <w:szCs w:val="24"/>
        </w:rPr>
        <w:t xml:space="preserve">ne strand of the literature argues that women joining </w:t>
      </w:r>
      <w:r w:rsidR="003D53BD" w:rsidRPr="000E5A33">
        <w:rPr>
          <w:rFonts w:ascii="Times New Roman" w:eastAsia="Times New Roman" w:hAnsi="Times New Roman" w:cs="Times New Roman"/>
          <w:sz w:val="24"/>
          <w:szCs w:val="24"/>
        </w:rPr>
        <w:t>top managerial</w:t>
      </w:r>
      <w:r w:rsidR="00744EA4" w:rsidRPr="000E5A33">
        <w:rPr>
          <w:rFonts w:ascii="Times New Roman" w:eastAsia="Times New Roman" w:hAnsi="Times New Roman" w:cs="Times New Roman"/>
          <w:sz w:val="24"/>
          <w:szCs w:val="24"/>
        </w:rPr>
        <w:t xml:space="preserve"> </w:t>
      </w:r>
      <w:r w:rsidR="003D53BD" w:rsidRPr="000E5A33">
        <w:rPr>
          <w:rFonts w:ascii="Times New Roman" w:eastAsia="Times New Roman" w:hAnsi="Times New Roman" w:cs="Times New Roman"/>
          <w:sz w:val="24"/>
          <w:szCs w:val="24"/>
        </w:rPr>
        <w:t xml:space="preserve">positions </w:t>
      </w:r>
      <w:r w:rsidR="00744EA4" w:rsidRPr="000E5A33">
        <w:rPr>
          <w:rFonts w:ascii="Times New Roman" w:eastAsia="Times New Roman" w:hAnsi="Times New Roman" w:cs="Times New Roman"/>
          <w:sz w:val="24"/>
          <w:szCs w:val="24"/>
        </w:rPr>
        <w:t>are as competitive and risk</w:t>
      </w:r>
      <w:r w:rsidR="00567377" w:rsidRPr="000E5A33">
        <w:rPr>
          <w:rFonts w:ascii="Times New Roman" w:eastAsia="Times New Roman" w:hAnsi="Times New Roman" w:cs="Times New Roman"/>
          <w:sz w:val="24"/>
          <w:szCs w:val="24"/>
        </w:rPr>
        <w:t>-</w:t>
      </w:r>
      <w:r w:rsidR="003D53BD" w:rsidRPr="000E5A33">
        <w:rPr>
          <w:rFonts w:ascii="Times New Roman" w:eastAsia="Times New Roman" w:hAnsi="Times New Roman" w:cs="Times New Roman"/>
          <w:sz w:val="24"/>
          <w:szCs w:val="24"/>
        </w:rPr>
        <w:t>taker</w:t>
      </w:r>
      <w:r w:rsidR="00567377" w:rsidRPr="000E5A33">
        <w:rPr>
          <w:rFonts w:ascii="Times New Roman" w:eastAsia="Times New Roman" w:hAnsi="Times New Roman" w:cs="Times New Roman"/>
          <w:sz w:val="24"/>
          <w:szCs w:val="24"/>
        </w:rPr>
        <w:t>s</w:t>
      </w:r>
      <w:r w:rsidR="00744EA4" w:rsidRPr="000E5A33">
        <w:rPr>
          <w:rFonts w:ascii="Times New Roman" w:eastAsia="Times New Roman" w:hAnsi="Times New Roman" w:cs="Times New Roman"/>
          <w:sz w:val="24"/>
          <w:szCs w:val="24"/>
        </w:rPr>
        <w:t xml:space="preserve"> as their male </w:t>
      </w:r>
      <w:r w:rsidR="003D53BD" w:rsidRPr="000E5A33">
        <w:rPr>
          <w:rFonts w:ascii="Times New Roman" w:eastAsia="Times New Roman" w:hAnsi="Times New Roman" w:cs="Times New Roman"/>
          <w:sz w:val="24"/>
          <w:szCs w:val="24"/>
        </w:rPr>
        <w:t>colle</w:t>
      </w:r>
      <w:r w:rsidR="00567377" w:rsidRPr="000E5A33">
        <w:rPr>
          <w:rFonts w:ascii="Times New Roman" w:eastAsia="Times New Roman" w:hAnsi="Times New Roman" w:cs="Times New Roman"/>
          <w:sz w:val="24"/>
          <w:szCs w:val="24"/>
        </w:rPr>
        <w:t>a</w:t>
      </w:r>
      <w:r w:rsidR="003D53BD" w:rsidRPr="000E5A33">
        <w:rPr>
          <w:rFonts w:ascii="Times New Roman" w:eastAsia="Times New Roman" w:hAnsi="Times New Roman" w:cs="Times New Roman"/>
          <w:sz w:val="24"/>
          <w:szCs w:val="24"/>
        </w:rPr>
        <w:t xml:space="preserve">gues </w:t>
      </w:r>
      <w:r w:rsidR="00744EA4" w:rsidRPr="000E5A33">
        <w:rPr>
          <w:rFonts w:ascii="Times New Roman" w:eastAsia="Times New Roman" w:hAnsi="Times New Roman" w:cs="Times New Roman"/>
          <w:sz w:val="24"/>
          <w:szCs w:val="24"/>
        </w:rPr>
        <w:t>(Adams &amp; Funk, 2012; Berger</w:t>
      </w:r>
      <w:r w:rsidR="003D53BD" w:rsidRPr="000E5A33">
        <w:rPr>
          <w:rFonts w:ascii="Times New Roman" w:eastAsia="Times New Roman" w:hAnsi="Times New Roman" w:cs="Times New Roman"/>
          <w:sz w:val="24"/>
          <w:szCs w:val="24"/>
        </w:rPr>
        <w:t xml:space="preserve"> et al.,</w:t>
      </w:r>
      <w:r w:rsidR="00744EA4" w:rsidRPr="000E5A33">
        <w:rPr>
          <w:rFonts w:ascii="Times New Roman" w:eastAsia="Times New Roman" w:hAnsi="Times New Roman" w:cs="Times New Roman"/>
          <w:sz w:val="24"/>
          <w:szCs w:val="24"/>
        </w:rPr>
        <w:t xml:space="preserve"> 2014)</w:t>
      </w:r>
      <w:r w:rsidR="00197BB6" w:rsidRPr="000E5A33">
        <w:rPr>
          <w:rFonts w:ascii="Times New Roman" w:eastAsia="Times New Roman" w:hAnsi="Times New Roman" w:cs="Times New Roman"/>
          <w:sz w:val="24"/>
          <w:szCs w:val="24"/>
        </w:rPr>
        <w:t>. At the same time,</w:t>
      </w:r>
      <w:r w:rsidR="00744EA4" w:rsidRPr="000E5A33">
        <w:rPr>
          <w:rFonts w:ascii="Times New Roman" w:eastAsia="Times New Roman" w:hAnsi="Times New Roman" w:cs="Times New Roman"/>
          <w:sz w:val="24"/>
          <w:szCs w:val="24"/>
        </w:rPr>
        <w:t xml:space="preserve"> some studies provide no support for a relationship between board gender</w:t>
      </w:r>
      <w:r w:rsidR="00197BB6" w:rsidRPr="000E5A33">
        <w:rPr>
          <w:rFonts w:ascii="Times New Roman" w:eastAsia="Times New Roman" w:hAnsi="Times New Roman" w:cs="Times New Roman"/>
          <w:sz w:val="24"/>
          <w:szCs w:val="24"/>
        </w:rPr>
        <w:t xml:space="preserve"> </w:t>
      </w:r>
      <w:r w:rsidR="00744EA4" w:rsidRPr="000E5A33">
        <w:rPr>
          <w:rFonts w:ascii="Times New Roman" w:eastAsia="Times New Roman" w:hAnsi="Times New Roman" w:cs="Times New Roman"/>
          <w:sz w:val="24"/>
          <w:szCs w:val="24"/>
        </w:rPr>
        <w:t>diversity and firm risk-taking (Sila et al., 2016; García Lara et al., 2017).</w:t>
      </w:r>
    </w:p>
    <w:p w14:paraId="08431BA4" w14:textId="77777777" w:rsidR="00744EA4" w:rsidRPr="00744EA4" w:rsidRDefault="00744EA4" w:rsidP="00744EA4">
      <w:pPr>
        <w:rPr>
          <w:rFonts w:ascii="Times New Roman" w:eastAsia="Times New Roman" w:hAnsi="Times New Roman" w:cs="Times New Roman"/>
          <w:sz w:val="24"/>
          <w:szCs w:val="24"/>
        </w:rPr>
      </w:pPr>
    </w:p>
    <w:p w14:paraId="11880666" w14:textId="65EB0621"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To the best of our knowledge, no previous study has examined the impact of gender </w:t>
      </w:r>
      <w:r w:rsidR="00197BB6" w:rsidRPr="00880312">
        <w:rPr>
          <w:rFonts w:ascii="Times New Roman" w:eastAsia="Times New Roman" w:hAnsi="Times New Roman" w:cs="Times New Roman"/>
          <w:sz w:val="24"/>
          <w:szCs w:val="24"/>
        </w:rPr>
        <w:t>on</w:t>
      </w:r>
      <w:r w:rsidRPr="00744EA4">
        <w:rPr>
          <w:rFonts w:ascii="Times New Roman" w:eastAsia="Times New Roman" w:hAnsi="Times New Roman" w:cs="Times New Roman"/>
          <w:sz w:val="24"/>
          <w:szCs w:val="24"/>
        </w:rPr>
        <w:t xml:space="preserve"> bank CROs. </w:t>
      </w:r>
      <w:r w:rsidRPr="001278ED">
        <w:rPr>
          <w:rFonts w:ascii="Times New Roman" w:eastAsia="Times New Roman" w:hAnsi="Times New Roman" w:cs="Times New Roman"/>
          <w:sz w:val="24"/>
          <w:szCs w:val="24"/>
        </w:rPr>
        <w:t xml:space="preserve">The literature on CROs is limited, </w:t>
      </w:r>
      <w:r w:rsidR="00EA444C" w:rsidRPr="001278ED">
        <w:rPr>
          <w:rFonts w:ascii="Times New Roman" w:eastAsia="Times New Roman" w:hAnsi="Times New Roman" w:cs="Times New Roman"/>
          <w:sz w:val="24"/>
          <w:szCs w:val="24"/>
        </w:rPr>
        <w:t>analysing</w:t>
      </w:r>
      <w:r w:rsidRPr="001278ED">
        <w:rPr>
          <w:rFonts w:ascii="Times New Roman" w:eastAsia="Times New Roman" w:hAnsi="Times New Roman" w:cs="Times New Roman"/>
          <w:sz w:val="24"/>
          <w:szCs w:val="24"/>
        </w:rPr>
        <w:t xml:space="preserve"> the impact of CROs on risk without reference to gender</w:t>
      </w:r>
      <w:r w:rsidRPr="00744EA4">
        <w:rPr>
          <w:rFonts w:ascii="Times New Roman" w:eastAsia="Times New Roman" w:hAnsi="Times New Roman" w:cs="Times New Roman"/>
          <w:sz w:val="24"/>
          <w:szCs w:val="24"/>
        </w:rPr>
        <w:t xml:space="preserve"> (</w:t>
      </w:r>
      <w:r w:rsidRPr="00744EA4">
        <w:rPr>
          <w:rFonts w:ascii="Times New Roman" w:eastAsia="DengXian" w:hAnsi="Times New Roman" w:cs="Times New Roman"/>
          <w:sz w:val="24"/>
          <w:szCs w:val="24"/>
        </w:rPr>
        <w:t xml:space="preserve">Aebi et al., 2012; Ellul &amp; </w:t>
      </w:r>
      <w:r w:rsidR="000B3888" w:rsidRPr="00744EA4">
        <w:rPr>
          <w:rFonts w:ascii="Times New Roman" w:eastAsia="DengXian" w:hAnsi="Times New Roman" w:cs="Times New Roman"/>
          <w:sz w:val="24"/>
          <w:szCs w:val="24"/>
        </w:rPr>
        <w:t>Yeramilli</w:t>
      </w:r>
      <w:r w:rsidRPr="00744EA4">
        <w:rPr>
          <w:rFonts w:ascii="Times New Roman" w:eastAsia="DengXian" w:hAnsi="Times New Roman" w:cs="Times New Roman"/>
          <w:sz w:val="24"/>
          <w:szCs w:val="24"/>
        </w:rPr>
        <w:t>, 2013; Balasubramanyan et al., 2019)</w:t>
      </w:r>
      <w:r w:rsidRPr="00744EA4">
        <w:rPr>
          <w:rFonts w:ascii="Times New Roman" w:eastAsia="Times New Roman" w:hAnsi="Times New Roman" w:cs="Times New Roman"/>
          <w:sz w:val="24"/>
          <w:szCs w:val="24"/>
        </w:rPr>
        <w:t xml:space="preserve">. However, the impact of gender on CRO decision-making and risk-taking is an important research area due to the global trend in increasing female representation at the board and top-executive level. </w:t>
      </w:r>
      <w:r w:rsidR="002746B4">
        <w:rPr>
          <w:rFonts w:ascii="Times New Roman" w:eastAsia="Times New Roman" w:hAnsi="Times New Roman" w:cs="Times New Roman"/>
          <w:sz w:val="24"/>
          <w:szCs w:val="24"/>
        </w:rPr>
        <w:t>The difference in women</w:t>
      </w:r>
      <w:r w:rsidR="00567377">
        <w:rPr>
          <w:rFonts w:ascii="Times New Roman" w:eastAsia="Times New Roman" w:hAnsi="Times New Roman" w:cs="Times New Roman"/>
          <w:sz w:val="24"/>
          <w:szCs w:val="24"/>
        </w:rPr>
        <w:t>'s</w:t>
      </w:r>
      <w:r w:rsidR="002746B4">
        <w:rPr>
          <w:rFonts w:ascii="Times New Roman" w:eastAsia="Times New Roman" w:hAnsi="Times New Roman" w:cs="Times New Roman"/>
          <w:sz w:val="24"/>
          <w:szCs w:val="24"/>
        </w:rPr>
        <w:t xml:space="preserve"> choices and risk</w:t>
      </w:r>
      <w:r w:rsidR="00567377">
        <w:rPr>
          <w:rFonts w:ascii="Times New Roman" w:eastAsia="Times New Roman" w:hAnsi="Times New Roman" w:cs="Times New Roman"/>
          <w:sz w:val="24"/>
          <w:szCs w:val="24"/>
        </w:rPr>
        <w:t>-</w:t>
      </w:r>
      <w:r w:rsidR="002746B4">
        <w:rPr>
          <w:rFonts w:ascii="Times New Roman" w:eastAsia="Times New Roman" w:hAnsi="Times New Roman" w:cs="Times New Roman"/>
          <w:sz w:val="24"/>
          <w:szCs w:val="24"/>
        </w:rPr>
        <w:t xml:space="preserve">averse behaviour find its ground </w:t>
      </w:r>
      <w:r w:rsidR="00567377">
        <w:rPr>
          <w:rFonts w:ascii="Times New Roman" w:eastAsia="Times New Roman" w:hAnsi="Times New Roman" w:cs="Times New Roman"/>
          <w:sz w:val="24"/>
          <w:szCs w:val="24"/>
        </w:rPr>
        <w:t>in</w:t>
      </w:r>
      <w:r w:rsidR="002746B4">
        <w:rPr>
          <w:rFonts w:ascii="Times New Roman" w:eastAsia="Times New Roman" w:hAnsi="Times New Roman" w:cs="Times New Roman"/>
          <w:sz w:val="24"/>
          <w:szCs w:val="24"/>
        </w:rPr>
        <w:t xml:space="preserve"> p</w:t>
      </w:r>
      <w:r w:rsidRPr="00744EA4">
        <w:rPr>
          <w:rFonts w:ascii="Times New Roman" w:eastAsia="Times New Roman" w:hAnsi="Times New Roman" w:cs="Times New Roman"/>
          <w:sz w:val="24"/>
          <w:szCs w:val="24"/>
        </w:rPr>
        <w:t>sychology and finance literature (Eckel &amp; Grossman, 2008; Sapienza et al., 2009; Charness &amp;Gneezy, 2011). According to social role theory, men and women are taught different behaviours, with women self-imposing compliance due to gender-role stereotypes, especially regarding risk-related matters (</w:t>
      </w:r>
      <w:r w:rsidRPr="00744EA4">
        <w:rPr>
          <w:rFonts w:ascii="Times New Roman" w:eastAsia="DengXian" w:hAnsi="Times New Roman" w:cs="Times New Roman"/>
          <w:sz w:val="24"/>
          <w:szCs w:val="24"/>
          <w:lang w:eastAsia="zh-CN"/>
        </w:rPr>
        <w:t>Arnaboldi et al., 2021)</w:t>
      </w:r>
      <w:r w:rsidRPr="00744EA4">
        <w:rPr>
          <w:rFonts w:ascii="Times New Roman" w:eastAsia="Times New Roman" w:hAnsi="Times New Roman" w:cs="Times New Roman"/>
          <w:sz w:val="24"/>
          <w:szCs w:val="24"/>
        </w:rPr>
        <w:t>.</w:t>
      </w:r>
      <w:r w:rsidRPr="00744EA4">
        <w:rPr>
          <w:rFonts w:ascii="Times New Roman" w:eastAsia="DengXian" w:hAnsi="Times New Roman" w:cs="Times New Roman"/>
          <w:sz w:val="24"/>
          <w:szCs w:val="24"/>
        </w:rPr>
        <w:t xml:space="preserve"> However, despite the efforts of </w:t>
      </w:r>
      <w:r w:rsidRPr="00744EA4">
        <w:rPr>
          <w:rFonts w:ascii="Times New Roman" w:eastAsia="Times New Roman" w:hAnsi="Times New Roman" w:cs="Times New Roman"/>
          <w:sz w:val="24"/>
          <w:szCs w:val="24"/>
        </w:rPr>
        <w:t>institutional investors and regulators to improve female corporate representation, women are still hitting a glass ceiling, especially in sectors of the economy such as banking, where a strong masculine culture constrains women</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s career advancement (Adams &amp; Funk, 2012; Sila et al., 2016; Girardone et al., 2021). Hence, females in finance </w:t>
      </w:r>
      <w:r w:rsidR="00197BB6" w:rsidRPr="00880312">
        <w:rPr>
          <w:rFonts w:ascii="Times New Roman" w:eastAsia="Times New Roman" w:hAnsi="Times New Roman" w:cs="Times New Roman"/>
          <w:sz w:val="24"/>
          <w:szCs w:val="24"/>
        </w:rPr>
        <w:t>may need the same risk preferences as their male colleagues</w:t>
      </w:r>
      <w:r w:rsidRPr="00744EA4">
        <w:rPr>
          <w:rFonts w:ascii="Times New Roman" w:eastAsia="Times New Roman" w:hAnsi="Times New Roman" w:cs="Times New Roman"/>
          <w:sz w:val="24"/>
          <w:szCs w:val="24"/>
        </w:rPr>
        <w:t xml:space="preserve"> to remain competitive and fulfil their career prospects (Admas &amp; Ragunathan, 2017). The motivation for our </w:t>
      </w:r>
      <w:r w:rsidRPr="001278ED">
        <w:rPr>
          <w:rFonts w:ascii="Times New Roman" w:eastAsia="Times New Roman" w:hAnsi="Times New Roman" w:cs="Times New Roman"/>
          <w:sz w:val="24"/>
          <w:szCs w:val="24"/>
        </w:rPr>
        <w:t>study stemmed</w:t>
      </w:r>
      <w:r w:rsidRPr="00744EA4">
        <w:rPr>
          <w:rFonts w:ascii="Times New Roman" w:eastAsia="Times New Roman" w:hAnsi="Times New Roman" w:cs="Times New Roman"/>
          <w:sz w:val="24"/>
          <w:szCs w:val="24"/>
        </w:rPr>
        <w:t xml:space="preserve"> from the literature showing a complex and multi-faceted relationship between managerial risk-taking and gender-associated differences, with women entering the field of finance with the same risk preferences as their male colleagues (</w:t>
      </w:r>
      <w:r w:rsidRPr="00744EA4">
        <w:rPr>
          <w:rFonts w:ascii="Times New Roman" w:eastAsia="DengXian" w:hAnsi="Times New Roman" w:cs="Times New Roman"/>
          <w:sz w:val="24"/>
          <w:szCs w:val="24"/>
        </w:rPr>
        <w:t xml:space="preserve">Sheedy &amp; Lubojanski, 2017; Adams &amp; Ragunathan, </w:t>
      </w:r>
      <w:r w:rsidR="001278ED" w:rsidRPr="00744EA4">
        <w:rPr>
          <w:rFonts w:ascii="Times New Roman" w:eastAsia="DengXian" w:hAnsi="Times New Roman" w:cs="Times New Roman"/>
          <w:sz w:val="24"/>
          <w:szCs w:val="24"/>
        </w:rPr>
        <w:t>2017)</w:t>
      </w:r>
      <w:r w:rsidRPr="00744EA4">
        <w:rPr>
          <w:rFonts w:ascii="Times New Roman" w:eastAsia="Times New Roman" w:hAnsi="Times New Roman" w:cs="Times New Roman"/>
          <w:sz w:val="24"/>
          <w:szCs w:val="24"/>
        </w:rPr>
        <w:t>.</w:t>
      </w:r>
    </w:p>
    <w:p w14:paraId="2A6A23CA" w14:textId="19D77360" w:rsidR="00744EA4" w:rsidRPr="00744EA4" w:rsidRDefault="00057265"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current study we further argue </w:t>
      </w:r>
      <w:r w:rsidR="00744EA4" w:rsidRPr="00744EA4">
        <w:rPr>
          <w:rFonts w:ascii="Times New Roman" w:eastAsia="Times New Roman" w:hAnsi="Times New Roman" w:cs="Times New Roman"/>
          <w:sz w:val="24"/>
          <w:szCs w:val="24"/>
        </w:rPr>
        <w:t>that, like other executives, CROs do not work in isolation</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 and their working environments influence their decision-making (O</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Connor, 1972; Hannan &amp; Freeman, 1977; Lieberson, Salancik &amp; Pfeffer, 1977). According to the literature, the decisions of female managers are </w:t>
      </w:r>
      <w:r w:rsidR="00744EA4" w:rsidRPr="001278ED">
        <w:rPr>
          <w:rFonts w:ascii="Times New Roman" w:eastAsia="Times New Roman" w:hAnsi="Times New Roman" w:cs="Times New Roman"/>
          <w:sz w:val="24"/>
          <w:szCs w:val="24"/>
        </w:rPr>
        <w:t>influenced</w:t>
      </w:r>
      <w:r w:rsidR="00744EA4" w:rsidRPr="00744EA4">
        <w:rPr>
          <w:rFonts w:ascii="Times New Roman" w:eastAsia="Times New Roman" w:hAnsi="Times New Roman" w:cs="Times New Roman"/>
          <w:sz w:val="24"/>
          <w:szCs w:val="24"/>
        </w:rPr>
        <w:t xml:space="preserve"> by their relationships with other executives and board members, who can either improve or constrain the female managers</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 </w:t>
      </w:r>
      <w:r w:rsidR="002746B4" w:rsidRPr="00744EA4">
        <w:rPr>
          <w:rFonts w:ascii="Times New Roman" w:eastAsia="Times New Roman" w:hAnsi="Times New Roman" w:cs="Times New Roman"/>
          <w:sz w:val="24"/>
          <w:szCs w:val="24"/>
        </w:rPr>
        <w:t>influence</w:t>
      </w:r>
      <w:r w:rsidR="00744EA4" w:rsidRPr="00744EA4">
        <w:rPr>
          <w:rFonts w:ascii="Times New Roman" w:eastAsia="Times New Roman" w:hAnsi="Times New Roman" w:cs="Times New Roman"/>
          <w:sz w:val="24"/>
          <w:szCs w:val="24"/>
        </w:rPr>
        <w:t xml:space="preserve"> on </w:t>
      </w:r>
      <w:r w:rsidR="002746B4" w:rsidRPr="00744EA4">
        <w:rPr>
          <w:rFonts w:ascii="Times New Roman" w:eastAsia="Times New Roman" w:hAnsi="Times New Roman" w:cs="Times New Roman"/>
          <w:sz w:val="24"/>
          <w:szCs w:val="24"/>
        </w:rPr>
        <w:t>company</w:t>
      </w:r>
      <w:r w:rsidR="00744EA4" w:rsidRPr="00744EA4">
        <w:rPr>
          <w:rFonts w:ascii="Times New Roman" w:eastAsia="Times New Roman" w:hAnsi="Times New Roman" w:cs="Times New Roman"/>
          <w:sz w:val="24"/>
          <w:szCs w:val="24"/>
        </w:rPr>
        <w:t xml:space="preserve"> </w:t>
      </w:r>
      <w:r w:rsidR="002746B4">
        <w:rPr>
          <w:rFonts w:ascii="Times New Roman" w:eastAsia="Times New Roman" w:hAnsi="Times New Roman" w:cs="Times New Roman"/>
          <w:sz w:val="24"/>
          <w:szCs w:val="24"/>
        </w:rPr>
        <w:t xml:space="preserve">results </w:t>
      </w:r>
      <w:r w:rsidR="00744EA4" w:rsidRPr="00744EA4">
        <w:rPr>
          <w:rFonts w:ascii="Times New Roman" w:eastAsia="Times New Roman" w:hAnsi="Times New Roman" w:cs="Times New Roman"/>
          <w:sz w:val="24"/>
          <w:szCs w:val="24"/>
        </w:rPr>
        <w:t>(</w:t>
      </w:r>
      <w:r w:rsidR="00744EA4" w:rsidRPr="00744EA4">
        <w:rPr>
          <w:rFonts w:ascii="Times New Roman" w:eastAsia="Times New Roman" w:hAnsi="Times New Roman" w:cs="Times New Roman"/>
          <w:color w:val="000000"/>
          <w:sz w:val="24"/>
          <w:szCs w:val="24"/>
        </w:rPr>
        <w:t>Wangrow et al., 2015; Schopohl et al., 2021)</w:t>
      </w:r>
      <w:r w:rsidR="00744EA4" w:rsidRPr="00744EA4">
        <w:rPr>
          <w:rFonts w:ascii="Times New Roman" w:eastAsia="Times New Roman" w:hAnsi="Times New Roman" w:cs="Times New Roman"/>
          <w:sz w:val="24"/>
          <w:szCs w:val="24"/>
        </w:rPr>
        <w:t>. Using managerial discretion theory,</w:t>
      </w:r>
      <w:r w:rsidR="00744EA4" w:rsidRPr="00744EA4">
        <w:rPr>
          <w:rFonts w:ascii="Times New Roman" w:eastAsia="Times New Roman" w:hAnsi="Times New Roman" w:cs="Times New Roman"/>
          <w:sz w:val="24"/>
          <w:szCs w:val="24"/>
          <w:vertAlign w:val="superscript"/>
        </w:rPr>
        <w:footnoteReference w:id="6"/>
      </w:r>
      <w:r w:rsidR="00744EA4" w:rsidRPr="00744EA4">
        <w:rPr>
          <w:rFonts w:ascii="Times New Roman" w:eastAsia="Times New Roman" w:hAnsi="Times New Roman" w:cs="Times New Roman"/>
          <w:sz w:val="24"/>
          <w:szCs w:val="24"/>
        </w:rPr>
        <w:t xml:space="preserve"> we </w:t>
      </w:r>
      <w:r w:rsidR="00567377">
        <w:rPr>
          <w:rFonts w:ascii="Times New Roman" w:eastAsia="Times New Roman" w:hAnsi="Times New Roman" w:cs="Times New Roman"/>
          <w:sz w:val="24"/>
          <w:szCs w:val="24"/>
        </w:rPr>
        <w:t>hypothesised</w:t>
      </w:r>
      <w:r w:rsidR="000B3888" w:rsidRPr="00744EA4">
        <w:rPr>
          <w:rFonts w:ascii="Times New Roman" w:eastAsia="Times New Roman" w:hAnsi="Times New Roman" w:cs="Times New Roman"/>
          <w:sz w:val="24"/>
          <w:szCs w:val="24"/>
        </w:rPr>
        <w:t xml:space="preserve"> the circumstances</w:t>
      </w:r>
      <w:r w:rsidR="00744EA4" w:rsidRPr="00744EA4">
        <w:rPr>
          <w:rFonts w:ascii="Times New Roman" w:eastAsia="Times New Roman" w:hAnsi="Times New Roman" w:cs="Times New Roman"/>
          <w:sz w:val="24"/>
          <w:szCs w:val="24"/>
        </w:rPr>
        <w:t xml:space="preserve"> under which female CROs</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 risk-taking preferences may change.</w:t>
      </w:r>
    </w:p>
    <w:p w14:paraId="44EBC0B8" w14:textId="2FD75A9C"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We hand-collected </w:t>
      </w:r>
      <w:r w:rsidR="0091261D">
        <w:rPr>
          <w:rFonts w:ascii="Times New Roman" w:eastAsia="Times New Roman" w:hAnsi="Times New Roman" w:cs="Times New Roman"/>
          <w:sz w:val="24"/>
          <w:szCs w:val="24"/>
        </w:rPr>
        <w:t>data for CROs from 120 US banks and bank holding companies (BHCs), with data</w:t>
      </w:r>
      <w:r w:rsidRPr="00744EA4">
        <w:rPr>
          <w:rFonts w:ascii="Times New Roman" w:eastAsia="Times New Roman" w:hAnsi="Times New Roman" w:cs="Times New Roman"/>
          <w:sz w:val="24"/>
          <w:szCs w:val="24"/>
        </w:rPr>
        <w:t xml:space="preserve"> from 2004 to 2018. We </w:t>
      </w:r>
      <w:r w:rsidRPr="001278ED">
        <w:rPr>
          <w:rFonts w:ascii="Times New Roman" w:eastAsia="Times New Roman" w:hAnsi="Times New Roman" w:cs="Times New Roman"/>
          <w:sz w:val="24"/>
          <w:szCs w:val="24"/>
        </w:rPr>
        <w:t>found</w:t>
      </w:r>
      <w:r w:rsidRPr="00744EA4">
        <w:rPr>
          <w:rFonts w:ascii="Times New Roman" w:eastAsia="Times New Roman" w:hAnsi="Times New Roman" w:cs="Times New Roman"/>
          <w:sz w:val="24"/>
          <w:szCs w:val="24"/>
        </w:rPr>
        <w:t xml:space="preserve"> that female CROs served shareholder incentives and extracted rent for shareholders by engaging in high levels of risk-taking activities. However, female presence on a board and risk committee </w:t>
      </w:r>
      <w:r w:rsidRPr="001278ED">
        <w:rPr>
          <w:rFonts w:ascii="Times New Roman" w:eastAsia="Times New Roman" w:hAnsi="Times New Roman" w:cs="Times New Roman"/>
          <w:sz w:val="24"/>
          <w:szCs w:val="24"/>
        </w:rPr>
        <w:t>could moderate</w:t>
      </w:r>
      <w:r w:rsidRPr="00744EA4">
        <w:rPr>
          <w:rFonts w:ascii="Times New Roman" w:eastAsia="Times New Roman" w:hAnsi="Times New Roman" w:cs="Times New Roman"/>
          <w:sz w:val="24"/>
          <w:szCs w:val="24"/>
        </w:rPr>
        <w:t xml:space="preserve"> the risk-taking behaviour of the female CRO and consequently lead to fewer risk-taking activities. Interestingly, the reporting line of the female CRO (reporting to the board instead of the CEO) also </w:t>
      </w:r>
      <w:r w:rsidRPr="001278ED">
        <w:rPr>
          <w:rFonts w:ascii="Times New Roman" w:eastAsia="Times New Roman" w:hAnsi="Times New Roman" w:cs="Times New Roman"/>
          <w:sz w:val="24"/>
          <w:szCs w:val="24"/>
        </w:rPr>
        <w:t xml:space="preserve">played a vital role in risk mitigation. We tested the robustness and consistency of our findings by using an alternative proxy for bank risk-taking and applying panel fixed effects. We also accounted for potential sample selection bias, unobserved bank-level heterogeneity, and other endogeneity concerns. Our baseline regression results (i.e., a positive relationship between CRO gender and bank risk-taking) remained statistically significant, even after addressing these econometric concerns. </w:t>
      </w:r>
      <w:r w:rsidR="005B1257">
        <w:rPr>
          <w:rFonts w:ascii="Times New Roman" w:eastAsia="Times New Roman" w:hAnsi="Times New Roman" w:cs="Times New Roman"/>
          <w:sz w:val="24"/>
          <w:szCs w:val="24"/>
        </w:rPr>
        <w:t>T</w:t>
      </w:r>
      <w:r w:rsidRPr="001278ED">
        <w:rPr>
          <w:rFonts w:ascii="Times New Roman" w:eastAsia="Times New Roman" w:hAnsi="Times New Roman" w:cs="Times New Roman"/>
          <w:sz w:val="24"/>
          <w:szCs w:val="24"/>
        </w:rPr>
        <w:t>o investigate the impact of regulations on bank risk-taking</w:t>
      </w:r>
      <w:r w:rsidR="00567377">
        <w:rPr>
          <w:rFonts w:ascii="Times New Roman" w:eastAsia="Times New Roman" w:hAnsi="Times New Roman" w:cs="Times New Roman"/>
          <w:sz w:val="24"/>
          <w:szCs w:val="24"/>
        </w:rPr>
        <w:t xml:space="preserve"> after GFC of 2007-2009</w:t>
      </w:r>
      <w:r w:rsidR="005B1257">
        <w:rPr>
          <w:rFonts w:ascii="Times New Roman" w:eastAsia="Times New Roman" w:hAnsi="Times New Roman" w:cs="Times New Roman"/>
          <w:sz w:val="24"/>
          <w:szCs w:val="24"/>
        </w:rPr>
        <w:t>, t</w:t>
      </w:r>
      <w:r w:rsidRPr="001278ED">
        <w:rPr>
          <w:rFonts w:ascii="Times New Roman" w:eastAsia="Times New Roman" w:hAnsi="Times New Roman" w:cs="Times New Roman"/>
          <w:sz w:val="24"/>
          <w:szCs w:val="24"/>
        </w:rPr>
        <w:t xml:space="preserve">he study looked at the Dodd-Frank </w:t>
      </w:r>
      <w:r w:rsidR="005B1257" w:rsidRPr="001278ED">
        <w:rPr>
          <w:rFonts w:ascii="Times New Roman" w:eastAsia="Times New Roman" w:hAnsi="Times New Roman" w:cs="Times New Roman"/>
          <w:sz w:val="24"/>
          <w:szCs w:val="24"/>
        </w:rPr>
        <w:t>Act</w:t>
      </w:r>
      <w:r w:rsidR="005B1257">
        <w:rPr>
          <w:rFonts w:ascii="Times New Roman" w:eastAsia="Times New Roman" w:hAnsi="Times New Roman" w:cs="Times New Roman"/>
          <w:sz w:val="24"/>
          <w:szCs w:val="24"/>
        </w:rPr>
        <w:t xml:space="preserve"> (</w:t>
      </w:r>
      <w:r w:rsidR="00567377">
        <w:rPr>
          <w:rFonts w:ascii="Times New Roman" w:eastAsia="Times New Roman" w:hAnsi="Times New Roman" w:cs="Times New Roman"/>
          <w:sz w:val="24"/>
          <w:szCs w:val="24"/>
        </w:rPr>
        <w:t>2010)</w:t>
      </w:r>
      <w:r w:rsidRPr="001278ED">
        <w:rPr>
          <w:rFonts w:ascii="Times New Roman" w:eastAsia="Times New Roman" w:hAnsi="Times New Roman" w:cs="Times New Roman"/>
          <w:sz w:val="24"/>
          <w:szCs w:val="24"/>
        </w:rPr>
        <w:t xml:space="preserve"> that compelled banks of a </w:t>
      </w:r>
      <w:r w:rsidR="00197BB6" w:rsidRPr="001278ED">
        <w:rPr>
          <w:rFonts w:ascii="Times New Roman" w:eastAsia="Times New Roman" w:hAnsi="Times New Roman" w:cs="Times New Roman"/>
          <w:sz w:val="24"/>
          <w:szCs w:val="24"/>
        </w:rPr>
        <w:t>specific</w:t>
      </w:r>
      <w:r w:rsidRPr="001278ED">
        <w:rPr>
          <w:rFonts w:ascii="Times New Roman" w:eastAsia="Times New Roman" w:hAnsi="Times New Roman" w:cs="Times New Roman"/>
          <w:sz w:val="24"/>
          <w:szCs w:val="24"/>
        </w:rPr>
        <w:t xml:space="preserve"> size to appoint CROs and adopt separate risk committees (R</w:t>
      </w:r>
      <w:r w:rsidR="00197BB6" w:rsidRPr="001278ED">
        <w:rPr>
          <w:rFonts w:ascii="Times New Roman" w:eastAsia="Times New Roman" w:hAnsi="Times New Roman" w:cs="Times New Roman"/>
          <w:sz w:val="24"/>
          <w:szCs w:val="24"/>
        </w:rPr>
        <w:t>.C.</w:t>
      </w:r>
      <w:r w:rsidRPr="001278ED">
        <w:rPr>
          <w:rFonts w:ascii="Times New Roman" w:eastAsia="Times New Roman" w:hAnsi="Times New Roman" w:cs="Times New Roman"/>
          <w:sz w:val="24"/>
          <w:szCs w:val="24"/>
        </w:rPr>
        <w:t xml:space="preserve">s). Our results provide </w:t>
      </w:r>
      <w:r w:rsidR="00197BB6" w:rsidRPr="001278ED">
        <w:rPr>
          <w:rFonts w:ascii="Times New Roman" w:eastAsia="Times New Roman" w:hAnsi="Times New Roman" w:cs="Times New Roman"/>
          <w:sz w:val="24"/>
          <w:szCs w:val="24"/>
        </w:rPr>
        <w:t>valuable</w:t>
      </w:r>
      <w:r w:rsidRPr="001278ED">
        <w:rPr>
          <w:rFonts w:ascii="Times New Roman" w:eastAsia="Times New Roman" w:hAnsi="Times New Roman" w:cs="Times New Roman"/>
          <w:sz w:val="24"/>
          <w:szCs w:val="24"/>
        </w:rPr>
        <w:t xml:space="preserve"> insights and reveal that the presence of women in CRO positions significantly influences bank risk due to the regulatory efforts.</w:t>
      </w:r>
    </w:p>
    <w:p w14:paraId="234D1F7F" w14:textId="200DB5B3" w:rsidR="00744EA4" w:rsidRPr="001278ED"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This paper contributes to the strand of literature exploring the characteristics and practices of executives that affect their corporate decisions (</w:t>
      </w:r>
      <w:r w:rsidRPr="00744EA4">
        <w:rPr>
          <w:rFonts w:ascii="Times New Roman" w:eastAsia="Times New Roman" w:hAnsi="Times New Roman" w:cs="Times New Roman"/>
          <w:color w:val="000000"/>
          <w:sz w:val="24"/>
          <w:szCs w:val="24"/>
        </w:rPr>
        <w:t xml:space="preserve">Malmendier et al., 2011; </w:t>
      </w:r>
      <w:r w:rsidRPr="00744EA4">
        <w:rPr>
          <w:rFonts w:ascii="Times New Roman" w:eastAsia="DengXian" w:hAnsi="Times New Roman" w:cs="Times New Roman"/>
          <w:sz w:val="24"/>
          <w:szCs w:val="24"/>
        </w:rPr>
        <w:t>Cronqvist, Makhija, &amp; Yonker, 2012</w:t>
      </w:r>
      <w:r w:rsidRPr="00744EA4">
        <w:rPr>
          <w:rFonts w:ascii="Times New Roman" w:eastAsia="Times New Roman" w:hAnsi="Times New Roman" w:cs="Times New Roman"/>
          <w:color w:val="000000"/>
          <w:sz w:val="24"/>
          <w:szCs w:val="24"/>
        </w:rPr>
        <w:t xml:space="preserve">; </w:t>
      </w:r>
      <w:r w:rsidRPr="00744EA4">
        <w:rPr>
          <w:rFonts w:ascii="Times New Roman" w:eastAsia="DengXian" w:hAnsi="Times New Roman" w:cs="Times New Roman"/>
          <w:sz w:val="24"/>
          <w:szCs w:val="24"/>
        </w:rPr>
        <w:t>Benmelech &amp; Frydman, 2015</w:t>
      </w:r>
      <w:r w:rsidRPr="00744EA4">
        <w:rPr>
          <w:rFonts w:ascii="Times New Roman" w:eastAsia="Times New Roman" w:hAnsi="Times New Roman" w:cs="Times New Roman"/>
          <w:sz w:val="24"/>
          <w:szCs w:val="24"/>
        </w:rPr>
        <w:t xml:space="preserve">; </w:t>
      </w:r>
      <w:r w:rsidRPr="00744EA4">
        <w:rPr>
          <w:rFonts w:ascii="Times New Roman" w:eastAsia="DengXian" w:hAnsi="Times New Roman" w:cs="Times New Roman"/>
          <w:sz w:val="24"/>
          <w:szCs w:val="24"/>
        </w:rPr>
        <w:t>Cain &amp; McKeon, 2016</w:t>
      </w:r>
      <w:r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color w:val="000000"/>
          <w:sz w:val="24"/>
          <w:szCs w:val="24"/>
        </w:rPr>
        <w:t>Faccio et al., 2016</w:t>
      </w:r>
      <w:r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color w:val="000000"/>
          <w:sz w:val="24"/>
          <w:szCs w:val="24"/>
        </w:rPr>
        <w:t>Schopohl et al., 2021)</w:t>
      </w:r>
      <w:r w:rsidRPr="00744EA4">
        <w:rPr>
          <w:rFonts w:ascii="Times New Roman" w:eastAsia="Times New Roman" w:hAnsi="Times New Roman" w:cs="Times New Roman"/>
          <w:sz w:val="24"/>
          <w:szCs w:val="24"/>
        </w:rPr>
        <w:t>. It also contributes to the literature on ERM in which the presence of a CRO is taken to reflect the bank</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commitment to implementing ERM practices and a step toward reduced risk-taking (</w:t>
      </w:r>
      <w:r w:rsidRPr="00744EA4">
        <w:rPr>
          <w:rFonts w:ascii="Times New Roman" w:eastAsia="DengXian" w:hAnsi="Times New Roman" w:cs="Times New Roman"/>
          <w:sz w:val="24"/>
          <w:szCs w:val="24"/>
        </w:rPr>
        <w:t>Beasley et al., 2005; Beasley &amp; Warr, 2007; Pagach &amp; Warr, 2011; Eckles et al., 2014; Hines &amp; Peters, 2015)</w:t>
      </w:r>
      <w:r w:rsidRPr="00744EA4">
        <w:rPr>
          <w:rFonts w:ascii="Times New Roman" w:eastAsia="Times New Roman" w:hAnsi="Times New Roman" w:cs="Times New Roman"/>
          <w:sz w:val="24"/>
          <w:szCs w:val="24"/>
        </w:rPr>
        <w:t xml:space="preserve">. </w:t>
      </w:r>
      <w:r w:rsidRPr="001278ED">
        <w:rPr>
          <w:rFonts w:ascii="Times New Roman" w:eastAsia="Times New Roman" w:hAnsi="Times New Roman" w:cs="Times New Roman"/>
          <w:sz w:val="24"/>
          <w:szCs w:val="24"/>
        </w:rPr>
        <w:t xml:space="preserve">Our paper provides novel evidence that even accounting for gender, the presence of a CRO does not mitigate bank risk-taking. </w:t>
      </w:r>
      <w:r w:rsidR="00197BB6" w:rsidRPr="001278ED">
        <w:rPr>
          <w:rFonts w:ascii="Times New Roman" w:eastAsia="Times New Roman" w:hAnsi="Times New Roman" w:cs="Times New Roman"/>
          <w:sz w:val="24"/>
          <w:szCs w:val="24"/>
        </w:rPr>
        <w:t>We further argue</w:t>
      </w:r>
      <w:r w:rsidR="00567377">
        <w:rPr>
          <w:rFonts w:ascii="Times New Roman" w:eastAsia="Times New Roman" w:hAnsi="Times New Roman" w:cs="Times New Roman"/>
          <w:sz w:val="24"/>
          <w:szCs w:val="24"/>
        </w:rPr>
        <w:t xml:space="preserve"> that although a CRO is an important monitor of risk-management activities, their presence does not guarantee</w:t>
      </w:r>
      <w:r w:rsidRPr="001278ED">
        <w:rPr>
          <w:rFonts w:ascii="Times New Roman" w:eastAsia="Times New Roman" w:hAnsi="Times New Roman" w:cs="Times New Roman"/>
          <w:sz w:val="24"/>
          <w:szCs w:val="24"/>
        </w:rPr>
        <w:t xml:space="preserve"> a financial institution</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s commitment to implementing ERM practices. Moreover, the finding highlights the issue of the agency problem and emphasi</w:t>
      </w:r>
      <w:r w:rsidR="00197BB6" w:rsidRPr="001278ED">
        <w:rPr>
          <w:rFonts w:ascii="Times New Roman" w:eastAsia="Times New Roman" w:hAnsi="Times New Roman" w:cs="Times New Roman"/>
          <w:sz w:val="24"/>
          <w:szCs w:val="24"/>
        </w:rPr>
        <w:t>z</w:t>
      </w:r>
      <w:r w:rsidRPr="001278ED">
        <w:rPr>
          <w:rFonts w:ascii="Times New Roman" w:eastAsia="Times New Roman" w:hAnsi="Times New Roman" w:cs="Times New Roman"/>
          <w:sz w:val="24"/>
          <w:szCs w:val="24"/>
        </w:rPr>
        <w:t>es the need to monitor managers who would otherwise pursue policies in their interests (</w:t>
      </w:r>
      <w:r w:rsidRPr="001278ED">
        <w:rPr>
          <w:rFonts w:ascii="Times New Roman" w:eastAsia="Times New Roman" w:hAnsi="Times New Roman" w:cs="Times New Roman"/>
          <w:color w:val="000000"/>
          <w:sz w:val="24"/>
          <w:szCs w:val="24"/>
        </w:rPr>
        <w:t>Abernathy et al., 2014)</w:t>
      </w:r>
      <w:r w:rsidRPr="001278ED">
        <w:rPr>
          <w:rFonts w:ascii="Times New Roman" w:eastAsia="Times New Roman" w:hAnsi="Times New Roman" w:cs="Times New Roman"/>
          <w:sz w:val="24"/>
          <w:szCs w:val="24"/>
        </w:rPr>
        <w:t>.</w:t>
      </w:r>
    </w:p>
    <w:p w14:paraId="1754CAC7" w14:textId="63BDC466" w:rsidR="002212F9"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This study also contributes to the literature on female representation at the board and committee levels (Adams &amp; Ferreira, 2009; Yu et al., 2017</w:t>
      </w:r>
      <w:r w:rsidRPr="00744EA4">
        <w:rPr>
          <w:rFonts w:ascii="Times New Roman" w:eastAsia="DengXian" w:hAnsi="Times New Roman" w:cs="Times New Roman"/>
          <w:sz w:val="24"/>
          <w:szCs w:val="24"/>
        </w:rPr>
        <w:t xml:space="preserve">; </w:t>
      </w:r>
      <w:r w:rsidRPr="00744EA4">
        <w:rPr>
          <w:rFonts w:ascii="Times New Roman" w:eastAsia="Times New Roman" w:hAnsi="Times New Roman" w:cs="Times New Roman"/>
          <w:sz w:val="24"/>
          <w:szCs w:val="24"/>
        </w:rPr>
        <w:t>Adams &amp; Raghunathan, 2017; Zalata et</w:t>
      </w:r>
      <w:r w:rsidRPr="00744EA4">
        <w:rPr>
          <w:rFonts w:ascii="Times New Roman" w:eastAsia="DengXian" w:hAnsi="Times New Roman" w:cs="Times New Roman"/>
          <w:sz w:val="24"/>
          <w:szCs w:val="24"/>
        </w:rPr>
        <w:t xml:space="preserve"> al., 2019</w:t>
      </w:r>
      <w:r w:rsidR="002212F9">
        <w:rPr>
          <w:rFonts w:ascii="Times New Roman" w:eastAsia="DengXian" w:hAnsi="Times New Roman" w:cs="Times New Roman"/>
          <w:sz w:val="24"/>
          <w:szCs w:val="24"/>
        </w:rPr>
        <w:t>,</w:t>
      </w:r>
      <w:r w:rsidRPr="00744EA4">
        <w:rPr>
          <w:rFonts w:ascii="Times New Roman" w:eastAsia="Times New Roman" w:hAnsi="Times New Roman" w:cs="Times New Roman"/>
          <w:sz w:val="24"/>
          <w:szCs w:val="24"/>
        </w:rPr>
        <w:t xml:space="preserve"> Girardone et al., 2021; Malik et al., 2021</w:t>
      </w:r>
      <w:r w:rsidRPr="00744EA4">
        <w:rPr>
          <w:rFonts w:ascii="Times New Roman" w:eastAsia="DengXian" w:hAnsi="Times New Roman" w:cs="Times New Roman"/>
          <w:sz w:val="24"/>
          <w:szCs w:val="24"/>
        </w:rPr>
        <w:t>)</w:t>
      </w:r>
      <w:r w:rsidRPr="00744EA4">
        <w:rPr>
          <w:rFonts w:ascii="Times New Roman" w:eastAsia="Times New Roman" w:hAnsi="Times New Roman" w:cs="Times New Roman"/>
          <w:sz w:val="24"/>
          <w:szCs w:val="24"/>
        </w:rPr>
        <w:t>. We show that female CROs serve shareholders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interests and participate in high-risk-taking ventures. However, female representation at the board and committee levels serves the broader interests of stakeholders by significantly moderating the relationship between female CROs and </w:t>
      </w:r>
      <w:r w:rsidR="00567377">
        <w:rPr>
          <w:rFonts w:ascii="Times New Roman" w:eastAsia="Times New Roman" w:hAnsi="Times New Roman" w:cs="Times New Roman"/>
          <w:sz w:val="24"/>
          <w:szCs w:val="24"/>
        </w:rPr>
        <w:t>bank risk</w:t>
      </w:r>
      <w:r w:rsidRPr="00744EA4">
        <w:rPr>
          <w:rFonts w:ascii="Times New Roman" w:eastAsia="Times New Roman" w:hAnsi="Times New Roman" w:cs="Times New Roman"/>
          <w:sz w:val="24"/>
          <w:szCs w:val="24"/>
        </w:rPr>
        <w:t xml:space="preserve">. </w:t>
      </w:r>
    </w:p>
    <w:p w14:paraId="60BE1E01" w14:textId="13CB75D3"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Finally, this study contributes to the debate on risk governance in banks that ha</w:t>
      </w:r>
      <w:r w:rsidR="00567377">
        <w:rPr>
          <w:rFonts w:ascii="Times New Roman" w:eastAsia="Times New Roman" w:hAnsi="Times New Roman" w:cs="Times New Roman"/>
          <w:sz w:val="24"/>
          <w:szCs w:val="24"/>
        </w:rPr>
        <w:t>ve</w:t>
      </w:r>
      <w:r w:rsidRPr="00744EA4">
        <w:rPr>
          <w:rFonts w:ascii="Times New Roman" w:eastAsia="Times New Roman" w:hAnsi="Times New Roman" w:cs="Times New Roman"/>
          <w:sz w:val="24"/>
          <w:szCs w:val="24"/>
        </w:rPr>
        <w:t xml:space="preserve"> been ongoing in the aftermath of the </w:t>
      </w:r>
      <w:r w:rsidR="00057265">
        <w:rPr>
          <w:rFonts w:ascii="Times New Roman" w:eastAsia="Times New Roman" w:hAnsi="Times New Roman" w:cs="Times New Roman"/>
          <w:sz w:val="24"/>
          <w:szCs w:val="24"/>
        </w:rPr>
        <w:t xml:space="preserve">GFC </w:t>
      </w:r>
      <w:r w:rsidRPr="00744EA4">
        <w:rPr>
          <w:rFonts w:ascii="Times New Roman" w:eastAsia="Times New Roman" w:hAnsi="Times New Roman" w:cs="Times New Roman"/>
          <w:sz w:val="24"/>
          <w:szCs w:val="24"/>
        </w:rPr>
        <w:t>2007–</w:t>
      </w:r>
      <w:r w:rsidR="00057265">
        <w:rPr>
          <w:rFonts w:ascii="Times New Roman" w:eastAsia="Times New Roman" w:hAnsi="Times New Roman" w:cs="Times New Roman"/>
          <w:sz w:val="24"/>
          <w:szCs w:val="24"/>
        </w:rPr>
        <w:t>2009</w:t>
      </w:r>
      <w:r w:rsidRPr="00744EA4">
        <w:rPr>
          <w:rFonts w:ascii="Times New Roman" w:eastAsia="Times New Roman" w:hAnsi="Times New Roman" w:cs="Times New Roman"/>
          <w:sz w:val="24"/>
          <w:szCs w:val="24"/>
        </w:rPr>
        <w:t xml:space="preserve">. </w:t>
      </w:r>
      <w:r w:rsidRPr="001278ED">
        <w:rPr>
          <w:rFonts w:ascii="Times New Roman" w:eastAsia="Times New Roman" w:hAnsi="Times New Roman" w:cs="Times New Roman"/>
          <w:sz w:val="24"/>
          <w:szCs w:val="24"/>
        </w:rPr>
        <w:t>We performed a diff-in-diff analysis and found that regulatory efforts since the crisis intended to improve risk-management practices by appointing dedicated risk officers and demanding more female representation (i.e., female CROs) have significantly reduced risk-taking.</w:t>
      </w:r>
    </w:p>
    <w:p w14:paraId="155DAF56" w14:textId="4EB5898E" w:rsidR="00744EA4" w:rsidRPr="00744EA4" w:rsidRDefault="00744EA4" w:rsidP="00744EA4">
      <w:pPr>
        <w:spacing w:line="480" w:lineRule="auto"/>
        <w:jc w:val="both"/>
        <w:rPr>
          <w:rFonts w:ascii="Times New Roman" w:eastAsia="DengXian" w:hAnsi="Times New Roman" w:cs="Times New Roman"/>
          <w:sz w:val="24"/>
          <w:szCs w:val="24"/>
        </w:rPr>
      </w:pPr>
      <w:r w:rsidRPr="001278ED">
        <w:rPr>
          <w:rFonts w:ascii="Times New Roman" w:eastAsia="DengXian" w:hAnsi="Times New Roman" w:cs="Times New Roman"/>
          <w:sz w:val="24"/>
          <w:szCs w:val="24"/>
        </w:rPr>
        <w:t>The remainder of the paper is organi</w:t>
      </w:r>
      <w:r w:rsidR="00197BB6" w:rsidRPr="001278ED">
        <w:rPr>
          <w:rFonts w:ascii="Times New Roman" w:eastAsia="DengXian" w:hAnsi="Times New Roman" w:cs="Times New Roman"/>
          <w:sz w:val="24"/>
          <w:szCs w:val="24"/>
        </w:rPr>
        <w:t>z</w:t>
      </w:r>
      <w:r w:rsidRPr="001278ED">
        <w:rPr>
          <w:rFonts w:ascii="Times New Roman" w:eastAsia="DengXian" w:hAnsi="Times New Roman" w:cs="Times New Roman"/>
          <w:sz w:val="24"/>
          <w:szCs w:val="24"/>
        </w:rPr>
        <w:t xml:space="preserve">ed as follows. </w:t>
      </w:r>
      <w:r w:rsidR="00197BB6" w:rsidRPr="001278ED">
        <w:rPr>
          <w:rFonts w:ascii="Times New Roman" w:eastAsia="DengXian" w:hAnsi="Times New Roman" w:cs="Times New Roman"/>
          <w:i/>
          <w:iCs/>
          <w:sz w:val="24"/>
          <w:szCs w:val="24"/>
        </w:rPr>
        <w:t>Section</w:t>
      </w:r>
      <w:r w:rsidRPr="001278ED">
        <w:rPr>
          <w:rFonts w:ascii="Times New Roman" w:eastAsia="DengXian" w:hAnsi="Times New Roman" w:cs="Times New Roman"/>
          <w:i/>
          <w:iCs/>
          <w:sz w:val="24"/>
          <w:szCs w:val="24"/>
        </w:rPr>
        <w:t xml:space="preserve"> 2</w:t>
      </w:r>
      <w:r w:rsidRPr="001278ED">
        <w:rPr>
          <w:rFonts w:ascii="Times New Roman" w:eastAsia="DengXian" w:hAnsi="Times New Roman" w:cs="Times New Roman"/>
          <w:sz w:val="24"/>
          <w:szCs w:val="24"/>
        </w:rPr>
        <w:t xml:space="preserve"> analyses the extant literature. </w:t>
      </w:r>
      <w:r w:rsidR="00197BB6" w:rsidRPr="001278ED">
        <w:rPr>
          <w:rFonts w:ascii="Times New Roman" w:eastAsia="DengXian" w:hAnsi="Times New Roman" w:cs="Times New Roman"/>
          <w:i/>
          <w:iCs/>
          <w:sz w:val="24"/>
          <w:szCs w:val="24"/>
        </w:rPr>
        <w:t>Section</w:t>
      </w:r>
      <w:r w:rsidRPr="001278ED">
        <w:rPr>
          <w:rFonts w:ascii="Times New Roman" w:eastAsia="DengXian" w:hAnsi="Times New Roman" w:cs="Times New Roman"/>
          <w:i/>
          <w:iCs/>
          <w:sz w:val="24"/>
          <w:szCs w:val="24"/>
        </w:rPr>
        <w:t xml:space="preserve"> 3</w:t>
      </w:r>
      <w:r w:rsidRPr="001278ED">
        <w:rPr>
          <w:rFonts w:ascii="Times New Roman" w:eastAsia="DengXian" w:hAnsi="Times New Roman" w:cs="Times New Roman"/>
          <w:sz w:val="24"/>
          <w:szCs w:val="24"/>
        </w:rPr>
        <w:t xml:space="preserve"> outlines the research design and data sources. </w:t>
      </w:r>
      <w:r w:rsidR="00197BB6" w:rsidRPr="001278ED">
        <w:rPr>
          <w:rFonts w:ascii="Times New Roman" w:eastAsia="DengXian" w:hAnsi="Times New Roman" w:cs="Times New Roman"/>
          <w:i/>
          <w:iCs/>
          <w:sz w:val="24"/>
          <w:szCs w:val="24"/>
        </w:rPr>
        <w:t xml:space="preserve">Section </w:t>
      </w:r>
      <w:r w:rsidRPr="001278ED">
        <w:rPr>
          <w:rFonts w:ascii="Times New Roman" w:eastAsia="DengXian" w:hAnsi="Times New Roman" w:cs="Times New Roman"/>
          <w:i/>
          <w:iCs/>
          <w:sz w:val="24"/>
          <w:szCs w:val="24"/>
        </w:rPr>
        <w:t>4</w:t>
      </w:r>
      <w:r w:rsidRPr="001278ED">
        <w:rPr>
          <w:rFonts w:ascii="Times New Roman" w:eastAsia="DengXian" w:hAnsi="Times New Roman" w:cs="Times New Roman"/>
          <w:sz w:val="24"/>
          <w:szCs w:val="24"/>
        </w:rPr>
        <w:t xml:space="preserve"> reports the empirical results and discussions, and </w:t>
      </w:r>
      <w:r w:rsidR="00197BB6" w:rsidRPr="001278ED">
        <w:rPr>
          <w:rFonts w:ascii="Times New Roman" w:eastAsia="DengXian" w:hAnsi="Times New Roman" w:cs="Times New Roman"/>
          <w:i/>
          <w:iCs/>
          <w:sz w:val="24"/>
          <w:szCs w:val="24"/>
        </w:rPr>
        <w:t xml:space="preserve">Section </w:t>
      </w:r>
      <w:r w:rsidRPr="001278ED">
        <w:rPr>
          <w:rFonts w:ascii="Times New Roman" w:eastAsia="DengXian" w:hAnsi="Times New Roman" w:cs="Times New Roman"/>
          <w:i/>
          <w:iCs/>
          <w:sz w:val="24"/>
          <w:szCs w:val="24"/>
        </w:rPr>
        <w:t>5</w:t>
      </w:r>
      <w:r w:rsidRPr="001278ED">
        <w:rPr>
          <w:rFonts w:ascii="Times New Roman" w:eastAsia="DengXian" w:hAnsi="Times New Roman" w:cs="Times New Roman"/>
          <w:sz w:val="24"/>
          <w:szCs w:val="24"/>
        </w:rPr>
        <w:t xml:space="preserve"> concludes the paper.</w:t>
      </w:r>
    </w:p>
    <w:p w14:paraId="461C21A0" w14:textId="6AE31A65" w:rsidR="00744EA4" w:rsidRPr="003C7034" w:rsidRDefault="0037662B" w:rsidP="003C7034">
      <w:pPr>
        <w:pStyle w:val="Heading2"/>
        <w:rPr>
          <w:sz w:val="32"/>
          <w:szCs w:val="32"/>
        </w:rPr>
      </w:pPr>
      <w:bookmarkStart w:id="29" w:name="_Toc145616174"/>
      <w:r w:rsidRPr="003C7034">
        <w:rPr>
          <w:sz w:val="32"/>
          <w:szCs w:val="32"/>
        </w:rPr>
        <w:t>3.</w:t>
      </w:r>
      <w:r w:rsidR="00744EA4" w:rsidRPr="003C7034">
        <w:rPr>
          <w:sz w:val="32"/>
          <w:szCs w:val="32"/>
        </w:rPr>
        <w:t>2. Related Literature</w:t>
      </w:r>
      <w:bookmarkEnd w:id="29"/>
    </w:p>
    <w:p w14:paraId="0B9A1FF9" w14:textId="77777777" w:rsidR="003C7034" w:rsidRPr="003C7034" w:rsidRDefault="003C7034" w:rsidP="003C7034"/>
    <w:p w14:paraId="4042D77C" w14:textId="193198DA" w:rsidR="00744EA4" w:rsidRPr="003C7034" w:rsidRDefault="0037662B" w:rsidP="003C7034">
      <w:pPr>
        <w:pStyle w:val="Heading3"/>
        <w:rPr>
          <w:rFonts w:ascii="Times New Roman" w:hAnsi="Times New Roman" w:cs="Times New Roman"/>
          <w:b/>
          <w:bCs/>
          <w:color w:val="auto"/>
          <w:sz w:val="28"/>
          <w:szCs w:val="28"/>
        </w:rPr>
      </w:pPr>
      <w:bookmarkStart w:id="30" w:name="_Toc145616175"/>
      <w:r w:rsidRPr="003C7034">
        <w:rPr>
          <w:rFonts w:ascii="Times New Roman" w:hAnsi="Times New Roman" w:cs="Times New Roman"/>
          <w:b/>
          <w:bCs/>
          <w:color w:val="auto"/>
          <w:sz w:val="28"/>
          <w:szCs w:val="28"/>
        </w:rPr>
        <w:t>3.</w:t>
      </w:r>
      <w:r w:rsidR="00744EA4" w:rsidRPr="003C7034">
        <w:rPr>
          <w:rFonts w:ascii="Times New Roman" w:hAnsi="Times New Roman" w:cs="Times New Roman"/>
          <w:b/>
          <w:bCs/>
          <w:color w:val="auto"/>
          <w:sz w:val="28"/>
          <w:szCs w:val="28"/>
        </w:rPr>
        <w:t xml:space="preserve">2.1. ERM, Female CROs, and </w:t>
      </w:r>
      <w:r w:rsidR="001C08EE" w:rsidRPr="003C7034">
        <w:rPr>
          <w:rFonts w:ascii="Times New Roman" w:hAnsi="Times New Roman" w:cs="Times New Roman"/>
          <w:b/>
          <w:bCs/>
          <w:color w:val="auto"/>
          <w:sz w:val="28"/>
          <w:szCs w:val="28"/>
        </w:rPr>
        <w:t>Bank Risk</w:t>
      </w:r>
      <w:bookmarkEnd w:id="30"/>
    </w:p>
    <w:p w14:paraId="5F517A26" w14:textId="23DCFA47"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Risk management in banks has always been challenging due to the complexity of the business. Information asymmetry, moral hazards, deposit insurance protection, and implicit </w:t>
      </w:r>
      <w:r w:rsidR="002746B4">
        <w:rPr>
          <w:rFonts w:ascii="Times New Roman" w:eastAsia="Times New Roman" w:hAnsi="Times New Roman" w:cs="Times New Roman"/>
          <w:sz w:val="24"/>
          <w:szCs w:val="24"/>
        </w:rPr>
        <w:t>and explicit</w:t>
      </w:r>
      <w:r w:rsidRPr="00744EA4">
        <w:rPr>
          <w:rFonts w:ascii="Times New Roman" w:eastAsia="Times New Roman" w:hAnsi="Times New Roman" w:cs="Times New Roman"/>
          <w:sz w:val="24"/>
          <w:szCs w:val="24"/>
        </w:rPr>
        <w:t xml:space="preserve"> </w:t>
      </w:r>
      <w:r w:rsidR="002746B4" w:rsidRPr="001278ED">
        <w:rPr>
          <w:rFonts w:ascii="Times New Roman" w:eastAsia="Times New Roman" w:hAnsi="Times New Roman" w:cs="Times New Roman"/>
          <w:sz w:val="24"/>
          <w:szCs w:val="24"/>
        </w:rPr>
        <w:t>promises</w:t>
      </w:r>
      <w:r w:rsidRPr="001278ED">
        <w:rPr>
          <w:rFonts w:ascii="Times New Roman" w:eastAsia="Times New Roman" w:hAnsi="Times New Roman" w:cs="Times New Roman"/>
          <w:sz w:val="24"/>
          <w:szCs w:val="24"/>
        </w:rPr>
        <w:t xml:space="preserve"> weaken </w:t>
      </w:r>
      <w:r w:rsidR="00197BB6" w:rsidRPr="001278ED">
        <w:rPr>
          <w:rFonts w:ascii="Times New Roman" w:eastAsia="Times New Roman" w:hAnsi="Times New Roman" w:cs="Times New Roman"/>
          <w:sz w:val="24"/>
          <w:szCs w:val="24"/>
        </w:rPr>
        <w:t xml:space="preserve">the </w:t>
      </w:r>
      <w:r w:rsidR="002746B4" w:rsidRPr="001278ED">
        <w:rPr>
          <w:rFonts w:ascii="Times New Roman" w:eastAsia="Times New Roman" w:hAnsi="Times New Roman" w:cs="Times New Roman"/>
          <w:sz w:val="24"/>
          <w:szCs w:val="24"/>
        </w:rPr>
        <w:t>motivation</w:t>
      </w:r>
      <w:r w:rsidRPr="001278ED">
        <w:rPr>
          <w:rFonts w:ascii="Times New Roman" w:eastAsia="Times New Roman" w:hAnsi="Times New Roman" w:cs="Times New Roman"/>
          <w:sz w:val="24"/>
          <w:szCs w:val="24"/>
        </w:rPr>
        <w:t xml:space="preserve"> to monitor and impose market discipline (Acharya et al., 2009; </w:t>
      </w:r>
      <w:r w:rsidRPr="001278ED">
        <w:rPr>
          <w:rFonts w:ascii="Times New Roman" w:eastAsia="DengXian" w:hAnsi="Times New Roman" w:cs="Times New Roman"/>
          <w:sz w:val="24"/>
          <w:szCs w:val="24"/>
        </w:rPr>
        <w:t>Adams &amp; Mehran, 2012)</w:t>
      </w:r>
      <w:r w:rsidRPr="001278ED">
        <w:rPr>
          <w:rFonts w:ascii="Times New Roman" w:eastAsia="Times New Roman" w:hAnsi="Times New Roman" w:cs="Times New Roman"/>
          <w:sz w:val="24"/>
          <w:szCs w:val="24"/>
        </w:rPr>
        <w:t xml:space="preserve">. These features </w:t>
      </w:r>
      <w:r w:rsidR="00197BB6" w:rsidRPr="001278ED">
        <w:rPr>
          <w:rFonts w:ascii="Times New Roman" w:eastAsia="Times New Roman" w:hAnsi="Times New Roman" w:cs="Times New Roman"/>
          <w:sz w:val="24"/>
          <w:szCs w:val="24"/>
        </w:rPr>
        <w:t>allow</w:t>
      </w:r>
      <w:r w:rsidRPr="001278ED">
        <w:rPr>
          <w:rFonts w:ascii="Times New Roman" w:eastAsia="Times New Roman" w:hAnsi="Times New Roman" w:cs="Times New Roman"/>
          <w:sz w:val="24"/>
          <w:szCs w:val="24"/>
        </w:rPr>
        <w:t xml:space="preserve"> managers and shareholders to pursue risky policies (Adams &amp; Mehran, 2012).In addition to facing operational challenges, risk management in banks is expected to improve the measurement and management of individual risks such as market</w:t>
      </w:r>
      <w:r w:rsidR="00197BB6" w:rsidRPr="001278ED">
        <w:rPr>
          <w:rFonts w:ascii="Times New Roman" w:eastAsia="Times New Roman" w:hAnsi="Times New Roman" w:cs="Times New Roman"/>
          <w:sz w:val="24"/>
          <w:szCs w:val="24"/>
        </w:rPr>
        <w:t>, liquidity, and credit risks</w:t>
      </w:r>
      <w:r w:rsidRPr="001278ED">
        <w:rPr>
          <w:rFonts w:ascii="Times New Roman" w:eastAsia="Times New Roman" w:hAnsi="Times New Roman" w:cs="Times New Roman"/>
          <w:sz w:val="24"/>
          <w:szCs w:val="24"/>
        </w:rPr>
        <w:t xml:space="preserve"> (</w:t>
      </w:r>
      <w:r w:rsidRPr="001278ED">
        <w:rPr>
          <w:rFonts w:ascii="Times New Roman" w:eastAsia="Times New Roman" w:hAnsi="Times New Roman" w:cs="Times New Roman"/>
          <w:color w:val="000000"/>
          <w:sz w:val="24"/>
          <w:szCs w:val="24"/>
        </w:rPr>
        <w:t xml:space="preserve">Aebi et al., 2012). </w:t>
      </w:r>
      <w:r w:rsidRPr="001278ED">
        <w:rPr>
          <w:rFonts w:ascii="Times New Roman" w:eastAsia="Times New Roman" w:hAnsi="Times New Roman" w:cs="Times New Roman"/>
          <w:sz w:val="24"/>
          <w:szCs w:val="24"/>
        </w:rPr>
        <w:t>These risks affect the bank</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s value, but their aggregation does not provide an accurate picture of the bank</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s total risk</w:t>
      </w:r>
      <w:r w:rsidR="00197BB6" w:rsidRPr="001278ED">
        <w:rPr>
          <w:rFonts w:ascii="Times New Roman" w:eastAsia="Times New Roman" w:hAnsi="Times New Roman" w:cs="Times New Roman"/>
          <w:sz w:val="24"/>
          <w:szCs w:val="24"/>
        </w:rPr>
        <w:t>. R</w:t>
      </w:r>
      <w:r w:rsidRPr="001278ED">
        <w:rPr>
          <w:rFonts w:ascii="Times New Roman" w:eastAsia="Times New Roman" w:hAnsi="Times New Roman" w:cs="Times New Roman"/>
          <w:sz w:val="24"/>
          <w:szCs w:val="24"/>
        </w:rPr>
        <w:t>ather, incorporating notions of the correlations and covariance of the various risks provides a better estimate of the total (</w:t>
      </w:r>
      <w:r w:rsidRPr="001278ED">
        <w:rPr>
          <w:rFonts w:ascii="Times New Roman" w:eastAsia="Times New Roman" w:hAnsi="Times New Roman" w:cs="Times New Roman"/>
          <w:color w:val="000000"/>
          <w:sz w:val="24"/>
          <w:szCs w:val="24"/>
        </w:rPr>
        <w:t>Mikes, 2008)</w:t>
      </w:r>
      <w:r w:rsidRPr="001278ED">
        <w:rPr>
          <w:rFonts w:ascii="Times New Roman" w:eastAsia="Times New Roman" w:hAnsi="Times New Roman" w:cs="Times New Roman"/>
          <w:color w:val="000000" w:themeColor="text1"/>
          <w:sz w:val="24"/>
          <w:szCs w:val="24"/>
        </w:rPr>
        <w:t>.</w:t>
      </w:r>
      <w:r w:rsidRPr="001278ED">
        <w:rPr>
          <w:rFonts w:ascii="Times New Roman" w:eastAsia="Times New Roman" w:hAnsi="Times New Roman" w:cs="Times New Roman"/>
          <w:sz w:val="24"/>
          <w:szCs w:val="24"/>
        </w:rPr>
        <w:t xml:space="preserve"> Since</w:t>
      </w:r>
      <w:r w:rsidRPr="00744EA4">
        <w:rPr>
          <w:rFonts w:ascii="Times New Roman" w:eastAsia="Times New Roman" w:hAnsi="Times New Roman" w:cs="Times New Roman"/>
          <w:sz w:val="24"/>
          <w:szCs w:val="24"/>
        </w:rPr>
        <w:t xml:space="preserve"> the 1990s, the literature on risk management has increasingly taken an integrated view of risk management, and the concept of ERM has emerged. Regulators have also linked the success of risk-management functions with an enterprise-wide view (ERM), rather than taking a narrow view of a particular business line (BIS, 2010). The general perception is that ERM provides senior management with a clear and comprehensive view of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 xml:space="preserve">ational risk, which enables management to take decisions based on a broad risk view rather than a single approach to risk-taking </w:t>
      </w:r>
      <w:r w:rsidRPr="00744EA4">
        <w:rPr>
          <w:rFonts w:ascii="Calibri" w:eastAsia="Times New Roman" w:hAnsi="Calibri" w:cs="Times New Roman"/>
          <w:sz w:val="24"/>
          <w:szCs w:val="24"/>
        </w:rPr>
        <w:t>(</w:t>
      </w:r>
      <w:r w:rsidRPr="00744EA4">
        <w:rPr>
          <w:rFonts w:ascii="Times New Roman" w:eastAsia="Times New Roman" w:hAnsi="Times New Roman" w:cs="Times New Roman"/>
          <w:sz w:val="24"/>
          <w:szCs w:val="24"/>
        </w:rPr>
        <w:t>Sabato, 2010</w:t>
      </w:r>
      <w:r w:rsidRPr="00744EA4">
        <w:rPr>
          <w:rFonts w:ascii="Calibri" w:eastAsia="Times New Roman" w:hAnsi="Calibri" w:cs="Times New Roman"/>
          <w:sz w:val="24"/>
          <w:szCs w:val="24"/>
        </w:rPr>
        <w:t>)</w:t>
      </w:r>
      <w:r w:rsidRPr="00744EA4">
        <w:rPr>
          <w:rFonts w:ascii="Times New Roman" w:eastAsia="Times New Roman" w:hAnsi="Times New Roman" w:cs="Times New Roman"/>
          <w:sz w:val="24"/>
          <w:szCs w:val="24"/>
        </w:rPr>
        <w:t>.</w:t>
      </w:r>
    </w:p>
    <w:p w14:paraId="53C7F64B" w14:textId="18077B37" w:rsidR="00744EA4" w:rsidRPr="00744EA4" w:rsidRDefault="00744EA4" w:rsidP="00744EA4">
      <w:pPr>
        <w:spacing w:line="480" w:lineRule="auto"/>
        <w:jc w:val="both"/>
        <w:rPr>
          <w:rFonts w:ascii="Times New Roman" w:eastAsia="Times New Roman" w:hAnsi="Times New Roman" w:cs="Times New Roman"/>
          <w:sz w:val="24"/>
          <w:szCs w:val="24"/>
        </w:rPr>
      </w:pPr>
      <w:r w:rsidRPr="001278ED">
        <w:rPr>
          <w:rFonts w:ascii="Times New Roman" w:eastAsia="Times New Roman" w:hAnsi="Times New Roman" w:cs="Times New Roman"/>
          <w:sz w:val="24"/>
          <w:szCs w:val="24"/>
        </w:rPr>
        <w:t xml:space="preserve">Recent empirical research in financial institutions has treated the presence of a CRO as a criterion for ERM implementation and </w:t>
      </w:r>
      <w:r w:rsidR="00197BB6" w:rsidRPr="001278ED">
        <w:rPr>
          <w:rFonts w:ascii="Times New Roman" w:eastAsia="Times New Roman" w:hAnsi="Times New Roman" w:cs="Times New Roman"/>
          <w:sz w:val="24"/>
          <w:szCs w:val="24"/>
        </w:rPr>
        <w:t>provides</w:t>
      </w:r>
      <w:r w:rsidRPr="001278ED">
        <w:rPr>
          <w:rFonts w:ascii="Times New Roman" w:eastAsia="Times New Roman" w:hAnsi="Times New Roman" w:cs="Times New Roman"/>
          <w:sz w:val="24"/>
          <w:szCs w:val="24"/>
        </w:rPr>
        <w:t xml:space="preserve"> evidence that the CRO plays an essential role in shaping risk-management practices, enterprise risk</w:t>
      </w:r>
      <w:r w:rsidR="00567377">
        <w:rPr>
          <w:rFonts w:ascii="Times New Roman" w:eastAsia="Times New Roman" w:hAnsi="Times New Roman" w:cs="Times New Roman"/>
          <w:sz w:val="24"/>
          <w:szCs w:val="24"/>
        </w:rPr>
        <w:t xml:space="preserve"> </w:t>
      </w:r>
      <w:r w:rsidRPr="001278ED">
        <w:rPr>
          <w:rFonts w:ascii="Times New Roman" w:eastAsia="Times New Roman" w:hAnsi="Times New Roman" w:cs="Times New Roman"/>
          <w:sz w:val="24"/>
          <w:szCs w:val="24"/>
        </w:rPr>
        <w:t xml:space="preserve">management, and bank performance </w:t>
      </w:r>
      <w:r w:rsidRPr="001278ED">
        <w:rPr>
          <w:rFonts w:ascii="Times New Roman" w:eastAsia="DengXian" w:hAnsi="Times New Roman" w:cs="Times New Roman"/>
          <w:sz w:val="24"/>
          <w:szCs w:val="24"/>
        </w:rPr>
        <w:t>(Liebenberg &amp; Hoyt, 2003; Beasley et al., 2005; Beasley &amp; Warr, 2007; Pagach &amp; Warr, 2011; Aebi et al., 2012; Lingel &amp; Sheedy, 2012; Ellul &amp; Yeramilli, 2013; Balasubramanyan et al., 2019)</w:t>
      </w:r>
      <w:r w:rsidRPr="001278ED">
        <w:rPr>
          <w:rFonts w:ascii="Times New Roman" w:eastAsia="Times New Roman" w:hAnsi="Times New Roman" w:cs="Times New Roman"/>
          <w:sz w:val="24"/>
          <w:szCs w:val="24"/>
        </w:rPr>
        <w:t>. For example, Liebenberg and Hoyt (2003) found that firms with high financial leverage were most likely to</w:t>
      </w:r>
      <w:r w:rsidRPr="00744EA4">
        <w:rPr>
          <w:rFonts w:ascii="Times New Roman" w:eastAsia="Times New Roman" w:hAnsi="Times New Roman" w:cs="Times New Roman"/>
          <w:sz w:val="24"/>
          <w:szCs w:val="24"/>
        </w:rPr>
        <w:t xml:space="preserve"> appoint CROs. They further argue that CROs act as a mechanism to reduce information asymmetry in a firm</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risk profile. Beasley et al. (2005) found a positive relationship between ERM implementation and the presence of a CRO. Their results also show that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ations have less developed ERM processes than international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ations.</w:t>
      </w:r>
    </w:p>
    <w:p w14:paraId="39408A11" w14:textId="38118FB7"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Although effective risk management requires strategic risk-taking by managers</w:t>
      </w:r>
      <w:r w:rsidR="00197BB6" w:rsidRPr="00880312">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managers also take risks to improve their competitive advantage and performance (</w:t>
      </w:r>
      <w:r w:rsidRPr="00744EA4">
        <w:rPr>
          <w:rFonts w:ascii="Times New Roman" w:eastAsia="DengXian" w:hAnsi="Times New Roman" w:cs="Times New Roman"/>
          <w:sz w:val="24"/>
          <w:szCs w:val="24"/>
        </w:rPr>
        <w:t>Sheedy &amp; Lubojanski, 2017; Adams &amp; Ragunathan, 2017)</w:t>
      </w:r>
      <w:r w:rsidRPr="00744EA4">
        <w:rPr>
          <w:rFonts w:ascii="Times New Roman" w:eastAsia="Times New Roman" w:hAnsi="Times New Roman" w:cs="Times New Roman"/>
          <w:sz w:val="24"/>
          <w:szCs w:val="24"/>
        </w:rPr>
        <w:t xml:space="preserve">. </w:t>
      </w:r>
      <w:r w:rsidRPr="001278ED">
        <w:rPr>
          <w:rFonts w:ascii="Times New Roman" w:eastAsia="Times New Roman" w:hAnsi="Times New Roman" w:cs="Times New Roman"/>
          <w:sz w:val="24"/>
          <w:szCs w:val="24"/>
        </w:rPr>
        <w:t>This rationale raises a concern, especially regarding the appointment of a CRO – in effect, whether the presence of a CRO leads to risk minimi</w:t>
      </w:r>
      <w:r w:rsidR="00197BB6" w:rsidRPr="001278ED">
        <w:rPr>
          <w:rFonts w:ascii="Times New Roman" w:eastAsia="Times New Roman" w:hAnsi="Times New Roman" w:cs="Times New Roman"/>
          <w:sz w:val="24"/>
          <w:szCs w:val="24"/>
        </w:rPr>
        <w:t>z</w:t>
      </w:r>
      <w:r w:rsidRPr="001278ED">
        <w:rPr>
          <w:rFonts w:ascii="Times New Roman" w:eastAsia="Times New Roman" w:hAnsi="Times New Roman" w:cs="Times New Roman"/>
          <w:sz w:val="24"/>
          <w:szCs w:val="24"/>
        </w:rPr>
        <w:t xml:space="preserve">ation. </w:t>
      </w:r>
      <w:r w:rsidRPr="001278ED">
        <w:rPr>
          <w:rFonts w:ascii="Times New Roman" w:eastAsia="DengXian" w:hAnsi="Times New Roman" w:cs="Times New Roman"/>
          <w:sz w:val="24"/>
          <w:szCs w:val="24"/>
        </w:rPr>
        <w:t>Pernell et al. (2017)</w:t>
      </w:r>
      <w:r w:rsidRPr="001278ED">
        <w:rPr>
          <w:rFonts w:ascii="Times New Roman" w:eastAsia="Times New Roman" w:hAnsi="Times New Roman" w:cs="Times New Roman"/>
          <w:sz w:val="24"/>
          <w:szCs w:val="24"/>
        </w:rPr>
        <w:t xml:space="preserve"> show that the presence of CROs in bank holdings companies leads to greater risk-taking. They argue that a CRO, arriving with a plan to maximi</w:t>
      </w:r>
      <w:r w:rsidR="00197BB6" w:rsidRPr="001278ED">
        <w:rPr>
          <w:rFonts w:ascii="Times New Roman" w:eastAsia="Times New Roman" w:hAnsi="Times New Roman" w:cs="Times New Roman"/>
          <w:sz w:val="24"/>
          <w:szCs w:val="24"/>
        </w:rPr>
        <w:t>z</w:t>
      </w:r>
      <w:r w:rsidRPr="001278ED">
        <w:rPr>
          <w:rFonts w:ascii="Times New Roman" w:eastAsia="Times New Roman" w:hAnsi="Times New Roman" w:cs="Times New Roman"/>
          <w:sz w:val="24"/>
          <w:szCs w:val="24"/>
        </w:rPr>
        <w:t>e risk-adjusted returns, encourages the use of new derivatives.</w:t>
      </w:r>
    </w:p>
    <w:p w14:paraId="7BFD7A73" w14:textId="60D3CB2F" w:rsidR="00744EA4" w:rsidRPr="00744EA4" w:rsidRDefault="00744EA4" w:rsidP="00744EA4">
      <w:pPr>
        <w:spacing w:line="480" w:lineRule="auto"/>
        <w:jc w:val="both"/>
        <w:rPr>
          <w:rFonts w:ascii="Times New Roman" w:eastAsia="Times New Roman" w:hAnsi="Times New Roman" w:cs="Times New Roman"/>
          <w:sz w:val="24"/>
          <w:szCs w:val="24"/>
        </w:rPr>
      </w:pPr>
      <w:r w:rsidRPr="001278ED">
        <w:rPr>
          <w:rFonts w:ascii="Times New Roman" w:eastAsia="Times New Roman" w:hAnsi="Times New Roman" w:cs="Times New Roman"/>
          <w:sz w:val="24"/>
          <w:szCs w:val="24"/>
        </w:rPr>
        <w:t>This study builds on the ERM literature that acknowledges CROs</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 xml:space="preserve"> presence as a criterion for ERM implementation in an institution. It explores the gender question, using </w:t>
      </w:r>
      <w:r w:rsidR="00197BB6" w:rsidRPr="001278ED">
        <w:rPr>
          <w:rFonts w:ascii="Times New Roman" w:eastAsia="Times New Roman" w:hAnsi="Times New Roman" w:cs="Times New Roman"/>
          <w:sz w:val="24"/>
          <w:szCs w:val="24"/>
        </w:rPr>
        <w:t>the '</w:t>
      </w:r>
      <w:r w:rsidRPr="001278ED">
        <w:rPr>
          <w:rFonts w:ascii="Times New Roman" w:eastAsia="Times New Roman" w:hAnsi="Times New Roman" w:cs="Times New Roman"/>
          <w:sz w:val="24"/>
          <w:szCs w:val="24"/>
        </w:rPr>
        <w:t>upper echelons theory</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 xml:space="preserve"> (UET; Hambrick, 2007) as a theoretical foundation to </w:t>
      </w:r>
      <w:r w:rsidR="00197BB6" w:rsidRPr="001278ED">
        <w:rPr>
          <w:rFonts w:ascii="Times New Roman" w:eastAsia="Times New Roman" w:hAnsi="Times New Roman" w:cs="Times New Roman"/>
          <w:sz w:val="24"/>
          <w:szCs w:val="24"/>
        </w:rPr>
        <w:t>investigat</w:t>
      </w:r>
      <w:r w:rsidRPr="001278ED">
        <w:rPr>
          <w:rFonts w:ascii="Times New Roman" w:eastAsia="Times New Roman" w:hAnsi="Times New Roman" w:cs="Times New Roman"/>
          <w:sz w:val="24"/>
          <w:szCs w:val="24"/>
        </w:rPr>
        <w:t>e whether the presence of a CRO reduces risk-taking in banks. UET theory suggests that the demographic traits of managers are valid – albeit incomplete – proxies for the managers</w:t>
      </w:r>
      <w:r w:rsidR="00197BB6" w:rsidRPr="001278ED">
        <w:rPr>
          <w:rFonts w:ascii="Times New Roman" w:eastAsia="Times New Roman" w:hAnsi="Times New Roman" w:cs="Times New Roman"/>
          <w:sz w:val="24"/>
          <w:szCs w:val="24"/>
        </w:rPr>
        <w:t>'</w:t>
      </w:r>
      <w:r w:rsidRPr="001278ED">
        <w:rPr>
          <w:rFonts w:ascii="Times New Roman" w:eastAsia="Times New Roman" w:hAnsi="Times New Roman" w:cs="Times New Roman"/>
          <w:sz w:val="24"/>
          <w:szCs w:val="24"/>
        </w:rPr>
        <w:t xml:space="preserve"> cognitive frameworks. There is a general perception that women are less inclined than their male counterparts towards risk-</w:t>
      </w:r>
      <w:r w:rsidRPr="00744EA4">
        <w:rPr>
          <w:rFonts w:ascii="Times New Roman" w:eastAsia="Times New Roman" w:hAnsi="Times New Roman" w:cs="Times New Roman"/>
          <w:sz w:val="24"/>
          <w:szCs w:val="24"/>
        </w:rPr>
        <w:t xml:space="preserve">taking </w:t>
      </w:r>
      <w:r w:rsidRPr="00744EA4">
        <w:rPr>
          <w:rFonts w:ascii="Times New Roman" w:eastAsia="DengXian" w:hAnsi="Times New Roman" w:cs="Times New Roman"/>
          <w:sz w:val="24"/>
          <w:szCs w:val="24"/>
        </w:rPr>
        <w:t>(Croson &amp; Gneezy, 2009; Levi et al., 2014; Francis et al., 2015; Faccio et al., 2016b; Carter et al., 2017; Li &amp; Zeng, 2019)</w:t>
      </w:r>
      <w:r w:rsidRPr="00744EA4">
        <w:rPr>
          <w:rFonts w:ascii="Times New Roman" w:eastAsia="Times New Roman" w:hAnsi="Times New Roman" w:cs="Times New Roman"/>
          <w:sz w:val="24"/>
          <w:szCs w:val="24"/>
        </w:rPr>
        <w:t xml:space="preserve">. For example, </w:t>
      </w:r>
      <w:r w:rsidRPr="00744EA4">
        <w:rPr>
          <w:rFonts w:ascii="Times New Roman" w:eastAsia="DengXian" w:hAnsi="Times New Roman" w:cs="Times New Roman"/>
          <w:sz w:val="24"/>
          <w:szCs w:val="24"/>
        </w:rPr>
        <w:t xml:space="preserve">Beck et al. (2013) </w:t>
      </w:r>
      <w:r w:rsidRPr="00744EA4">
        <w:rPr>
          <w:rFonts w:ascii="Times New Roman" w:eastAsia="Times New Roman" w:hAnsi="Times New Roman" w:cs="Times New Roman"/>
          <w:sz w:val="24"/>
          <w:szCs w:val="24"/>
        </w:rPr>
        <w:t xml:space="preserve">found that female loan officers made better lending decisions. </w:t>
      </w:r>
      <w:r w:rsidRPr="00744EA4">
        <w:rPr>
          <w:rFonts w:ascii="Times New Roman" w:eastAsia="DengXian" w:hAnsi="Times New Roman" w:cs="Times New Roman"/>
          <w:sz w:val="24"/>
          <w:szCs w:val="24"/>
        </w:rPr>
        <w:t>Bellucci et al. (2010)</w:t>
      </w:r>
      <w:r w:rsidRPr="00744EA4">
        <w:rPr>
          <w:rFonts w:ascii="Times New Roman" w:eastAsia="Times New Roman" w:hAnsi="Times New Roman" w:cs="Times New Roman"/>
          <w:sz w:val="24"/>
          <w:szCs w:val="24"/>
        </w:rPr>
        <w:t xml:space="preserve"> showed that female loan officers were more risk-averse, following more restricted credit policies regarding new and unestablished borrowers. </w:t>
      </w:r>
      <w:r w:rsidRPr="00744EA4">
        <w:rPr>
          <w:rFonts w:ascii="Times New Roman" w:eastAsia="DengXian" w:hAnsi="Times New Roman" w:cs="Times New Roman"/>
          <w:sz w:val="24"/>
          <w:szCs w:val="24"/>
        </w:rPr>
        <w:t>Agarwal and Wang (2009)</w:t>
      </w:r>
      <w:r w:rsidRPr="00744EA4">
        <w:rPr>
          <w:rFonts w:ascii="Times New Roman" w:eastAsia="Times New Roman" w:hAnsi="Times New Roman" w:cs="Times New Roman"/>
          <w:sz w:val="24"/>
          <w:szCs w:val="24"/>
        </w:rPr>
        <w:t xml:space="preserve"> and Beck et al. (2013) found that the default rate on loans given by female loan officers was lower than that of loans offered by male loan officers. </w:t>
      </w:r>
      <w:r w:rsidRPr="00744EA4">
        <w:rPr>
          <w:rFonts w:ascii="Times New Roman" w:eastAsia="DengXian" w:hAnsi="Times New Roman" w:cs="Times New Roman"/>
          <w:sz w:val="24"/>
          <w:szCs w:val="24"/>
        </w:rPr>
        <w:t>Almazan and Suarez (2003)</w:t>
      </w:r>
      <w:r w:rsidRPr="00744EA4">
        <w:rPr>
          <w:rFonts w:ascii="Times New Roman" w:eastAsia="Times New Roman" w:hAnsi="Times New Roman" w:cs="Times New Roman"/>
          <w:sz w:val="24"/>
          <w:szCs w:val="24"/>
        </w:rPr>
        <w:t xml:space="preserve"> suggest that the presence of female executives leads to lower risk-taking in banks.</w:t>
      </w:r>
    </w:p>
    <w:p w14:paraId="464F8A88" w14:textId="75A65E2C"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However, stud</w:t>
      </w:r>
      <w:r w:rsidR="00197BB6" w:rsidRPr="00880312">
        <w:rPr>
          <w:rFonts w:ascii="Times New Roman" w:eastAsia="Times New Roman" w:hAnsi="Times New Roman" w:cs="Times New Roman"/>
          <w:sz w:val="24"/>
          <w:szCs w:val="24"/>
        </w:rPr>
        <w:t>ies</w:t>
      </w:r>
      <w:r w:rsidRPr="00744EA4">
        <w:rPr>
          <w:rFonts w:ascii="Times New Roman" w:eastAsia="Times New Roman" w:hAnsi="Times New Roman" w:cs="Times New Roman"/>
          <w:sz w:val="24"/>
          <w:szCs w:val="24"/>
        </w:rPr>
        <w:t xml:space="preserve"> </w:t>
      </w:r>
      <w:r w:rsidR="00197BB6" w:rsidRPr="00880312">
        <w:rPr>
          <w:rFonts w:ascii="Times New Roman" w:eastAsia="Times New Roman" w:hAnsi="Times New Roman" w:cs="Times New Roman"/>
          <w:sz w:val="24"/>
          <w:szCs w:val="24"/>
        </w:rPr>
        <w:t>exploring</w:t>
      </w:r>
      <w:r w:rsidRPr="00744EA4">
        <w:rPr>
          <w:rFonts w:ascii="Times New Roman" w:eastAsia="Times New Roman" w:hAnsi="Times New Roman" w:cs="Times New Roman"/>
          <w:sz w:val="24"/>
          <w:szCs w:val="24"/>
        </w:rPr>
        <w:t xml:space="preserve"> the relationship between gender and desirable risk</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management are mixed. For example, </w:t>
      </w:r>
      <w:r w:rsidRPr="00744EA4">
        <w:rPr>
          <w:rFonts w:ascii="Times New Roman" w:eastAsia="DengXian" w:hAnsi="Times New Roman" w:cs="Times New Roman"/>
          <w:sz w:val="24"/>
          <w:szCs w:val="24"/>
        </w:rPr>
        <w:t>Sheedy and Lubojanski (2017)</w:t>
      </w:r>
      <w:r w:rsidRPr="00744EA4">
        <w:rPr>
          <w:rFonts w:ascii="Times New Roman" w:eastAsia="Times New Roman" w:hAnsi="Times New Roman" w:cs="Times New Roman"/>
          <w:sz w:val="24"/>
          <w:szCs w:val="24"/>
        </w:rPr>
        <w:t xml:space="preserve"> found that the association between female presence and desirable risk-management behaviour disappeared when risk</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tolerance was controlled for. </w:t>
      </w:r>
      <w:r w:rsidRPr="00744EA4">
        <w:rPr>
          <w:rFonts w:ascii="Times New Roman" w:eastAsia="DengXian" w:hAnsi="Times New Roman" w:cs="Times New Roman"/>
          <w:sz w:val="24"/>
          <w:szCs w:val="24"/>
        </w:rPr>
        <w:t>Iqbal et al. (2006)</w:t>
      </w:r>
      <w:r w:rsidRPr="00744EA4">
        <w:rPr>
          <w:rFonts w:ascii="Times New Roman" w:eastAsia="Times New Roman" w:hAnsi="Times New Roman" w:cs="Times New Roman"/>
          <w:sz w:val="24"/>
          <w:szCs w:val="24"/>
        </w:rPr>
        <w:t xml:space="preserve"> found that male executives were more risk-averse than female executives in their responses to stock options awards. </w:t>
      </w:r>
      <w:r w:rsidRPr="00744EA4">
        <w:rPr>
          <w:rFonts w:ascii="Times New Roman" w:eastAsia="DengXian" w:hAnsi="Times New Roman" w:cs="Times New Roman"/>
          <w:sz w:val="24"/>
          <w:szCs w:val="24"/>
        </w:rPr>
        <w:t>Bliss and Potter (2002)</w:t>
      </w:r>
      <w:r w:rsidRPr="00744EA4">
        <w:rPr>
          <w:rFonts w:ascii="Times New Roman" w:eastAsia="Times New Roman" w:hAnsi="Times New Roman" w:cs="Times New Roman"/>
          <w:color w:val="000000"/>
          <w:sz w:val="24"/>
          <w:szCs w:val="24"/>
        </w:rPr>
        <w:t xml:space="preserve"> </w:t>
      </w:r>
      <w:r w:rsidRPr="00744EA4">
        <w:rPr>
          <w:rFonts w:ascii="Times New Roman" w:eastAsia="Times New Roman" w:hAnsi="Times New Roman" w:cs="Times New Roman"/>
          <w:sz w:val="24"/>
          <w:szCs w:val="24"/>
        </w:rPr>
        <w:t xml:space="preserve">found that male and female mutual-fund managers engaged in similar risk-taking behaviours. Similarly, </w:t>
      </w:r>
      <w:r w:rsidRPr="00744EA4">
        <w:rPr>
          <w:rFonts w:ascii="Times New Roman" w:eastAsia="DengXian" w:hAnsi="Times New Roman" w:cs="Times New Roman"/>
          <w:sz w:val="24"/>
          <w:szCs w:val="24"/>
        </w:rPr>
        <w:t>Atkinson et al. (2003)</w:t>
      </w:r>
      <w:r w:rsidRPr="00744EA4">
        <w:rPr>
          <w:rFonts w:ascii="Times New Roman" w:eastAsia="Times New Roman" w:hAnsi="Times New Roman" w:cs="Times New Roman"/>
          <w:sz w:val="24"/>
          <w:szCs w:val="24"/>
        </w:rPr>
        <w:t xml:space="preserve"> found no significant differences between male and female fixed-income mutual-fund managers in performance or risk-taking.</w:t>
      </w:r>
    </w:p>
    <w:p w14:paraId="74826DE0" w14:textId="0A228AC6" w:rsidR="00744EA4" w:rsidRPr="00744EA4" w:rsidRDefault="00744EA4" w:rsidP="00744EA4">
      <w:pPr>
        <w:spacing w:line="480" w:lineRule="auto"/>
        <w:jc w:val="both"/>
        <w:rPr>
          <w:rFonts w:ascii="Times New Roman" w:eastAsia="Times New Roman" w:hAnsi="Times New Roman" w:cs="Times New Roman"/>
          <w:sz w:val="24"/>
          <w:szCs w:val="24"/>
        </w:rPr>
      </w:pPr>
      <w:bookmarkStart w:id="31" w:name="_Hlk95232808"/>
      <w:r w:rsidRPr="00744EA4">
        <w:rPr>
          <w:rFonts w:ascii="Times New Roman" w:eastAsia="Times New Roman" w:hAnsi="Times New Roman" w:cs="Times New Roman"/>
          <w:sz w:val="24"/>
          <w:szCs w:val="24"/>
        </w:rPr>
        <w:t xml:space="preserve">Despite the mixed empirical evidence, there are several reasons why women in senior leadership are not indistinguishable from their male counterparts. The expectation that the presence of female executives will necessarily lead to better risk-taking decisions is based primarily on </w:t>
      </w:r>
      <w:r w:rsidR="00567377">
        <w:rPr>
          <w:rFonts w:ascii="Times New Roman" w:eastAsia="Times New Roman" w:hAnsi="Times New Roman" w:cs="Times New Roman"/>
          <w:sz w:val="24"/>
          <w:szCs w:val="24"/>
        </w:rPr>
        <w:t>the</w:t>
      </w:r>
      <w:r w:rsidRPr="00744EA4">
        <w:rPr>
          <w:rFonts w:ascii="Times New Roman" w:eastAsia="Times New Roman" w:hAnsi="Times New Roman" w:cs="Times New Roman"/>
          <w:sz w:val="24"/>
          <w:szCs w:val="24"/>
        </w:rPr>
        <w:t xml:space="preserve"> assumption that these women will conform to traditional female stereotypes (</w:t>
      </w:r>
      <w:r w:rsidRPr="00744EA4">
        <w:rPr>
          <w:rFonts w:ascii="Times New Roman" w:eastAsia="DengXian" w:hAnsi="Times New Roman" w:cs="Times New Roman"/>
          <w:sz w:val="24"/>
          <w:szCs w:val="24"/>
        </w:rPr>
        <w:t>Sheedy &amp; Lubojanski, 2017)</w:t>
      </w:r>
      <w:r w:rsidRPr="00744EA4">
        <w:rPr>
          <w:rFonts w:ascii="Times New Roman" w:eastAsia="Times New Roman" w:hAnsi="Times New Roman" w:cs="Times New Roman"/>
          <w:sz w:val="24"/>
          <w:szCs w:val="24"/>
        </w:rPr>
        <w:t>. However, to survive in a competitive environment and ensure their own career prospects, women pursuing senior positions tend to adopt similar behaviours to men, which causes these gender differences to disappear (</w:t>
      </w:r>
      <w:r w:rsidRPr="00744EA4">
        <w:rPr>
          <w:rFonts w:ascii="Times New Roman" w:eastAsia="DengXian" w:hAnsi="Times New Roman" w:cs="Times New Roman"/>
          <w:sz w:val="24"/>
          <w:szCs w:val="24"/>
        </w:rPr>
        <w:t>Niederle et al., 2008; Adams &amp; Mehran, 2012)</w:t>
      </w:r>
      <w:r w:rsidRPr="00744EA4">
        <w:rPr>
          <w:rFonts w:ascii="Times New Roman" w:eastAsia="Times New Roman" w:hAnsi="Times New Roman" w:cs="Times New Roman"/>
          <w:sz w:val="24"/>
          <w:szCs w:val="24"/>
        </w:rPr>
        <w:t xml:space="preserve">. Thus, despite the contradictory evidence surrounding the risk propensity of CROs and female banking executives, we conjecture that female CROs have a significant positive relationship with </w:t>
      </w:r>
      <w:r w:rsidR="00567377">
        <w:rPr>
          <w:rFonts w:ascii="Times New Roman" w:eastAsia="Times New Roman" w:hAnsi="Times New Roman" w:cs="Times New Roman"/>
          <w:sz w:val="24"/>
          <w:szCs w:val="24"/>
        </w:rPr>
        <w:t>bank risk</w:t>
      </w:r>
      <w:r w:rsidRPr="00744EA4">
        <w:rPr>
          <w:rFonts w:ascii="Times New Roman" w:eastAsia="Times New Roman" w:hAnsi="Times New Roman" w:cs="Times New Roman"/>
          <w:sz w:val="24"/>
          <w:szCs w:val="24"/>
        </w:rPr>
        <w:t>. Hence, we propose the following hypothesis:</w:t>
      </w:r>
    </w:p>
    <w:p w14:paraId="4ABE2ED9" w14:textId="2CBB3A0D" w:rsidR="00B603C3" w:rsidRDefault="00744EA4" w:rsidP="00744EA4">
      <w:pPr>
        <w:spacing w:line="480" w:lineRule="auto"/>
        <w:jc w:val="both"/>
        <w:rPr>
          <w:rFonts w:ascii="Times New Roman" w:eastAsia="Times New Roman" w:hAnsi="Times New Roman" w:cs="Times New Roman"/>
          <w:i/>
          <w:iCs/>
          <w:sz w:val="24"/>
          <w:szCs w:val="24"/>
        </w:rPr>
      </w:pPr>
      <w:r w:rsidRPr="001278ED">
        <w:rPr>
          <w:rFonts w:ascii="Times New Roman" w:eastAsia="Times New Roman" w:hAnsi="Times New Roman" w:cs="Times New Roman"/>
          <w:b/>
          <w:bCs/>
          <w:i/>
          <w:iCs/>
          <w:sz w:val="24"/>
          <w:szCs w:val="24"/>
        </w:rPr>
        <w:t>H1</w:t>
      </w:r>
      <w:r w:rsidRPr="001278ED">
        <w:rPr>
          <w:rFonts w:ascii="Times New Roman" w:eastAsia="Times New Roman" w:hAnsi="Times New Roman" w:cs="Times New Roman"/>
          <w:i/>
          <w:iCs/>
          <w:sz w:val="24"/>
          <w:szCs w:val="24"/>
        </w:rPr>
        <w:t xml:space="preserve">: </w:t>
      </w:r>
      <w:r w:rsidR="00567377">
        <w:rPr>
          <w:rFonts w:ascii="Times New Roman" w:eastAsia="Times New Roman" w:hAnsi="Times New Roman" w:cs="Times New Roman"/>
          <w:i/>
          <w:iCs/>
          <w:sz w:val="24"/>
          <w:szCs w:val="24"/>
        </w:rPr>
        <w:t>Female CROs are</w:t>
      </w:r>
      <w:r w:rsidRPr="001278ED">
        <w:rPr>
          <w:rFonts w:ascii="Times New Roman" w:eastAsia="Times New Roman" w:hAnsi="Times New Roman" w:cs="Times New Roman"/>
          <w:i/>
          <w:iCs/>
          <w:sz w:val="24"/>
          <w:szCs w:val="24"/>
        </w:rPr>
        <w:t xml:space="preserve"> associated with greater risk in banks.</w:t>
      </w:r>
    </w:p>
    <w:p w14:paraId="7D181A10" w14:textId="1C119B60" w:rsidR="00744EA4" w:rsidRPr="003C7034" w:rsidRDefault="0037662B" w:rsidP="003C7034">
      <w:pPr>
        <w:pStyle w:val="Heading2"/>
        <w:rPr>
          <w:rFonts w:eastAsia="Times New Roman"/>
          <w:i/>
          <w:sz w:val="24"/>
          <w:szCs w:val="24"/>
        </w:rPr>
      </w:pPr>
      <w:bookmarkStart w:id="32" w:name="_Toc145616176"/>
      <w:bookmarkEnd w:id="31"/>
      <w:r w:rsidRPr="003C7034">
        <w:t>3.</w:t>
      </w:r>
      <w:r w:rsidR="00744EA4" w:rsidRPr="003C7034">
        <w:t>2.2. Supportive Environment for CROs</w:t>
      </w:r>
      <w:bookmarkEnd w:id="32"/>
    </w:p>
    <w:p w14:paraId="20ACD2D9" w14:textId="69FF3144"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To enhance and sustain their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ational performance,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ations take great care when appointing managers at the executive level (Barker et al., 2001). However, the working environment can affect their decisions, actions, and performance (Lieberson &amp; O</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Connor, 1972; Hannan &amp; Freeman, 1977). Thus, it is essential to recogni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e what restricts managers and what permits them to influence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ational outcomes. Hambrick and Finkelstein (1987) were the first to conceptuali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 xml:space="preserve">e </w:t>
      </w:r>
      <w:r w:rsidR="00567377">
        <w:rPr>
          <w:rFonts w:ascii="Times New Roman" w:eastAsia="Times New Roman" w:hAnsi="Times New Roman" w:cs="Times New Roman"/>
          <w:sz w:val="24"/>
          <w:szCs w:val="24"/>
        </w:rPr>
        <w:t xml:space="preserve">this as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managerial discretion</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Managerial decisions are affected at three levels: environment,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 and individual (Hambrick &amp; Finkelstein, 1987). The decisions of female managers are largely influenced by their relationships with executives and directors, who can either restrict or improve the managers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impacts on corporate decisions (</w:t>
      </w:r>
      <w:r w:rsidRPr="00744EA4">
        <w:rPr>
          <w:rFonts w:ascii="Times New Roman" w:eastAsia="Times New Roman" w:hAnsi="Times New Roman" w:cs="Times New Roman"/>
          <w:color w:val="000000"/>
          <w:sz w:val="24"/>
          <w:szCs w:val="24"/>
        </w:rPr>
        <w:t>Wangrow et al., 2015; Schopohl et al., 2021).</w:t>
      </w:r>
    </w:p>
    <w:p w14:paraId="774EB981" w14:textId="5C00B192" w:rsidR="003C703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Based on managerial discretion theory, we hypothesi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e regarding the environment in which female CROs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risk preferences can translate into </w:t>
      </w:r>
      <w:r w:rsidR="00567377">
        <w:rPr>
          <w:rFonts w:ascii="Times New Roman" w:eastAsia="Times New Roman" w:hAnsi="Times New Roman" w:cs="Times New Roman"/>
          <w:sz w:val="24"/>
          <w:szCs w:val="24"/>
        </w:rPr>
        <w:t xml:space="preserve">a </w:t>
      </w:r>
      <w:r w:rsidRPr="00744EA4">
        <w:rPr>
          <w:rFonts w:ascii="Times New Roman" w:eastAsia="Times New Roman" w:hAnsi="Times New Roman" w:cs="Times New Roman"/>
          <w:sz w:val="24"/>
          <w:szCs w:val="24"/>
        </w:rPr>
        <w:t xml:space="preserve">lower </w:t>
      </w:r>
      <w:r w:rsidR="00057265">
        <w:rPr>
          <w:rFonts w:ascii="Times New Roman" w:eastAsia="Times New Roman" w:hAnsi="Times New Roman" w:cs="Times New Roman"/>
          <w:sz w:val="24"/>
          <w:szCs w:val="24"/>
        </w:rPr>
        <w:t xml:space="preserve">level of bank </w:t>
      </w:r>
      <w:r w:rsidR="00B603C3" w:rsidRPr="00744EA4">
        <w:rPr>
          <w:rFonts w:ascii="Times New Roman" w:eastAsia="Times New Roman" w:hAnsi="Times New Roman" w:cs="Times New Roman"/>
          <w:sz w:val="24"/>
          <w:szCs w:val="24"/>
        </w:rPr>
        <w:t>risk</w:t>
      </w:r>
      <w:r w:rsidRPr="00744EA4">
        <w:rPr>
          <w:rFonts w:ascii="Times New Roman" w:eastAsia="Times New Roman" w:hAnsi="Times New Roman" w:cs="Times New Roman"/>
          <w:sz w:val="24"/>
          <w:szCs w:val="24"/>
        </w:rPr>
        <w:t xml:space="preserve">. We argue that female representation at the board and committee levels moderates the </w:t>
      </w:r>
      <w:r w:rsidR="0091261D">
        <w:rPr>
          <w:rFonts w:ascii="Times New Roman" w:eastAsia="Times New Roman" w:hAnsi="Times New Roman" w:cs="Times New Roman"/>
          <w:sz w:val="24"/>
          <w:szCs w:val="24"/>
        </w:rPr>
        <w:t xml:space="preserve">female CROs and bank risk </w:t>
      </w:r>
      <w:r w:rsidRPr="00744EA4">
        <w:rPr>
          <w:rFonts w:ascii="Times New Roman" w:eastAsia="Times New Roman" w:hAnsi="Times New Roman" w:cs="Times New Roman"/>
          <w:sz w:val="24"/>
          <w:szCs w:val="24"/>
        </w:rPr>
        <w:t>relationship</w:t>
      </w:r>
      <w:r w:rsidR="0091261D">
        <w:rPr>
          <w:rFonts w:ascii="Times New Roman" w:eastAsia="Times New Roman" w:hAnsi="Times New Roman" w:cs="Times New Roman"/>
          <w:sz w:val="24"/>
          <w:szCs w:val="24"/>
        </w:rPr>
        <w:t>.</w:t>
      </w:r>
    </w:p>
    <w:p w14:paraId="1F0C514D" w14:textId="4EECA3C3" w:rsidR="00744EA4" w:rsidRPr="003C7034" w:rsidRDefault="0037662B" w:rsidP="003C7034">
      <w:pPr>
        <w:pStyle w:val="Heading4"/>
        <w:rPr>
          <w:rFonts w:ascii="Times New Roman" w:eastAsia="Times New Roman" w:hAnsi="Times New Roman" w:cs="Times New Roman"/>
          <w:b/>
          <w:bCs/>
          <w:i w:val="0"/>
          <w:iCs w:val="0"/>
          <w:color w:val="000000" w:themeColor="text1"/>
          <w:sz w:val="24"/>
          <w:szCs w:val="24"/>
        </w:rPr>
      </w:pPr>
      <w:r w:rsidRPr="003C7034">
        <w:rPr>
          <w:rFonts w:ascii="Times New Roman" w:hAnsi="Times New Roman" w:cs="Times New Roman"/>
          <w:b/>
          <w:bCs/>
          <w:i w:val="0"/>
          <w:iCs w:val="0"/>
          <w:color w:val="000000" w:themeColor="text1"/>
          <w:sz w:val="24"/>
          <w:szCs w:val="24"/>
        </w:rPr>
        <w:t>3.</w:t>
      </w:r>
      <w:r w:rsidR="00744EA4" w:rsidRPr="003C7034">
        <w:rPr>
          <w:rFonts w:ascii="Times New Roman" w:hAnsi="Times New Roman" w:cs="Times New Roman"/>
          <w:b/>
          <w:bCs/>
          <w:i w:val="0"/>
          <w:iCs w:val="0"/>
          <w:color w:val="000000" w:themeColor="text1"/>
          <w:sz w:val="24"/>
          <w:szCs w:val="24"/>
        </w:rPr>
        <w:t>2.2.1. Moderating Role of Board Gender-Diversity</w:t>
      </w:r>
    </w:p>
    <w:p w14:paraId="3C0925C7" w14:textId="77777777" w:rsidR="003C7034" w:rsidRPr="003C7034" w:rsidRDefault="003C7034" w:rsidP="003C7034"/>
    <w:p w14:paraId="3697C978" w14:textId="4C02BC51" w:rsidR="00744EA4" w:rsidRPr="00744EA4" w:rsidRDefault="00057265"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risk management failure, </w:t>
      </w:r>
      <w:r w:rsidR="0056737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GFC</w:t>
      </w:r>
      <w:r w:rsidR="00744EA4" w:rsidRPr="00744EA4">
        <w:rPr>
          <w:rFonts w:ascii="Times New Roman" w:eastAsia="Times New Roman" w:hAnsi="Times New Roman" w:cs="Times New Roman"/>
          <w:sz w:val="24"/>
          <w:szCs w:val="24"/>
        </w:rPr>
        <w:t xml:space="preserve"> of 2007–200</w:t>
      </w:r>
      <w:r>
        <w:rPr>
          <w:rFonts w:ascii="Times New Roman" w:eastAsia="Times New Roman" w:hAnsi="Times New Roman" w:cs="Times New Roman"/>
          <w:sz w:val="24"/>
          <w:szCs w:val="24"/>
        </w:rPr>
        <w:t>9</w:t>
      </w:r>
      <w:r w:rsidR="00744EA4" w:rsidRPr="00744EA4">
        <w:rPr>
          <w:rFonts w:ascii="Times New Roman" w:eastAsia="Times New Roman" w:hAnsi="Times New Roman" w:cs="Times New Roman"/>
          <w:sz w:val="24"/>
          <w:szCs w:val="24"/>
        </w:rPr>
        <w:t xml:space="preserve"> has been attributed to poor governance practices</w:t>
      </w:r>
      <w:r w:rsidR="00567377">
        <w:rPr>
          <w:rFonts w:ascii="Times New Roman" w:eastAsia="Times New Roman" w:hAnsi="Times New Roman" w:cs="Times New Roman"/>
          <w:sz w:val="24"/>
          <w:szCs w:val="24"/>
        </w:rPr>
        <w:t>. M</w:t>
      </w:r>
      <w:r w:rsidR="00744EA4" w:rsidRPr="00744EA4">
        <w:rPr>
          <w:rFonts w:ascii="Times New Roman" w:eastAsia="Times New Roman" w:hAnsi="Times New Roman" w:cs="Times New Roman"/>
          <w:sz w:val="24"/>
          <w:szCs w:val="24"/>
        </w:rPr>
        <w:t>oreover, it has been argued that this poor governance was partly due to the lack of diversity in corporate boardrooms (</w:t>
      </w:r>
      <w:r w:rsidR="00744EA4" w:rsidRPr="00744EA4">
        <w:rPr>
          <w:rFonts w:ascii="Times New Roman" w:eastAsia="DengXian" w:hAnsi="Times New Roman" w:cs="Times New Roman"/>
          <w:color w:val="000000"/>
          <w:sz w:val="24"/>
          <w:szCs w:val="24"/>
        </w:rPr>
        <w:t>Adams &amp; Funk, 2012)</w:t>
      </w:r>
      <w:r w:rsidR="00744EA4" w:rsidRPr="00744E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result</w:t>
      </w:r>
      <w:r w:rsidR="005673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see that i</w:t>
      </w:r>
      <w:r w:rsidR="00744EA4" w:rsidRPr="00744EA4">
        <w:rPr>
          <w:rFonts w:ascii="Times New Roman" w:eastAsia="Times New Roman" w:hAnsi="Times New Roman" w:cs="Times New Roman"/>
          <w:sz w:val="24"/>
          <w:szCs w:val="24"/>
        </w:rPr>
        <w:t>n recent years, policies to improve governance and gender diversity on corporate boards have been applied in various countries – including Norway, where policies are mandatory and female presence has now reached 40%</w:t>
      </w:r>
      <w:r w:rsidR="00567377">
        <w:rPr>
          <w:rFonts w:ascii="Times New Roman" w:eastAsia="Times New Roman" w:hAnsi="Times New Roman" w:cs="Times New Roman"/>
          <w:sz w:val="24"/>
          <w:szCs w:val="24"/>
        </w:rPr>
        <w:t>. In the United Kingdom, where policies are voluntary,</w:t>
      </w:r>
      <w:r w:rsidR="00744EA4" w:rsidRPr="00744EA4">
        <w:rPr>
          <w:rFonts w:ascii="Times New Roman" w:eastAsia="Times New Roman" w:hAnsi="Times New Roman" w:cs="Times New Roman"/>
          <w:sz w:val="24"/>
          <w:szCs w:val="24"/>
        </w:rPr>
        <w:t xml:space="preserve"> women now account for 25% of executives (</w:t>
      </w:r>
      <w:r w:rsidR="00744EA4" w:rsidRPr="00744EA4">
        <w:rPr>
          <w:rFonts w:ascii="Times New Roman" w:eastAsia="DengXian" w:hAnsi="Times New Roman" w:cs="Times New Roman"/>
          <w:color w:val="000000"/>
          <w:sz w:val="24"/>
          <w:szCs w:val="24"/>
        </w:rPr>
        <w:t>Zalata et al., 2019)</w:t>
      </w:r>
      <w:r w:rsidR="00744EA4" w:rsidRPr="00744EA4">
        <w:rPr>
          <w:rFonts w:ascii="Times New Roman" w:eastAsia="Times New Roman" w:hAnsi="Times New Roman" w:cs="Times New Roman"/>
          <w:sz w:val="24"/>
          <w:szCs w:val="24"/>
        </w:rPr>
        <w:t>. Boardroom gender</w:t>
      </w:r>
      <w:r w:rsidR="00567377">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diversity is an </w:t>
      </w:r>
      <w:r w:rsidR="00567377">
        <w:rPr>
          <w:rFonts w:ascii="Times New Roman" w:eastAsia="Times New Roman" w:hAnsi="Times New Roman" w:cs="Times New Roman"/>
          <w:sz w:val="24"/>
          <w:szCs w:val="24"/>
        </w:rPr>
        <w:t>essential</w:t>
      </w:r>
      <w:r w:rsidR="00744EA4" w:rsidRPr="00744EA4">
        <w:rPr>
          <w:rFonts w:ascii="Times New Roman" w:eastAsia="Times New Roman" w:hAnsi="Times New Roman" w:cs="Times New Roman"/>
          <w:sz w:val="24"/>
          <w:szCs w:val="24"/>
        </w:rPr>
        <w:t xml:space="preserve"> academic and policy issue, as it is believed that greater balance in this area can lead to improved board decisions (Zalata et al., 2019), reduced corporate misconduct and fraud (Cumming et al., 2015; Atif et al., 2021), improved earnings quality </w:t>
      </w:r>
      <w:r w:rsidR="00744EA4" w:rsidRPr="00744EA4">
        <w:rPr>
          <w:rFonts w:ascii="Times New Roman" w:eastAsia="Times New Roman" w:hAnsi="Times New Roman" w:cs="Times New Roman"/>
          <w:color w:val="000000"/>
          <w:sz w:val="24"/>
          <w:szCs w:val="24"/>
        </w:rPr>
        <w:t>(García Lara et al., 2017)</w:t>
      </w:r>
      <w:r w:rsidR="00744EA4" w:rsidRPr="00744EA4">
        <w:rPr>
          <w:rFonts w:ascii="Times New Roman" w:eastAsia="Times New Roman" w:hAnsi="Times New Roman" w:cs="Times New Roman"/>
          <w:sz w:val="24"/>
          <w:szCs w:val="24"/>
        </w:rPr>
        <w:t>, and enhanced stakeholder orientation (Adams &amp; Funk, 2012).</w:t>
      </w:r>
    </w:p>
    <w:p w14:paraId="7818D9E8" w14:textId="7BCA3E6D"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However, a common concern </w:t>
      </w:r>
      <w:r w:rsidR="00567377">
        <w:rPr>
          <w:rFonts w:ascii="Times New Roman" w:eastAsia="Times New Roman" w:hAnsi="Times New Roman" w:cs="Times New Roman"/>
          <w:sz w:val="24"/>
          <w:szCs w:val="24"/>
        </w:rPr>
        <w:t>academicians and corporate leaders raise</w:t>
      </w:r>
      <w:r w:rsidRPr="00744EA4">
        <w:rPr>
          <w:rFonts w:ascii="Times New Roman" w:eastAsia="Times New Roman" w:hAnsi="Times New Roman" w:cs="Times New Roman"/>
          <w:sz w:val="24"/>
          <w:szCs w:val="24"/>
        </w:rPr>
        <w:t xml:space="preserve"> </w:t>
      </w:r>
      <w:r w:rsidR="00057265">
        <w:rPr>
          <w:rFonts w:ascii="Times New Roman" w:eastAsia="Times New Roman" w:hAnsi="Times New Roman" w:cs="Times New Roman"/>
          <w:sz w:val="24"/>
          <w:szCs w:val="24"/>
        </w:rPr>
        <w:t>in promoting gender</w:t>
      </w:r>
      <w:r w:rsidR="00567377">
        <w:rPr>
          <w:rFonts w:ascii="Times New Roman" w:eastAsia="Times New Roman" w:hAnsi="Times New Roman" w:cs="Times New Roman"/>
          <w:sz w:val="24"/>
          <w:szCs w:val="24"/>
        </w:rPr>
        <w:t>-</w:t>
      </w:r>
      <w:r w:rsidR="00057265">
        <w:rPr>
          <w:rFonts w:ascii="Times New Roman" w:eastAsia="Times New Roman" w:hAnsi="Times New Roman" w:cs="Times New Roman"/>
          <w:sz w:val="24"/>
          <w:szCs w:val="24"/>
        </w:rPr>
        <w:t>diverse board</w:t>
      </w:r>
      <w:r w:rsidR="00567377">
        <w:rPr>
          <w:rFonts w:ascii="Times New Roman" w:eastAsia="Times New Roman" w:hAnsi="Times New Roman" w:cs="Times New Roman"/>
          <w:sz w:val="24"/>
          <w:szCs w:val="24"/>
        </w:rPr>
        <w:t>s</w:t>
      </w:r>
      <w:r w:rsidR="00057265">
        <w:rPr>
          <w:rFonts w:ascii="Times New Roman" w:eastAsia="Times New Roman" w:hAnsi="Times New Roman" w:cs="Times New Roman"/>
          <w:sz w:val="24"/>
          <w:szCs w:val="24"/>
        </w:rPr>
        <w:t xml:space="preserve"> focuses on </w:t>
      </w:r>
      <w:r w:rsidRPr="00744EA4">
        <w:rPr>
          <w:rFonts w:ascii="Times New Roman" w:eastAsia="Times New Roman" w:hAnsi="Times New Roman" w:cs="Times New Roman"/>
          <w:sz w:val="24"/>
          <w:szCs w:val="24"/>
        </w:rPr>
        <w:t xml:space="preserve">value creation </w:t>
      </w:r>
      <w:r w:rsidR="00FC2DAB" w:rsidRPr="00880312">
        <w:rPr>
          <w:rFonts w:ascii="Times New Roman" w:eastAsia="Times New Roman" w:hAnsi="Times New Roman" w:cs="Times New Roman"/>
          <w:sz w:val="24"/>
          <w:szCs w:val="24"/>
        </w:rPr>
        <w:t>by gender</w:t>
      </w:r>
      <w:r w:rsidR="00567377">
        <w:rPr>
          <w:rFonts w:ascii="Times New Roman" w:eastAsia="Times New Roman" w:hAnsi="Times New Roman" w:cs="Times New Roman"/>
          <w:sz w:val="24"/>
          <w:szCs w:val="24"/>
        </w:rPr>
        <w:t>-</w:t>
      </w:r>
      <w:r w:rsidR="00FC2DAB" w:rsidRPr="00880312">
        <w:rPr>
          <w:rFonts w:ascii="Times New Roman" w:eastAsia="Times New Roman" w:hAnsi="Times New Roman" w:cs="Times New Roman"/>
          <w:sz w:val="24"/>
          <w:szCs w:val="24"/>
        </w:rPr>
        <w:t xml:space="preserve">diverse boards </w:t>
      </w:r>
      <w:r w:rsidRPr="00744EA4">
        <w:rPr>
          <w:rFonts w:ascii="Times New Roman" w:eastAsia="Times New Roman" w:hAnsi="Times New Roman" w:cs="Times New Roman"/>
          <w:sz w:val="24"/>
          <w:szCs w:val="24"/>
        </w:rPr>
        <w:t xml:space="preserve">(the business-case approach) for shareholders (Zalaata et al., 2019). </w:t>
      </w:r>
      <w:r w:rsidR="00057265">
        <w:rPr>
          <w:rFonts w:ascii="Times New Roman" w:eastAsia="Times New Roman" w:hAnsi="Times New Roman" w:cs="Times New Roman"/>
          <w:sz w:val="24"/>
          <w:szCs w:val="24"/>
        </w:rPr>
        <w:t xml:space="preserve">Prior research supports </w:t>
      </w:r>
      <w:r w:rsidR="00567377">
        <w:rPr>
          <w:rFonts w:ascii="Times New Roman" w:eastAsia="Times New Roman" w:hAnsi="Times New Roman" w:cs="Times New Roman"/>
          <w:sz w:val="24"/>
          <w:szCs w:val="24"/>
        </w:rPr>
        <w:t>women's “business case”</w:t>
      </w:r>
      <w:r w:rsidR="00057265">
        <w:rPr>
          <w:rFonts w:ascii="Times New Roman" w:eastAsia="Times New Roman" w:hAnsi="Times New Roman" w:cs="Times New Roman"/>
          <w:sz w:val="24"/>
          <w:szCs w:val="24"/>
        </w:rPr>
        <w:t xml:space="preserve"> by arguing that</w:t>
      </w:r>
      <w:r w:rsidR="00057265" w:rsidRPr="00057265">
        <w:rPr>
          <w:rFonts w:ascii="Times New Roman" w:eastAsia="Times New Roman" w:hAnsi="Times New Roman" w:cs="Times New Roman"/>
          <w:sz w:val="24"/>
          <w:szCs w:val="24"/>
        </w:rPr>
        <w:t xml:space="preserve"> women are behaviourally, cognitively, physiologically, and psychologically different from men (Zalaata et al., 2019). These unique attribute women bring to the board reduces agency problems through improved corporate disclosure, board engagement, monitoring and risk-taking (Adams and Ferreira, 2009; Gul et al., 2011; Arnaboldi et al., 2021). Thus, the presence of women brings new beliefs, experiences, perspectives, values and work ethics that may enhance board decision-making and effectiveness (Zalaata et al., 2019).</w:t>
      </w:r>
      <w:r w:rsidR="00057265">
        <w:rPr>
          <w:rFonts w:ascii="Times New Roman" w:eastAsia="Times New Roman" w:hAnsi="Times New Roman" w:cs="Times New Roman"/>
          <w:sz w:val="24"/>
          <w:szCs w:val="24"/>
        </w:rPr>
        <w:t>Further,  a</w:t>
      </w:r>
      <w:r w:rsidRPr="00744EA4">
        <w:rPr>
          <w:rFonts w:ascii="Times New Roman" w:eastAsia="Times New Roman" w:hAnsi="Times New Roman" w:cs="Times New Roman"/>
          <w:sz w:val="24"/>
          <w:szCs w:val="24"/>
        </w:rPr>
        <w:t xml:space="preserve">gency theory </w:t>
      </w:r>
      <w:r w:rsidR="00057265">
        <w:rPr>
          <w:rFonts w:ascii="Times New Roman" w:eastAsia="Times New Roman" w:hAnsi="Times New Roman" w:cs="Times New Roman"/>
          <w:sz w:val="24"/>
          <w:szCs w:val="24"/>
        </w:rPr>
        <w:t xml:space="preserve">also </w:t>
      </w:r>
      <w:r w:rsidRPr="00744EA4">
        <w:rPr>
          <w:rFonts w:ascii="Times New Roman" w:eastAsia="Times New Roman" w:hAnsi="Times New Roman" w:cs="Times New Roman"/>
          <w:sz w:val="24"/>
          <w:szCs w:val="24"/>
        </w:rPr>
        <w:t>proposes that women are particularly skilled at monitoring, as reflected by a higher frequency of board meetings (</w:t>
      </w:r>
      <w:r w:rsidRPr="00744EA4">
        <w:rPr>
          <w:rFonts w:ascii="Times New Roman" w:eastAsia="DengXian" w:hAnsi="Times New Roman" w:cs="Times New Roman"/>
          <w:sz w:val="24"/>
          <w:szCs w:val="24"/>
        </w:rPr>
        <w:t>Arnaboldi et al., 2021)</w:t>
      </w:r>
      <w:r w:rsidRPr="00744EA4">
        <w:rPr>
          <w:rFonts w:ascii="Times New Roman" w:eastAsia="Times New Roman" w:hAnsi="Times New Roman" w:cs="Times New Roman"/>
          <w:sz w:val="24"/>
          <w:szCs w:val="24"/>
        </w:rPr>
        <w:t>, improved attendance by all board members (</w:t>
      </w:r>
      <w:r w:rsidRPr="00744EA4">
        <w:rPr>
          <w:rFonts w:ascii="Times New Roman" w:eastAsia="DengXian" w:hAnsi="Times New Roman" w:cs="Times New Roman"/>
          <w:sz w:val="24"/>
          <w:szCs w:val="24"/>
        </w:rPr>
        <w:t>Adams &amp; Ferreira, 2009; Goergen &amp; Renneboog, 2014)</w:t>
      </w:r>
      <w:r w:rsidRPr="00744EA4">
        <w:rPr>
          <w:rFonts w:ascii="Times New Roman" w:eastAsia="Times New Roman" w:hAnsi="Times New Roman" w:cs="Times New Roman"/>
          <w:sz w:val="24"/>
          <w:szCs w:val="24"/>
        </w:rPr>
        <w:t xml:space="preserve">, higher pay-out ratio </w:t>
      </w:r>
      <w:r w:rsidRPr="00744EA4">
        <w:rPr>
          <w:rFonts w:ascii="Times New Roman" w:eastAsia="DengXian" w:hAnsi="Times New Roman" w:cs="Times New Roman"/>
          <w:sz w:val="24"/>
          <w:szCs w:val="24"/>
        </w:rPr>
        <w:t>(Chen et al., 2017)</w:t>
      </w:r>
      <w:r w:rsidRPr="00744EA4">
        <w:rPr>
          <w:rFonts w:ascii="Times New Roman" w:eastAsia="Times New Roman" w:hAnsi="Times New Roman" w:cs="Times New Roman"/>
          <w:sz w:val="24"/>
          <w:szCs w:val="24"/>
        </w:rPr>
        <w:t>, improved critical thinking regarding new ideas in the boardroom, and – as a result – improved overall decision-making (Schopol et al., 2021).</w:t>
      </w:r>
    </w:p>
    <w:p w14:paraId="6C6C86E6" w14:textId="2D572573" w:rsidR="00744EA4" w:rsidRPr="00744EA4" w:rsidRDefault="00057265"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Moreover</w:t>
      </w:r>
      <w:r w:rsidR="00744EA4" w:rsidRPr="00744EA4">
        <w:rPr>
          <w:rFonts w:ascii="Times New Roman" w:eastAsia="Times New Roman" w:hAnsi="Times New Roman" w:cs="Times New Roman"/>
          <w:sz w:val="24"/>
          <w:szCs w:val="24"/>
        </w:rPr>
        <w:t>, regarding risk</w:t>
      </w:r>
      <w:r w:rsidR="00567377">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taking by </w:t>
      </w:r>
      <w:r>
        <w:rPr>
          <w:rFonts w:ascii="Times New Roman" w:eastAsia="Times New Roman" w:hAnsi="Times New Roman" w:cs="Times New Roman"/>
          <w:sz w:val="24"/>
          <w:szCs w:val="24"/>
        </w:rPr>
        <w:t>female</w:t>
      </w:r>
      <w:r w:rsidR="00567377">
        <w:rPr>
          <w:rFonts w:ascii="Times New Roman" w:eastAsia="Times New Roman" w:hAnsi="Times New Roman" w:cs="Times New Roman"/>
          <w:sz w:val="24"/>
          <w:szCs w:val="24"/>
        </w:rPr>
        <w:t>s</w:t>
      </w:r>
      <w:r w:rsidR="00744EA4" w:rsidRPr="00744EA4">
        <w:rPr>
          <w:rFonts w:ascii="Times New Roman" w:eastAsia="Times New Roman" w:hAnsi="Times New Roman" w:cs="Times New Roman"/>
          <w:sz w:val="24"/>
          <w:szCs w:val="24"/>
        </w:rPr>
        <w:t>, there is a consensus that female directors are less inclined toward risk-taking than male board members (</w:t>
      </w:r>
      <w:r w:rsidR="00744EA4" w:rsidRPr="00744EA4">
        <w:rPr>
          <w:rFonts w:ascii="Times New Roman" w:eastAsia="DengXian" w:hAnsi="Times New Roman" w:cs="Times New Roman"/>
          <w:color w:val="000000"/>
          <w:sz w:val="24"/>
          <w:szCs w:val="24"/>
        </w:rPr>
        <w:t>Khlif &amp; Achek, 2017)</w:t>
      </w:r>
      <w:r w:rsidR="00744EA4" w:rsidRPr="00744EA4">
        <w:rPr>
          <w:rFonts w:ascii="Times New Roman" w:eastAsia="Times New Roman" w:hAnsi="Times New Roman" w:cs="Times New Roman"/>
          <w:sz w:val="24"/>
          <w:szCs w:val="24"/>
        </w:rPr>
        <w:t xml:space="preserve">. For example, </w:t>
      </w:r>
      <w:r w:rsidR="00744EA4" w:rsidRPr="00744EA4">
        <w:rPr>
          <w:rFonts w:ascii="Times New Roman" w:eastAsia="Times New Roman" w:hAnsi="Times New Roman" w:cs="Times New Roman"/>
          <w:color w:val="000000"/>
          <w:sz w:val="24"/>
          <w:szCs w:val="24"/>
        </w:rPr>
        <w:t>Wilson and Altanlar (2011)</w:t>
      </w:r>
      <w:r w:rsidR="00744EA4" w:rsidRPr="00744EA4">
        <w:rPr>
          <w:rFonts w:ascii="Times New Roman" w:eastAsia="Times New Roman" w:hAnsi="Times New Roman" w:cs="Times New Roman"/>
          <w:sz w:val="24"/>
          <w:szCs w:val="24"/>
        </w:rPr>
        <w:t xml:space="preserve"> found a negative relationship between insolvency risk and proportion of female directors. Karavitis et al. (2021) identified lower spreads on bank loans </w:t>
      </w:r>
      <w:r w:rsidR="00CB1AD8">
        <w:rPr>
          <w:rFonts w:ascii="Times New Roman" w:eastAsia="Times New Roman" w:hAnsi="Times New Roman" w:cs="Times New Roman"/>
          <w:sz w:val="24"/>
          <w:szCs w:val="24"/>
        </w:rPr>
        <w:t>with female directors</w:t>
      </w:r>
      <w:r w:rsidR="00744EA4" w:rsidRPr="00744EA4">
        <w:rPr>
          <w:rFonts w:ascii="Times New Roman" w:eastAsia="Times New Roman" w:hAnsi="Times New Roman" w:cs="Times New Roman"/>
          <w:sz w:val="24"/>
          <w:szCs w:val="24"/>
        </w:rPr>
        <w:t xml:space="preserve">. Moreover, Radu and Samili (2021) found that increasing female board-representation improved cyber disclosure. </w:t>
      </w:r>
      <w:r w:rsidR="00744EA4" w:rsidRPr="00744EA4">
        <w:rPr>
          <w:rFonts w:ascii="Times New Roman" w:eastAsia="DengXian" w:hAnsi="Times New Roman" w:cs="Times New Roman"/>
          <w:color w:val="000000"/>
          <w:sz w:val="24"/>
          <w:szCs w:val="24"/>
        </w:rPr>
        <w:t>Arnaboldi et al. (2021)</w:t>
      </w:r>
      <w:r w:rsidR="00744EA4" w:rsidRPr="00744EA4">
        <w:rPr>
          <w:rFonts w:ascii="Times New Roman" w:eastAsia="Times New Roman" w:hAnsi="Times New Roman" w:cs="Times New Roman"/>
          <w:sz w:val="24"/>
          <w:szCs w:val="24"/>
        </w:rPr>
        <w:t xml:space="preserve"> note a reduction in bank misconduct with an increase in female representation on a board.</w:t>
      </w:r>
    </w:p>
    <w:p w14:paraId="1A801BDE" w14:textId="13AD9DCE"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However, there is also a growing body of literature on the effects of gender on corporate governance arrangements, and this shows an opposite association between firm risk and female directors (</w:t>
      </w:r>
      <w:r w:rsidRPr="00744EA4">
        <w:rPr>
          <w:rFonts w:ascii="Times New Roman" w:eastAsia="DengXian" w:hAnsi="Times New Roman" w:cs="Times New Roman"/>
          <w:sz w:val="24"/>
          <w:szCs w:val="24"/>
        </w:rPr>
        <w:t>Farrell &amp; Hersch, 2005; Adams &amp; Funk, 2012</w:t>
      </w:r>
      <w:r w:rsidRPr="00744EA4">
        <w:rPr>
          <w:rFonts w:ascii="Times New Roman" w:eastAsia="Times New Roman" w:hAnsi="Times New Roman" w:cs="Times New Roman"/>
          <w:sz w:val="24"/>
          <w:szCs w:val="24"/>
        </w:rPr>
        <w:t xml:space="preserve">). </w:t>
      </w:r>
      <w:r w:rsidRPr="00744EA4">
        <w:rPr>
          <w:rFonts w:ascii="Times New Roman" w:eastAsia="DengXian" w:hAnsi="Times New Roman" w:cs="Times New Roman"/>
          <w:sz w:val="24"/>
          <w:szCs w:val="24"/>
        </w:rPr>
        <w:t>Ahern and Dittmar (2012)</w:t>
      </w:r>
      <w:r w:rsidRPr="00744EA4">
        <w:rPr>
          <w:rFonts w:ascii="Times New Roman" w:eastAsia="Times New Roman" w:hAnsi="Times New Roman" w:cs="Times New Roman"/>
          <w:sz w:val="24"/>
          <w:szCs w:val="24"/>
        </w:rPr>
        <w:t xml:space="preserve"> report a negative relationship between female board-representation and profitability and value. </w:t>
      </w:r>
      <w:r w:rsidRPr="00744EA4">
        <w:rPr>
          <w:rFonts w:ascii="Times New Roman" w:eastAsia="DengXian" w:hAnsi="Times New Roman" w:cs="Times New Roman"/>
          <w:sz w:val="24"/>
          <w:szCs w:val="24"/>
        </w:rPr>
        <w:t>Berger et al. (2014)</w:t>
      </w:r>
      <w:r w:rsidRPr="00744EA4">
        <w:rPr>
          <w:rFonts w:ascii="Times New Roman" w:eastAsia="Times New Roman" w:hAnsi="Times New Roman" w:cs="Times New Roman"/>
          <w:sz w:val="24"/>
          <w:szCs w:val="24"/>
        </w:rPr>
        <w:t xml:space="preserve"> found that portfolio risk increased as the proportion of female bank directors grew. Farag and Mallin (2017) recommend appointing additional women to boards beyond the critical mass (18% and 21%) to help reduce the banks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vulnerability to financial crises. They further report that risk-taking by a female board of directors depends on the women</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roles (i.e., executive vs non -executive directors). A study by Abu-el-soud (2021) of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banks for 2002–2018 revealed that, although female boards of directors are risk-averse, they tend to make riskier investments when the bank has higher capital reserves. Finally, </w:t>
      </w:r>
      <w:r w:rsidRPr="00744EA4">
        <w:rPr>
          <w:rFonts w:ascii="Times New Roman" w:eastAsia="DengXian" w:hAnsi="Times New Roman" w:cs="Times New Roman"/>
          <w:sz w:val="24"/>
          <w:szCs w:val="24"/>
        </w:rPr>
        <w:t>Masta and Miller (2013), in a Norwegian study,</w:t>
      </w:r>
      <w:r w:rsidRPr="00744EA4">
        <w:rPr>
          <w:rFonts w:ascii="Times New Roman" w:eastAsia="Times New Roman" w:hAnsi="Times New Roman" w:cs="Times New Roman"/>
          <w:sz w:val="24"/>
          <w:szCs w:val="24"/>
        </w:rPr>
        <w:t xml:space="preserve"> documented no change in firm leverage with an increase in female boardroom representation.</w:t>
      </w:r>
    </w:p>
    <w:p w14:paraId="3FB9E64B" w14:textId="2DE740F5"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Although the extant literature on female board</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representation includes mixed results, it provides strong support for the risk-averse view of female board members (Eckel &amp; Grossman, 2008; Croson and Gneezy, 2009; Li &amp; Zeng, 2019).</w:t>
      </w:r>
      <w:r w:rsidRPr="00744EA4">
        <w:rPr>
          <w:rFonts w:ascii="Calibri" w:eastAsia="Times New Roman" w:hAnsi="Calibri" w:cs="Times New Roman"/>
          <w:sz w:val="24"/>
          <w:szCs w:val="24"/>
        </w:rPr>
        <w:t xml:space="preserve"> </w:t>
      </w:r>
      <w:r w:rsidRPr="00744EA4">
        <w:rPr>
          <w:rFonts w:ascii="Times New Roman" w:eastAsia="Times New Roman" w:hAnsi="Times New Roman" w:cs="Times New Roman"/>
          <w:sz w:val="24"/>
          <w:szCs w:val="24"/>
        </w:rPr>
        <w:t>The argument that women are more risk-averse is based on the gender</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sociali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 theory that suggests that males and females learn different behaviours, with women and girls being generally more caring, compassionate, and attentive to others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needs. Gender-sociali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 xml:space="preserve">ation theory further proposes that </w:t>
      </w:r>
      <w:r w:rsidR="00567377">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 xml:space="preserve">ethical </w:t>
      </w:r>
      <w:r w:rsidR="00CB1AD8">
        <w:rPr>
          <w:rFonts w:ascii="Times New Roman" w:eastAsia="Times New Roman" w:hAnsi="Times New Roman" w:cs="Times New Roman"/>
          <w:sz w:val="24"/>
          <w:szCs w:val="24"/>
        </w:rPr>
        <w:t xml:space="preserve">nature of </w:t>
      </w:r>
      <w:r w:rsidRPr="00744EA4">
        <w:rPr>
          <w:rFonts w:ascii="Times New Roman" w:eastAsia="Times New Roman" w:hAnsi="Times New Roman" w:cs="Times New Roman"/>
          <w:sz w:val="24"/>
          <w:szCs w:val="24"/>
        </w:rPr>
        <w:t xml:space="preserve">women is the </w:t>
      </w:r>
      <w:r w:rsidR="00CB1AD8">
        <w:rPr>
          <w:rFonts w:ascii="Times New Roman" w:eastAsia="Times New Roman" w:hAnsi="Times New Roman" w:cs="Times New Roman"/>
          <w:sz w:val="24"/>
          <w:szCs w:val="24"/>
        </w:rPr>
        <w:t>reason</w:t>
      </w:r>
      <w:r w:rsidRPr="00744EA4">
        <w:rPr>
          <w:rFonts w:ascii="Times New Roman" w:eastAsia="Times New Roman" w:hAnsi="Times New Roman" w:cs="Times New Roman"/>
          <w:sz w:val="24"/>
          <w:szCs w:val="24"/>
        </w:rPr>
        <w:t xml:space="preserve"> </w:t>
      </w:r>
      <w:r w:rsidR="00567377">
        <w:rPr>
          <w:rFonts w:ascii="Times New Roman" w:eastAsia="Times New Roman" w:hAnsi="Times New Roman" w:cs="Times New Roman"/>
          <w:sz w:val="24"/>
          <w:szCs w:val="24"/>
        </w:rPr>
        <w:t>that</w:t>
      </w:r>
      <w:r w:rsidRPr="00744EA4">
        <w:rPr>
          <w:rFonts w:ascii="Times New Roman" w:eastAsia="Times New Roman" w:hAnsi="Times New Roman" w:cs="Times New Roman"/>
          <w:sz w:val="24"/>
          <w:szCs w:val="24"/>
        </w:rPr>
        <w:t xml:space="preserve"> </w:t>
      </w:r>
      <w:r w:rsidR="00CB1AD8">
        <w:rPr>
          <w:rFonts w:ascii="Times New Roman" w:eastAsia="Times New Roman" w:hAnsi="Times New Roman" w:cs="Times New Roman"/>
          <w:sz w:val="24"/>
          <w:szCs w:val="24"/>
        </w:rPr>
        <w:t xml:space="preserve">results in </w:t>
      </w:r>
      <w:r w:rsidRPr="00744EA4">
        <w:rPr>
          <w:rFonts w:ascii="Times New Roman" w:eastAsia="Times New Roman" w:hAnsi="Times New Roman" w:cs="Times New Roman"/>
          <w:sz w:val="24"/>
          <w:szCs w:val="24"/>
        </w:rPr>
        <w:t xml:space="preserve">female presence on bank boards </w:t>
      </w:r>
      <w:r w:rsidR="00CB1AD8">
        <w:rPr>
          <w:rFonts w:ascii="Times New Roman" w:eastAsia="Times New Roman" w:hAnsi="Times New Roman" w:cs="Times New Roman"/>
          <w:sz w:val="24"/>
          <w:szCs w:val="24"/>
        </w:rPr>
        <w:t xml:space="preserve">to </w:t>
      </w:r>
      <w:r w:rsidRPr="00744EA4">
        <w:rPr>
          <w:rFonts w:ascii="Times New Roman" w:eastAsia="Times New Roman" w:hAnsi="Times New Roman" w:cs="Times New Roman"/>
          <w:sz w:val="24"/>
          <w:szCs w:val="24"/>
        </w:rPr>
        <w:t xml:space="preserve">reduce risk(Arnaboldi et al., 2021). Thus, based on this notion of risk-aversion and applying the lens of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managerial discretion theory</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where female board members play a role in moderating the risk-taking behaviours of female CROs, we propose the following hypothesis:</w:t>
      </w:r>
    </w:p>
    <w:p w14:paraId="748E631B" w14:textId="7C9CFEC8" w:rsidR="00FC2DAB" w:rsidRPr="00744EA4" w:rsidRDefault="00744EA4" w:rsidP="00744EA4">
      <w:pPr>
        <w:spacing w:line="480" w:lineRule="auto"/>
        <w:jc w:val="both"/>
        <w:rPr>
          <w:rFonts w:ascii="Times New Roman" w:eastAsia="Times New Roman" w:hAnsi="Times New Roman" w:cs="Times New Roman"/>
          <w:i/>
          <w:iCs/>
          <w:sz w:val="24"/>
          <w:szCs w:val="24"/>
        </w:rPr>
      </w:pPr>
      <w:r w:rsidRPr="00744EA4">
        <w:rPr>
          <w:rFonts w:ascii="Times New Roman" w:eastAsia="Times New Roman" w:hAnsi="Times New Roman" w:cs="Times New Roman"/>
          <w:b/>
          <w:bCs/>
          <w:i/>
          <w:iCs/>
          <w:sz w:val="24"/>
          <w:szCs w:val="24"/>
        </w:rPr>
        <w:t>H2</w:t>
      </w:r>
      <w:r w:rsidRPr="00744EA4">
        <w:rPr>
          <w:rFonts w:ascii="Times New Roman" w:eastAsia="Times New Roman" w:hAnsi="Times New Roman" w:cs="Times New Roman"/>
          <w:i/>
          <w:iCs/>
          <w:sz w:val="24"/>
          <w:szCs w:val="24"/>
        </w:rPr>
        <w:t xml:space="preserve">: Gender diversity on a board moderates the relationship between a female CRO and the </w:t>
      </w:r>
      <w:r w:rsidR="00057265">
        <w:rPr>
          <w:rFonts w:ascii="Times New Roman" w:eastAsia="Times New Roman" w:hAnsi="Times New Roman" w:cs="Times New Roman"/>
          <w:i/>
          <w:iCs/>
          <w:sz w:val="24"/>
          <w:szCs w:val="24"/>
        </w:rPr>
        <w:t>bank risk</w:t>
      </w:r>
      <w:r w:rsidRPr="00744EA4">
        <w:rPr>
          <w:rFonts w:ascii="Times New Roman" w:eastAsia="Times New Roman" w:hAnsi="Times New Roman" w:cs="Times New Roman"/>
          <w:i/>
          <w:iCs/>
          <w:sz w:val="24"/>
          <w:szCs w:val="24"/>
        </w:rPr>
        <w:t>.</w:t>
      </w:r>
    </w:p>
    <w:p w14:paraId="33C17394" w14:textId="2C784EB3" w:rsidR="00744EA4" w:rsidRDefault="0037662B" w:rsidP="003C7034">
      <w:pPr>
        <w:pStyle w:val="Heading4"/>
        <w:rPr>
          <w:rFonts w:ascii="Times New Roman" w:hAnsi="Times New Roman" w:cs="Times New Roman"/>
          <w:b/>
          <w:bCs/>
          <w:i w:val="0"/>
          <w:iCs w:val="0"/>
          <w:color w:val="000000" w:themeColor="text1"/>
          <w:sz w:val="24"/>
          <w:szCs w:val="24"/>
        </w:rPr>
      </w:pPr>
      <w:r w:rsidRPr="003C7034">
        <w:rPr>
          <w:rFonts w:ascii="Times New Roman" w:hAnsi="Times New Roman" w:cs="Times New Roman"/>
          <w:b/>
          <w:bCs/>
          <w:i w:val="0"/>
          <w:iCs w:val="0"/>
          <w:color w:val="000000" w:themeColor="text1"/>
          <w:sz w:val="24"/>
          <w:szCs w:val="24"/>
        </w:rPr>
        <w:t>3.</w:t>
      </w:r>
      <w:r w:rsidR="00744EA4" w:rsidRPr="003C7034">
        <w:rPr>
          <w:rFonts w:ascii="Times New Roman" w:hAnsi="Times New Roman" w:cs="Times New Roman"/>
          <w:b/>
          <w:bCs/>
          <w:i w:val="0"/>
          <w:iCs w:val="0"/>
          <w:color w:val="000000" w:themeColor="text1"/>
          <w:sz w:val="24"/>
          <w:szCs w:val="24"/>
        </w:rPr>
        <w:t>2.2.2 Moderating Role of Gender Diversity at Risk Committee</w:t>
      </w:r>
    </w:p>
    <w:p w14:paraId="10FBF4E7" w14:textId="77777777" w:rsidR="003C7034" w:rsidRPr="003C7034" w:rsidRDefault="003C7034" w:rsidP="003C7034"/>
    <w:p w14:paraId="1F7BB954" w14:textId="5D37BC0B" w:rsidR="00744EA4" w:rsidRPr="00744EA4" w:rsidRDefault="00057265"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extend the discussion on board gender diversity by further arguing that a</w:t>
      </w:r>
      <w:r w:rsidR="00744EA4" w:rsidRPr="00744EA4">
        <w:rPr>
          <w:rFonts w:ascii="Times New Roman" w:eastAsia="Times New Roman" w:hAnsi="Times New Roman" w:cs="Times New Roman"/>
          <w:sz w:val="24"/>
          <w:szCs w:val="24"/>
        </w:rPr>
        <w:t>lthough the board has an apex role in the governance of institutions, it operates by delegating decisions within the confines of smaller groups or committees (Kessner, 1988). In line with gender-effective board roles, there is a stream of literature focusing on the presence of women at the committee level and evaluating their roles as monitors of corporate executives on behalf of shareholders (</w:t>
      </w:r>
      <w:r w:rsidR="00744EA4" w:rsidRPr="00744EA4">
        <w:rPr>
          <w:rFonts w:ascii="Times New Roman" w:eastAsia="DengXian" w:hAnsi="Times New Roman" w:cs="Times New Roman"/>
          <w:sz w:val="24"/>
          <w:szCs w:val="24"/>
        </w:rPr>
        <w:t>Adams &amp; Ferreira, 2009;</w:t>
      </w:r>
      <w:r w:rsidR="00744EA4" w:rsidRPr="00744EA4">
        <w:rPr>
          <w:rFonts w:ascii="Times New Roman" w:eastAsia="Times New Roman" w:hAnsi="Times New Roman" w:cs="Times New Roman"/>
          <w:sz w:val="24"/>
          <w:szCs w:val="24"/>
        </w:rPr>
        <w:t xml:space="preserve"> Lara et al., 2017). For example, examining a sample of U</w:t>
      </w:r>
      <w:r w:rsidR="00197BB6" w:rsidRPr="00880312">
        <w:rPr>
          <w:rFonts w:ascii="Times New Roman" w:eastAsia="Times New Roman" w:hAnsi="Times New Roman" w:cs="Times New Roman"/>
          <w:sz w:val="24"/>
          <w:szCs w:val="24"/>
        </w:rPr>
        <w:t>.S.</w:t>
      </w:r>
      <w:r w:rsidR="00744EA4" w:rsidRPr="00744EA4">
        <w:rPr>
          <w:rFonts w:ascii="Times New Roman" w:eastAsia="Times New Roman" w:hAnsi="Times New Roman" w:cs="Times New Roman"/>
          <w:sz w:val="24"/>
          <w:szCs w:val="24"/>
        </w:rPr>
        <w:t xml:space="preserve"> firms, Zalata et al. (2019) found that female directors with monitoring roles (</w:t>
      </w:r>
      <w:r w:rsidRPr="00744EA4">
        <w:rPr>
          <w:rFonts w:ascii="Times New Roman" w:eastAsia="Times New Roman" w:hAnsi="Times New Roman" w:cs="Times New Roman"/>
          <w:sz w:val="24"/>
          <w:szCs w:val="24"/>
        </w:rPr>
        <w:t>i.e.,</w:t>
      </w:r>
      <w:r w:rsidR="00744EA4" w:rsidRPr="00744EA4">
        <w:rPr>
          <w:rFonts w:ascii="Times New Roman" w:eastAsia="Times New Roman" w:hAnsi="Times New Roman" w:cs="Times New Roman"/>
          <w:sz w:val="24"/>
          <w:szCs w:val="24"/>
        </w:rPr>
        <w:t xml:space="preserve"> serving on audit, compensation, governance, or nomination committees) helped </w:t>
      </w:r>
      <w:r w:rsidR="00567377">
        <w:rPr>
          <w:rFonts w:ascii="Times New Roman" w:eastAsia="Times New Roman" w:hAnsi="Times New Roman" w:cs="Times New Roman"/>
          <w:sz w:val="24"/>
          <w:szCs w:val="24"/>
        </w:rPr>
        <w:t>mitigate the executive's power</w:t>
      </w:r>
      <w:r w:rsidR="00744EA4" w:rsidRPr="00744EA4">
        <w:rPr>
          <w:rFonts w:ascii="Times New Roman" w:eastAsia="Times New Roman" w:hAnsi="Times New Roman" w:cs="Times New Roman"/>
          <w:sz w:val="24"/>
          <w:szCs w:val="24"/>
        </w:rPr>
        <w:t xml:space="preserve">. </w:t>
      </w:r>
      <w:bookmarkStart w:id="33" w:name="_Hlk86352262"/>
      <w:r w:rsidR="00744EA4" w:rsidRPr="00744EA4">
        <w:rPr>
          <w:rFonts w:ascii="Times New Roman" w:eastAsia="Times New Roman" w:hAnsi="Times New Roman" w:cs="Times New Roman"/>
          <w:sz w:val="24"/>
          <w:szCs w:val="24"/>
        </w:rPr>
        <w:t xml:space="preserve">Furthermore, </w:t>
      </w:r>
      <w:r w:rsidR="00744EA4" w:rsidRPr="00744EA4">
        <w:rPr>
          <w:rFonts w:ascii="Times New Roman" w:eastAsia="DengXian" w:hAnsi="Times New Roman" w:cs="Times New Roman"/>
          <w:sz w:val="24"/>
          <w:szCs w:val="24"/>
        </w:rPr>
        <w:t>Thiruvadi and Huang (2011)</w:t>
      </w:r>
      <w:r w:rsidR="00744EA4" w:rsidRPr="00744EA4">
        <w:rPr>
          <w:rFonts w:ascii="Times New Roman" w:eastAsia="Times New Roman" w:hAnsi="Times New Roman" w:cs="Times New Roman"/>
          <w:sz w:val="24"/>
          <w:szCs w:val="24"/>
        </w:rPr>
        <w:t xml:space="preserve"> </w:t>
      </w:r>
      <w:bookmarkEnd w:id="33"/>
      <w:r w:rsidR="00744EA4" w:rsidRPr="00744EA4">
        <w:rPr>
          <w:rFonts w:ascii="Times New Roman" w:eastAsia="Times New Roman" w:hAnsi="Times New Roman" w:cs="Times New Roman"/>
          <w:sz w:val="24"/>
          <w:szCs w:val="24"/>
        </w:rPr>
        <w:t>found that female representation on an audit committee led to lower earnings</w:t>
      </w:r>
      <w:r w:rsidR="00567377">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management by increasing negative (income-decreasing) discretionary accruals. Based on their findings, </w:t>
      </w:r>
      <w:r w:rsidR="00744EA4" w:rsidRPr="00744EA4">
        <w:rPr>
          <w:rFonts w:ascii="Times New Roman" w:eastAsia="DengXian" w:hAnsi="Times New Roman" w:cs="Times New Roman"/>
          <w:sz w:val="24"/>
          <w:szCs w:val="24"/>
        </w:rPr>
        <w:t>Sun and Liu (2014)</w:t>
      </w:r>
      <w:r w:rsidR="00744EA4" w:rsidRPr="00744EA4">
        <w:rPr>
          <w:rFonts w:ascii="Times New Roman" w:eastAsia="Times New Roman" w:hAnsi="Times New Roman" w:cs="Times New Roman"/>
          <w:sz w:val="24"/>
          <w:szCs w:val="24"/>
        </w:rPr>
        <w:t xml:space="preserve"> conclude that increasing female representation on banking audit committees does i</w:t>
      </w:r>
      <w:r w:rsidR="00567377">
        <w:rPr>
          <w:rFonts w:ascii="Times New Roman" w:eastAsia="Times New Roman" w:hAnsi="Times New Roman" w:cs="Times New Roman"/>
          <w:sz w:val="24"/>
          <w:szCs w:val="24"/>
        </w:rPr>
        <w:t>mprov</w:t>
      </w:r>
      <w:r w:rsidR="00744EA4" w:rsidRPr="00744EA4">
        <w:rPr>
          <w:rFonts w:ascii="Times New Roman" w:eastAsia="Times New Roman" w:hAnsi="Times New Roman" w:cs="Times New Roman"/>
          <w:sz w:val="24"/>
          <w:szCs w:val="24"/>
        </w:rPr>
        <w:t>e effective risk</w:t>
      </w:r>
      <w:r w:rsidR="00567377">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management. </w:t>
      </w:r>
      <w:r w:rsidR="00744EA4" w:rsidRPr="001278ED">
        <w:rPr>
          <w:rFonts w:ascii="Times New Roman" w:eastAsia="Times New Roman" w:hAnsi="Times New Roman" w:cs="Times New Roman"/>
          <w:sz w:val="24"/>
          <w:szCs w:val="24"/>
        </w:rPr>
        <w:t>Adams and Ragunathan (2017) found that more female representation on bank boards did not lead to less risk-taking, but more female representation on monitoring committees (audit, compensation, risk committee) did.</w:t>
      </w:r>
    </w:p>
    <w:p w14:paraId="688186B5" w14:textId="34E54573" w:rsidR="00744EA4" w:rsidRPr="00744EA4" w:rsidRDefault="00057265"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following the GFC of 2007-2009</w:t>
      </w:r>
      <w:r w:rsidR="00744EA4" w:rsidRPr="00744EA4">
        <w:rPr>
          <w:rFonts w:ascii="Times New Roman" w:eastAsia="Times New Roman" w:hAnsi="Times New Roman" w:cs="Times New Roman"/>
          <w:sz w:val="24"/>
          <w:szCs w:val="24"/>
        </w:rPr>
        <w:t>, the regulatory focus has shifted from audit committees toward independent R</w:t>
      </w:r>
      <w:r w:rsidR="00197BB6" w:rsidRPr="00880312">
        <w:rPr>
          <w:rFonts w:ascii="Times New Roman" w:eastAsia="Times New Roman" w:hAnsi="Times New Roman" w:cs="Times New Roman"/>
          <w:sz w:val="24"/>
          <w:szCs w:val="24"/>
        </w:rPr>
        <w:t>.C.</w:t>
      </w:r>
      <w:r w:rsidR="00744EA4" w:rsidRPr="00744EA4">
        <w:rPr>
          <w:rFonts w:ascii="Times New Roman" w:eastAsia="Times New Roman" w:hAnsi="Times New Roman" w:cs="Times New Roman"/>
          <w:sz w:val="24"/>
          <w:szCs w:val="24"/>
        </w:rPr>
        <w:t xml:space="preserve">s, </w:t>
      </w:r>
      <w:r w:rsidR="00567377">
        <w:rPr>
          <w:rFonts w:ascii="Times New Roman" w:eastAsia="Times New Roman" w:hAnsi="Times New Roman" w:cs="Times New Roman"/>
          <w:sz w:val="24"/>
          <w:szCs w:val="24"/>
        </w:rPr>
        <w:t>intending to improve</w:t>
      </w:r>
      <w:r w:rsidR="00744EA4" w:rsidRPr="00744EA4">
        <w:rPr>
          <w:rFonts w:ascii="Times New Roman" w:eastAsia="Times New Roman" w:hAnsi="Times New Roman" w:cs="Times New Roman"/>
          <w:sz w:val="24"/>
          <w:szCs w:val="24"/>
        </w:rPr>
        <w:t xml:space="preserve"> risk oversight in financial institutions. In the United States, covered BHCs (a</w:t>
      </w:r>
      <w:r w:rsidR="00567377">
        <w:rPr>
          <w:rFonts w:ascii="Times New Roman" w:eastAsia="Times New Roman" w:hAnsi="Times New Roman" w:cs="Times New Roman"/>
          <w:sz w:val="24"/>
          <w:szCs w:val="24"/>
        </w:rPr>
        <w:t>nd</w:t>
      </w:r>
      <w:r w:rsidR="00744EA4" w:rsidRPr="00744EA4">
        <w:rPr>
          <w:rFonts w:ascii="Times New Roman" w:eastAsia="Times New Roman" w:hAnsi="Times New Roman" w:cs="Times New Roman"/>
          <w:sz w:val="24"/>
          <w:szCs w:val="24"/>
        </w:rPr>
        <w:t xml:space="preserve"> publicly traded BHCs with assets of more than $10 billion) </w:t>
      </w:r>
      <w:r w:rsidR="00567377">
        <w:rPr>
          <w:rFonts w:ascii="Times New Roman" w:eastAsia="Times New Roman" w:hAnsi="Times New Roman" w:cs="Times New Roman"/>
          <w:sz w:val="24"/>
          <w:szCs w:val="24"/>
        </w:rPr>
        <w:t>must</w:t>
      </w:r>
      <w:r w:rsidR="00744EA4" w:rsidRPr="00744EA4">
        <w:rPr>
          <w:rFonts w:ascii="Times New Roman" w:eastAsia="Times New Roman" w:hAnsi="Times New Roman" w:cs="Times New Roman"/>
          <w:sz w:val="24"/>
          <w:szCs w:val="24"/>
        </w:rPr>
        <w:t xml:space="preserve"> have separate R</w:t>
      </w:r>
      <w:r w:rsidR="00197BB6" w:rsidRPr="00880312">
        <w:rPr>
          <w:rFonts w:ascii="Times New Roman" w:eastAsia="Times New Roman" w:hAnsi="Times New Roman" w:cs="Times New Roman"/>
          <w:sz w:val="24"/>
          <w:szCs w:val="24"/>
        </w:rPr>
        <w:t>.C.</w:t>
      </w:r>
      <w:r w:rsidR="00744EA4" w:rsidRPr="00744EA4">
        <w:rPr>
          <w:rFonts w:ascii="Times New Roman" w:eastAsia="Times New Roman" w:hAnsi="Times New Roman" w:cs="Times New Roman"/>
          <w:sz w:val="24"/>
          <w:szCs w:val="24"/>
        </w:rPr>
        <w:t>s for risk monitoring and oversight (Federal Register, 2014b). Acknowledging this regulatory stance and based on the literature showing that the presence of female directors on monitoring committees results in better risk-management practice (Sun &amp; Liu, 2014; Zalaata et al., 2016; Adams &amp; Ragunathan, 2017), we propose our third hypothesis:</w:t>
      </w:r>
    </w:p>
    <w:p w14:paraId="315EE817" w14:textId="70ABE305" w:rsidR="00880312"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b/>
          <w:bCs/>
          <w:i/>
          <w:iCs/>
          <w:sz w:val="24"/>
          <w:szCs w:val="24"/>
        </w:rPr>
        <w:t>H3</w:t>
      </w:r>
      <w:r w:rsidRPr="00744EA4">
        <w:rPr>
          <w:rFonts w:ascii="Times New Roman" w:eastAsia="Times New Roman" w:hAnsi="Times New Roman" w:cs="Times New Roman"/>
          <w:i/>
          <w:iCs/>
          <w:sz w:val="24"/>
          <w:szCs w:val="24"/>
        </w:rPr>
        <w:t xml:space="preserve">: A gender-diverse risk committee </w:t>
      </w:r>
      <w:r w:rsidR="0091261D">
        <w:rPr>
          <w:rFonts w:ascii="Times New Roman" w:eastAsia="Times New Roman" w:hAnsi="Times New Roman" w:cs="Times New Roman"/>
          <w:i/>
          <w:iCs/>
          <w:sz w:val="24"/>
          <w:szCs w:val="24"/>
        </w:rPr>
        <w:t xml:space="preserve">significantly </w:t>
      </w:r>
      <w:r w:rsidRPr="00744EA4">
        <w:rPr>
          <w:rFonts w:ascii="Times New Roman" w:eastAsia="Times New Roman" w:hAnsi="Times New Roman" w:cs="Times New Roman"/>
          <w:i/>
          <w:iCs/>
          <w:sz w:val="24"/>
          <w:szCs w:val="24"/>
        </w:rPr>
        <w:t>moderates the female CROs and bank risk</w:t>
      </w:r>
      <w:r w:rsidR="0091261D">
        <w:rPr>
          <w:rFonts w:ascii="Times New Roman" w:eastAsia="Times New Roman" w:hAnsi="Times New Roman" w:cs="Times New Roman"/>
          <w:i/>
          <w:iCs/>
          <w:sz w:val="24"/>
          <w:szCs w:val="24"/>
        </w:rPr>
        <w:t xml:space="preserve"> relationship</w:t>
      </w:r>
      <w:r w:rsidRPr="00744EA4">
        <w:rPr>
          <w:rFonts w:ascii="Times New Roman" w:eastAsia="Times New Roman" w:hAnsi="Times New Roman" w:cs="Times New Roman"/>
          <w:i/>
          <w:iCs/>
          <w:sz w:val="24"/>
          <w:szCs w:val="24"/>
        </w:rPr>
        <w:t>.</w:t>
      </w:r>
    </w:p>
    <w:p w14:paraId="1219630C" w14:textId="3A775249" w:rsidR="00744EA4" w:rsidRDefault="0037662B" w:rsidP="003C7034">
      <w:pPr>
        <w:pStyle w:val="Heading4"/>
        <w:rPr>
          <w:rFonts w:ascii="Times New Roman" w:hAnsi="Times New Roman" w:cs="Times New Roman"/>
          <w:b/>
          <w:bCs/>
          <w:i w:val="0"/>
          <w:iCs w:val="0"/>
          <w:color w:val="000000" w:themeColor="text1"/>
          <w:sz w:val="24"/>
          <w:szCs w:val="24"/>
        </w:rPr>
      </w:pPr>
      <w:r w:rsidRPr="003C7034">
        <w:rPr>
          <w:rFonts w:ascii="Times New Roman" w:hAnsi="Times New Roman" w:cs="Times New Roman"/>
          <w:b/>
          <w:bCs/>
          <w:i w:val="0"/>
          <w:iCs w:val="0"/>
          <w:color w:val="000000" w:themeColor="text1"/>
          <w:sz w:val="24"/>
          <w:szCs w:val="24"/>
        </w:rPr>
        <w:t>3.</w:t>
      </w:r>
      <w:r w:rsidR="00744EA4" w:rsidRPr="003C7034">
        <w:rPr>
          <w:rFonts w:ascii="Times New Roman" w:hAnsi="Times New Roman" w:cs="Times New Roman"/>
          <w:b/>
          <w:bCs/>
          <w:i w:val="0"/>
          <w:iCs w:val="0"/>
          <w:color w:val="000000" w:themeColor="text1"/>
          <w:sz w:val="24"/>
          <w:szCs w:val="24"/>
        </w:rPr>
        <w:t>2.2.3 Moderating Role of CRO Reporting Line</w:t>
      </w:r>
    </w:p>
    <w:p w14:paraId="658E9DEF" w14:textId="77777777" w:rsidR="003C7034" w:rsidRPr="003C7034" w:rsidRDefault="003C7034" w:rsidP="003C7034"/>
    <w:p w14:paraId="72F96B71" w14:textId="7346A578"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In this section, we argue that effective risk</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management requires firms to operate at an optimal level of risk, which can lead to shareholder value-creation (Stulz, 2012). However, there are two critical concerns in </w:t>
      </w:r>
      <w:r w:rsidR="00567377">
        <w:rPr>
          <w:rFonts w:ascii="Times New Roman" w:eastAsia="Times New Roman" w:hAnsi="Times New Roman" w:cs="Times New Roman"/>
          <w:sz w:val="24"/>
          <w:szCs w:val="24"/>
        </w:rPr>
        <w:t>pursuing</w:t>
      </w:r>
      <w:r w:rsidRPr="00744EA4">
        <w:rPr>
          <w:rFonts w:ascii="Times New Roman" w:eastAsia="Times New Roman" w:hAnsi="Times New Roman" w:cs="Times New Roman"/>
          <w:sz w:val="24"/>
          <w:szCs w:val="24"/>
        </w:rPr>
        <w:t xml:space="preserve"> an optimal risk level: first, who determines optimal risk-taking, and second, who measures and monitors risk exposure to curtail excessive risk-taking (Ellul, 2015). Senior management is one candidate for determining optimal risk level</w:t>
      </w:r>
      <w:r w:rsidR="00567377">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However, this group has its incentives that may lead an institution to take high risks without putting proper risk-management practices into place (Bebchuk &amp; Spamann, 2010; Cheng et al., 2010). Due to these conflicts of interest for senior management, the Bank for International Settlements (2010) argues that the board is responsible for determining the optimal risk level (Ellul, 2015). However, if the board is to be the key force of risk management, it requires timely access to relevant risk-related information (Stulz, 2008), which is impossible without a</w:t>
      </w:r>
      <w:r w:rsidR="00567377">
        <w:rPr>
          <w:rFonts w:ascii="Times New Roman" w:eastAsia="Times New Roman" w:hAnsi="Times New Roman" w:cs="Times New Roman"/>
          <w:sz w:val="24"/>
          <w:szCs w:val="24"/>
        </w:rPr>
        <w:t xml:space="preserve"> practical</w:t>
      </w:r>
      <w:r w:rsidRPr="00744EA4">
        <w:rPr>
          <w:rFonts w:ascii="Times New Roman" w:eastAsia="Times New Roman" w:hAnsi="Times New Roman" w:cs="Times New Roman"/>
          <w:sz w:val="24"/>
          <w:szCs w:val="24"/>
        </w:rPr>
        <w:t xml:space="preserve"> risk-management function. Here, the role of the CRO as part of the risk-management function becomes crucial for effectively communicating the information to the board (Stulz, 2008).</w:t>
      </w:r>
    </w:p>
    <w:p w14:paraId="659BD512" w14:textId="0772823A"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Effective communication requires the CRO to report directly to the board, as communication failures can occur when there is a hierarchical structure with information filtering in the management chain (Senior Supervisor Group, 2008). </w:t>
      </w:r>
      <w:r w:rsidRPr="00744EA4">
        <w:rPr>
          <w:rFonts w:ascii="Times New Roman" w:eastAsia="Times New Roman" w:hAnsi="Times New Roman" w:cs="Times New Roman"/>
          <w:i/>
          <w:iCs/>
          <w:sz w:val="24"/>
          <w:szCs w:val="24"/>
        </w:rPr>
        <w:t>The Walker Report 2009</w:t>
      </w:r>
      <w:r w:rsidRPr="00744EA4">
        <w:rPr>
          <w:rFonts w:ascii="Times New Roman" w:eastAsia="Times New Roman" w:hAnsi="Times New Roman" w:cs="Times New Roman"/>
          <w:sz w:val="24"/>
          <w:szCs w:val="24"/>
        </w:rPr>
        <w:t xml:space="preserve"> argues that the CRO should report to the board or board risk</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committee with direct access to the board chairman in case of need. Murphy (2011) conducted a study on the independence of the risk-management systems in 25 large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bank holding companies and found CEOs and CFOs to be the dominant information providers to the board. Mongiardino and Plath (2010) </w:t>
      </w:r>
      <w:r w:rsidR="00567377">
        <w:rPr>
          <w:rFonts w:ascii="Times New Roman" w:eastAsia="Times New Roman" w:hAnsi="Times New Roman" w:cs="Times New Roman"/>
          <w:sz w:val="24"/>
          <w:szCs w:val="24"/>
        </w:rPr>
        <w:t>studied</w:t>
      </w:r>
      <w:r w:rsidRPr="00744EA4">
        <w:rPr>
          <w:rFonts w:ascii="Times New Roman" w:eastAsia="Times New Roman" w:hAnsi="Times New Roman" w:cs="Times New Roman"/>
          <w:sz w:val="24"/>
          <w:szCs w:val="24"/>
        </w:rPr>
        <w:t xml:space="preserve"> 20 large banks and found that CRO reporting lines did not ensure adequate access to and influence on the CEOs and board directors. However, Aebi, Sabato, and Schmid (2012) found that CRO reporting lines to the board were directly related to better performance during crisis periods than CRO reporting to the CEO.</w:t>
      </w:r>
    </w:p>
    <w:p w14:paraId="2649F9AB" w14:textId="4EFAAE95"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Thus, to explore the impact of female CROs on bank risk, we used the channel of CRO reporting line. We argue that a conventional corporate governance structure, where all executives report to the CEO, might not be the most suitable structure for a bank, as there can be conflicts of interest between the CEO and CRO. However, a CEO has a stronger role and will prefer to increase growth and profitability in a good market environment, which can result in greater risk-taking. Hence, based on the above review of the literature, we expect that a CRO reporting line to the board will significantly moderate risk-taking behaviour among female CROs; thus, we propose the following hypothesis:</w:t>
      </w:r>
    </w:p>
    <w:p w14:paraId="1456143F" w14:textId="222F936F" w:rsidR="00057265" w:rsidRDefault="00744EA4" w:rsidP="003C7034">
      <w:pPr>
        <w:spacing w:line="480" w:lineRule="auto"/>
        <w:jc w:val="both"/>
        <w:rPr>
          <w:rFonts w:ascii="Times New Roman" w:eastAsia="Times New Roman" w:hAnsi="Times New Roman" w:cs="Times New Roman"/>
          <w:i/>
          <w:iCs/>
          <w:sz w:val="24"/>
          <w:szCs w:val="24"/>
        </w:rPr>
      </w:pPr>
      <w:r w:rsidRPr="00744EA4">
        <w:rPr>
          <w:rFonts w:ascii="Times New Roman" w:eastAsia="Times New Roman" w:hAnsi="Times New Roman" w:cs="Times New Roman"/>
          <w:b/>
          <w:bCs/>
          <w:i/>
          <w:iCs/>
          <w:sz w:val="24"/>
          <w:szCs w:val="24"/>
        </w:rPr>
        <w:t>H4</w:t>
      </w:r>
      <w:r w:rsidRPr="00744EA4">
        <w:rPr>
          <w:rFonts w:ascii="Times New Roman" w:eastAsia="Times New Roman" w:hAnsi="Times New Roman" w:cs="Times New Roman"/>
          <w:i/>
          <w:iCs/>
          <w:sz w:val="24"/>
          <w:szCs w:val="24"/>
        </w:rPr>
        <w:t>: Female CROs reporting to the board will moderate the relationship between female CRO and bank risk.</w:t>
      </w:r>
      <w:r w:rsidR="00057265">
        <w:rPr>
          <w:rFonts w:ascii="Times New Roman" w:eastAsia="Times New Roman" w:hAnsi="Times New Roman" w:cs="Times New Roman"/>
          <w:i/>
          <w:iCs/>
          <w:sz w:val="24"/>
          <w:szCs w:val="24"/>
        </w:rPr>
        <w:br w:type="page"/>
      </w:r>
    </w:p>
    <w:p w14:paraId="7D3A0089" w14:textId="77777777" w:rsidR="00744EA4" w:rsidRPr="00744EA4" w:rsidRDefault="00744EA4" w:rsidP="00744EA4">
      <w:pPr>
        <w:spacing w:line="480" w:lineRule="auto"/>
        <w:jc w:val="both"/>
        <w:rPr>
          <w:rFonts w:ascii="Times New Roman" w:eastAsia="Times New Roman" w:hAnsi="Times New Roman" w:cs="Times New Roman"/>
          <w:sz w:val="24"/>
          <w:szCs w:val="24"/>
        </w:rPr>
      </w:pPr>
    </w:p>
    <w:p w14:paraId="1F9B611B" w14:textId="55A52E55" w:rsidR="00744EA4" w:rsidRPr="003C7034" w:rsidRDefault="0037662B" w:rsidP="003C7034">
      <w:pPr>
        <w:pStyle w:val="Heading2"/>
        <w:rPr>
          <w:sz w:val="32"/>
          <w:szCs w:val="32"/>
        </w:rPr>
      </w:pPr>
      <w:bookmarkStart w:id="34" w:name="_Toc145616177"/>
      <w:r w:rsidRPr="003C7034">
        <w:rPr>
          <w:sz w:val="32"/>
          <w:szCs w:val="32"/>
        </w:rPr>
        <w:t>3.</w:t>
      </w:r>
      <w:r w:rsidR="00744EA4" w:rsidRPr="003C7034">
        <w:rPr>
          <w:sz w:val="32"/>
          <w:szCs w:val="32"/>
        </w:rPr>
        <w:t>3. Data and Method</w:t>
      </w:r>
      <w:bookmarkEnd w:id="34"/>
    </w:p>
    <w:p w14:paraId="248A937C" w14:textId="77777777" w:rsidR="003C7034" w:rsidRPr="003C7034" w:rsidRDefault="003C7034" w:rsidP="003C7034"/>
    <w:p w14:paraId="79AB61D7" w14:textId="40BA4F4F" w:rsidR="001C08EE" w:rsidRPr="003C7034" w:rsidRDefault="0037662B" w:rsidP="003C7034">
      <w:pPr>
        <w:pStyle w:val="Heading3"/>
        <w:rPr>
          <w:rFonts w:ascii="Times New Roman" w:hAnsi="Times New Roman" w:cs="Times New Roman"/>
          <w:b/>
          <w:bCs/>
          <w:color w:val="000000" w:themeColor="text1"/>
          <w:sz w:val="28"/>
          <w:szCs w:val="28"/>
        </w:rPr>
      </w:pPr>
      <w:bookmarkStart w:id="35" w:name="_Toc145616178"/>
      <w:r w:rsidRPr="003C7034">
        <w:rPr>
          <w:rFonts w:ascii="Times New Roman" w:hAnsi="Times New Roman" w:cs="Times New Roman"/>
          <w:b/>
          <w:bCs/>
          <w:color w:val="000000" w:themeColor="text1"/>
          <w:sz w:val="28"/>
          <w:szCs w:val="28"/>
        </w:rPr>
        <w:t>3.</w:t>
      </w:r>
      <w:r w:rsidR="001C08EE" w:rsidRPr="003C7034">
        <w:rPr>
          <w:rFonts w:ascii="Times New Roman" w:hAnsi="Times New Roman" w:cs="Times New Roman"/>
          <w:b/>
          <w:bCs/>
          <w:color w:val="000000" w:themeColor="text1"/>
          <w:sz w:val="28"/>
          <w:szCs w:val="28"/>
        </w:rPr>
        <w:t>3.1. Data and Sample</w:t>
      </w:r>
      <w:bookmarkEnd w:id="35"/>
    </w:p>
    <w:p w14:paraId="26E907D3" w14:textId="6084D57F" w:rsidR="00880312"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The current study used a sample of listed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commercial banks and BHCs. We hand</w:t>
      </w:r>
      <w:r w:rsidR="00567377">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collected the data for CRO presence using proxy statements (DEF 14-A), 10-K reports, and in some instances, company websites. The accounting data for the selected companies were taken from Bank Focus by Bureau van Dijk, market data from Thomson Reuters Eikon, and board data from Boardex. The sample period ranged from 2004 to 2018 to cover some of the periods before and after the financial crisis of 2007–2008. Following </w:t>
      </w:r>
      <w:r w:rsidRPr="00744EA4">
        <w:rPr>
          <w:rFonts w:ascii="Times New Roman" w:eastAsia="DengXian" w:hAnsi="Times New Roman" w:cs="Times New Roman"/>
          <w:sz w:val="24"/>
          <w:szCs w:val="24"/>
        </w:rPr>
        <w:t>Vallascas et al. (2017),</w:t>
      </w:r>
      <w:r w:rsidRPr="00744EA4">
        <w:rPr>
          <w:rFonts w:ascii="Times New Roman" w:eastAsia="Times New Roman" w:hAnsi="Times New Roman" w:cs="Times New Roman"/>
          <w:sz w:val="24"/>
          <w:szCs w:val="24"/>
        </w:rPr>
        <w:t xml:space="preserve"> we began our sample construction by taking an initial list of the top</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500 listed banks and BHCs in terms of total assets in the United States at the end of 2004. We further refined our database by identifying unique financial institutions </w:t>
      </w:r>
      <w:r w:rsidR="00CB1AD8">
        <w:rPr>
          <w:rFonts w:ascii="Times New Roman" w:eastAsia="Times New Roman" w:hAnsi="Times New Roman" w:cs="Times New Roman"/>
          <w:sz w:val="24"/>
          <w:szCs w:val="24"/>
        </w:rPr>
        <w:t>by</w:t>
      </w:r>
      <w:r w:rsidR="00CB1AD8"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manual</w:t>
      </w:r>
      <w:r w:rsidR="00CB1AD8">
        <w:rPr>
          <w:rFonts w:ascii="Times New Roman" w:eastAsia="Times New Roman" w:hAnsi="Times New Roman" w:cs="Times New Roman"/>
          <w:sz w:val="24"/>
          <w:szCs w:val="24"/>
        </w:rPr>
        <w:t>ly</w:t>
      </w:r>
      <w:r w:rsidRPr="00744EA4">
        <w:rPr>
          <w:rFonts w:ascii="Times New Roman" w:eastAsia="Times New Roman" w:hAnsi="Times New Roman" w:cs="Times New Roman"/>
          <w:sz w:val="24"/>
          <w:szCs w:val="24"/>
        </w:rPr>
        <w:t xml:space="preserve"> </w:t>
      </w:r>
      <w:r w:rsidR="00CB1AD8">
        <w:rPr>
          <w:rFonts w:ascii="Times New Roman" w:eastAsia="Times New Roman" w:hAnsi="Times New Roman" w:cs="Times New Roman"/>
          <w:sz w:val="24"/>
          <w:szCs w:val="24"/>
        </w:rPr>
        <w:t>verifying</w:t>
      </w:r>
      <w:r w:rsidRPr="00744EA4">
        <w:rPr>
          <w:rFonts w:ascii="Times New Roman" w:eastAsia="Times New Roman" w:hAnsi="Times New Roman" w:cs="Times New Roman"/>
          <w:sz w:val="24"/>
          <w:szCs w:val="24"/>
        </w:rPr>
        <w:t xml:space="preserve"> </w:t>
      </w:r>
      <w:r w:rsidR="00567377">
        <w:rPr>
          <w:rFonts w:ascii="Times New Roman" w:eastAsia="Times New Roman" w:hAnsi="Times New Roman" w:cs="Times New Roman"/>
          <w:sz w:val="24"/>
          <w:szCs w:val="24"/>
        </w:rPr>
        <w:t>each bank's BvD ID, ISIN, ticker symbol, and website address</w:t>
      </w:r>
      <w:r w:rsidRPr="00744EA4">
        <w:rPr>
          <w:rFonts w:ascii="Times New Roman" w:eastAsia="Times New Roman" w:hAnsi="Times New Roman" w:cs="Times New Roman"/>
          <w:sz w:val="24"/>
          <w:szCs w:val="24"/>
        </w:rPr>
        <w:t>, thereby avoiding</w:t>
      </w:r>
      <w:r w:rsidRPr="00744EA4">
        <w:rPr>
          <w:rFonts w:ascii="Times New Roman" w:eastAsia="Times New Roman" w:hAnsi="Times New Roman" w:cs="Times New Roman"/>
        </w:rPr>
        <w:t xml:space="preserve"> </w:t>
      </w:r>
      <w:r w:rsidRPr="00744EA4">
        <w:rPr>
          <w:rFonts w:ascii="Times New Roman" w:eastAsia="Times New Roman" w:hAnsi="Times New Roman" w:cs="Times New Roman"/>
          <w:sz w:val="24"/>
          <w:szCs w:val="24"/>
        </w:rPr>
        <w:t xml:space="preserve">duplication. We retained those financial institutions with </w:t>
      </w:r>
      <w:r w:rsidR="00567377">
        <w:rPr>
          <w:rFonts w:ascii="Times New Roman" w:eastAsia="Times New Roman" w:hAnsi="Times New Roman" w:cs="Times New Roman"/>
          <w:sz w:val="24"/>
          <w:szCs w:val="24"/>
        </w:rPr>
        <w:t>C1, C2, or C*codes</w:t>
      </w:r>
      <w:r w:rsidRPr="00744EA4">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vertAlign w:val="superscript"/>
        </w:rPr>
        <w:footnoteReference w:id="7"/>
      </w:r>
      <w:r w:rsidRPr="00744EA4">
        <w:rPr>
          <w:rFonts w:ascii="Times New Roman" w:eastAsia="Times New Roman" w:hAnsi="Times New Roman" w:cs="Times New Roman"/>
          <w:sz w:val="24"/>
          <w:szCs w:val="24"/>
        </w:rPr>
        <w:t xml:space="preserve"> These filtering procedures reduce our sample to 147 banks. To obtain governance data, we matched this sample with the Boardex data. Our primary variable of interest did not have good coverage in Boardex, so we manually collected the information regarding CRO demographics, reporting style, and percentage of women on the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 xml:space="preserve">s, using the 10-K annual report and DEF 14A (proxy statements) in Edgar. Where </w:t>
      </w:r>
      <w:r w:rsidR="00567377">
        <w:rPr>
          <w:rFonts w:ascii="Times New Roman" w:eastAsia="Times New Roman" w:hAnsi="Times New Roman" w:cs="Times New Roman"/>
          <w:sz w:val="24"/>
          <w:szCs w:val="24"/>
        </w:rPr>
        <w:t>CRO information</w:t>
      </w:r>
      <w:r w:rsidRPr="00744EA4">
        <w:rPr>
          <w:rFonts w:ascii="Times New Roman" w:eastAsia="Times New Roman" w:hAnsi="Times New Roman" w:cs="Times New Roman"/>
          <w:sz w:val="24"/>
          <w:szCs w:val="24"/>
        </w:rPr>
        <w:t xml:space="preserve"> was missing, we supplemented our search with S&amp;P market intelligence and the company websites.</w:t>
      </w:r>
      <w:r w:rsidRPr="00744EA4">
        <w:rPr>
          <w:rFonts w:ascii="Times New Roman" w:eastAsia="Times New Roman" w:hAnsi="Times New Roman" w:cs="Times New Roman"/>
          <w:sz w:val="24"/>
          <w:szCs w:val="24"/>
          <w:vertAlign w:val="superscript"/>
        </w:rPr>
        <w:footnoteReference w:id="8"/>
      </w:r>
      <w:r w:rsidRPr="00744EA4">
        <w:rPr>
          <w:rFonts w:ascii="Times New Roman" w:eastAsia="Times New Roman" w:hAnsi="Times New Roman" w:cs="Times New Roman"/>
          <w:sz w:val="24"/>
          <w:szCs w:val="24"/>
        </w:rPr>
        <w:t xml:space="preserve"> The final sample consisted of 120 banks and 1,780 bank-year observations. Despite the use of different selection criteria, the number of banks in our study was similar to that in previous bank governance and risk management studies (e.g., </w:t>
      </w:r>
      <w:r w:rsidRPr="00744EA4">
        <w:rPr>
          <w:rFonts w:ascii="Times New Roman" w:eastAsia="DengXian" w:hAnsi="Times New Roman" w:cs="Times New Roman"/>
          <w:color w:val="000000"/>
          <w:sz w:val="24"/>
          <w:szCs w:val="24"/>
        </w:rPr>
        <w:t xml:space="preserve">Minton et al., 2012; </w:t>
      </w:r>
      <w:r w:rsidRPr="00744EA4">
        <w:rPr>
          <w:rFonts w:ascii="Times New Roman" w:eastAsia="Times New Roman" w:hAnsi="Times New Roman" w:cs="Times New Roman"/>
          <w:sz w:val="24"/>
          <w:szCs w:val="24"/>
        </w:rPr>
        <w:t xml:space="preserve">Ellul and Yeramilli, 2013; Acharya et al., 2013, </w:t>
      </w:r>
      <w:r w:rsidRPr="00744EA4">
        <w:rPr>
          <w:rFonts w:ascii="Times New Roman" w:eastAsia="DengXian" w:hAnsi="Times New Roman" w:cs="Times New Roman"/>
          <w:color w:val="000000"/>
          <w:sz w:val="24"/>
          <w:szCs w:val="24"/>
        </w:rPr>
        <w:t xml:space="preserve">Hines &amp; Peters, 2015; </w:t>
      </w:r>
      <w:r w:rsidRPr="00744EA4">
        <w:rPr>
          <w:rFonts w:ascii="Times New Roman" w:eastAsia="Times New Roman" w:hAnsi="Times New Roman" w:cs="Times New Roman"/>
          <w:sz w:val="24"/>
          <w:szCs w:val="24"/>
        </w:rPr>
        <w:t>Balasubramanyan et al., 2019).</w:t>
      </w:r>
    </w:p>
    <w:p w14:paraId="54DDFA46" w14:textId="3ADD20B4" w:rsidR="00744EA4" w:rsidRPr="003C7034" w:rsidRDefault="0037662B" w:rsidP="003C7034">
      <w:pPr>
        <w:pStyle w:val="Heading3"/>
        <w:rPr>
          <w:rFonts w:ascii="Times New Roman" w:hAnsi="Times New Roman" w:cs="Times New Roman"/>
          <w:b/>
          <w:bCs/>
          <w:color w:val="000000" w:themeColor="text1"/>
          <w:sz w:val="28"/>
          <w:szCs w:val="28"/>
        </w:rPr>
      </w:pPr>
      <w:bookmarkStart w:id="36" w:name="_Toc145616179"/>
      <w:r w:rsidRPr="003C7034">
        <w:rPr>
          <w:rFonts w:ascii="Times New Roman" w:hAnsi="Times New Roman" w:cs="Times New Roman"/>
          <w:b/>
          <w:bCs/>
          <w:color w:val="000000" w:themeColor="text1"/>
          <w:sz w:val="28"/>
          <w:szCs w:val="28"/>
        </w:rPr>
        <w:t>3.</w:t>
      </w:r>
      <w:r w:rsidR="00744EA4" w:rsidRPr="003C7034">
        <w:rPr>
          <w:rFonts w:ascii="Times New Roman" w:hAnsi="Times New Roman" w:cs="Times New Roman"/>
          <w:b/>
          <w:bCs/>
          <w:color w:val="000000" w:themeColor="text1"/>
          <w:sz w:val="28"/>
          <w:szCs w:val="28"/>
        </w:rPr>
        <w:t>3.</w:t>
      </w:r>
      <w:r w:rsidR="001C08EE" w:rsidRPr="003C7034">
        <w:rPr>
          <w:rFonts w:ascii="Times New Roman" w:hAnsi="Times New Roman" w:cs="Times New Roman"/>
          <w:b/>
          <w:bCs/>
          <w:color w:val="000000" w:themeColor="text1"/>
          <w:sz w:val="28"/>
          <w:szCs w:val="28"/>
        </w:rPr>
        <w:t>2</w:t>
      </w:r>
      <w:r w:rsidR="00744EA4" w:rsidRPr="003C7034">
        <w:rPr>
          <w:rFonts w:ascii="Times New Roman" w:hAnsi="Times New Roman" w:cs="Times New Roman"/>
          <w:b/>
          <w:bCs/>
          <w:color w:val="000000" w:themeColor="text1"/>
          <w:sz w:val="28"/>
          <w:szCs w:val="28"/>
        </w:rPr>
        <w:t>. Methodology</w:t>
      </w:r>
      <w:bookmarkEnd w:id="36"/>
    </w:p>
    <w:p w14:paraId="62D73A5A" w14:textId="481943DB"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To study the impact of female CROs on the banks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overall risk, we used the following baseline regression model:</w:t>
      </w:r>
    </w:p>
    <w:p w14:paraId="75E67040" w14:textId="77777777" w:rsidR="00744EA4" w:rsidRPr="00744EA4" w:rsidRDefault="00744EA4" w:rsidP="00744EA4">
      <w:pPr>
        <w:spacing w:line="240" w:lineRule="auto"/>
        <w:jc w:val="both"/>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Risk </w:t>
      </w:r>
      <w:r w:rsidRPr="00744EA4">
        <w:rPr>
          <w:rFonts w:ascii="Times New Roman" w:eastAsia="Times New Roman" w:hAnsi="Times New Roman" w:cs="Times New Roman"/>
          <w:i/>
          <w:iCs/>
          <w:sz w:val="24"/>
          <w:szCs w:val="24"/>
          <w:vertAlign w:val="subscript"/>
        </w:rPr>
        <w:t>i, t</w:t>
      </w:r>
      <w:r w:rsidRPr="00744EA4">
        <w:rPr>
          <w:rFonts w:ascii="Times New Roman" w:eastAsia="Times New Roman" w:hAnsi="Times New Roman" w:cs="Times New Roman"/>
          <w:i/>
          <w:iCs/>
          <w:sz w:val="24"/>
          <w:szCs w:val="24"/>
        </w:rPr>
        <w:t xml:space="preserve"> = α</w:t>
      </w:r>
      <w:r w:rsidRPr="00744EA4">
        <w:rPr>
          <w:rFonts w:ascii="Times New Roman" w:eastAsia="Times New Roman" w:hAnsi="Times New Roman" w:cs="Times New Roman"/>
          <w:i/>
          <w:iCs/>
          <w:sz w:val="24"/>
          <w:szCs w:val="24"/>
          <w:vertAlign w:val="subscript"/>
        </w:rPr>
        <w:t>0</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1</w:t>
      </w:r>
      <w:r w:rsidRPr="00744EA4">
        <w:rPr>
          <w:rFonts w:ascii="Times New Roman" w:eastAsia="Times New Roman" w:hAnsi="Times New Roman" w:cs="Times New Roman"/>
          <w:i/>
          <w:iCs/>
          <w:sz w:val="24"/>
          <w:szCs w:val="24"/>
        </w:rPr>
        <w:t xml:space="preserve"> Female CRO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+β2 (Z)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Σ(Year Effects)</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+Σ(Firm Effects)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 </w:t>
      </w:r>
      <w:r w:rsidRPr="00744EA4">
        <w:rPr>
          <w:rFonts w:ascii="Times New Roman" w:eastAsia="Times New Roman" w:hAnsi="Times New Roman" w:cs="Times New Roman"/>
          <w:i/>
          <w:iCs/>
          <w:sz w:val="24"/>
          <w:szCs w:val="24"/>
          <w:vertAlign w:val="subscript"/>
        </w:rPr>
        <w:t>i,t</w:t>
      </w:r>
    </w:p>
    <w:p w14:paraId="246D341F" w14:textId="77777777" w:rsidR="00744EA4" w:rsidRPr="00744EA4" w:rsidRDefault="00744EA4" w:rsidP="001278ED">
      <w:pPr>
        <w:spacing w:line="240" w:lineRule="auto"/>
        <w:ind w:left="7200" w:firstLine="720"/>
        <w:jc w:val="both"/>
        <w:rPr>
          <w:rFonts w:ascii="Times New Roman" w:eastAsia="Times New Roman" w:hAnsi="Times New Roman" w:cs="Times New Roman"/>
          <w:b/>
          <w:bCs/>
          <w:sz w:val="24"/>
          <w:szCs w:val="24"/>
        </w:rPr>
      </w:pPr>
      <w:r w:rsidRPr="00744EA4">
        <w:rPr>
          <w:rFonts w:ascii="Times New Roman" w:eastAsia="Times New Roman" w:hAnsi="Times New Roman" w:cs="Times New Roman"/>
          <w:b/>
          <w:bCs/>
          <w:sz w:val="24"/>
          <w:szCs w:val="24"/>
        </w:rPr>
        <w:t>Eq (1)</w:t>
      </w:r>
    </w:p>
    <w:p w14:paraId="0C756042" w14:textId="5C0180F5"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Risk</w:t>
      </w:r>
      <w:r w:rsidRPr="00744EA4">
        <w:rPr>
          <w:rFonts w:ascii="Times New Roman" w:eastAsia="Times New Roman" w:hAnsi="Times New Roman" w:cs="Times New Roman"/>
          <w:sz w:val="24"/>
          <w:szCs w:val="24"/>
        </w:rPr>
        <w:t xml:space="preserve"> was measured as aggregate risk</w:t>
      </w:r>
      <w:r w:rsidR="00E30E2D">
        <w:rPr>
          <w:rFonts w:ascii="Times New Roman" w:eastAsia="Times New Roman" w:hAnsi="Times New Roman" w:cs="Times New Roman"/>
          <w:sz w:val="24"/>
          <w:szCs w:val="24"/>
        </w:rPr>
        <w:t>, and the a</w:t>
      </w:r>
      <w:r w:rsidRPr="00744EA4">
        <w:rPr>
          <w:rFonts w:ascii="Times New Roman" w:eastAsia="Times New Roman" w:hAnsi="Times New Roman" w:cs="Times New Roman"/>
          <w:sz w:val="24"/>
          <w:szCs w:val="24"/>
        </w:rPr>
        <w:t xml:space="preserve">ggregate risk was thus calculated as the standard deviation of </w:t>
      </w:r>
      <w:r w:rsidR="00E30E2D">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bank</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s daily stock returns. The rationale for taking </w:t>
      </w:r>
      <w:r w:rsidR="00567377">
        <w:rPr>
          <w:rFonts w:ascii="Times New Roman" w:eastAsia="Times New Roman" w:hAnsi="Times New Roman" w:cs="Times New Roman"/>
          <w:sz w:val="24"/>
          <w:szCs w:val="24"/>
        </w:rPr>
        <w:t xml:space="preserve">an </w:t>
      </w:r>
      <w:r w:rsidRPr="00744EA4">
        <w:rPr>
          <w:rFonts w:ascii="Times New Roman" w:eastAsia="Times New Roman" w:hAnsi="Times New Roman" w:cs="Times New Roman"/>
          <w:sz w:val="24"/>
          <w:szCs w:val="24"/>
        </w:rPr>
        <w:t>aggregate risk – and not silo risk (credit, liquidity, or operational risk) – was the ERM view that silo risk measures are linked with inefficiencies due to a lack of coordination between various risk types (Balasubramanyan et al., 2019). Thus, an integrated approach to risk management was expected to ensure an improved risk forecast for the banks.</w:t>
      </w:r>
    </w:p>
    <w:p w14:paraId="0DFA7309" w14:textId="28328231"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Our primary independent variable (</w:t>
      </w:r>
      <w:r w:rsidRPr="00744EA4">
        <w:rPr>
          <w:rFonts w:ascii="Times New Roman" w:eastAsia="Times New Roman" w:hAnsi="Times New Roman" w:cs="Times New Roman"/>
          <w:i/>
          <w:iCs/>
          <w:sz w:val="24"/>
          <w:szCs w:val="24"/>
        </w:rPr>
        <w:t>Female CRO</w:t>
      </w:r>
      <w:r w:rsidRPr="00744EA4">
        <w:rPr>
          <w:rFonts w:ascii="Times New Roman" w:eastAsia="Times New Roman" w:hAnsi="Times New Roman" w:cs="Times New Roman"/>
          <w:sz w:val="24"/>
          <w:szCs w:val="24"/>
        </w:rPr>
        <w:t xml:space="preserve">) was a dummy variable, coded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1</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if the bank had a female CRO, and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0</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otherwise. </w:t>
      </w:r>
      <w:r w:rsidRPr="00744EA4">
        <w:rPr>
          <w:rFonts w:ascii="Times New Roman" w:eastAsia="Times New Roman" w:hAnsi="Times New Roman" w:cs="Times New Roman"/>
          <w:i/>
          <w:iCs/>
          <w:sz w:val="24"/>
          <w:szCs w:val="24"/>
        </w:rPr>
        <w:t>Z</w:t>
      </w:r>
      <w:r w:rsidRPr="00744EA4">
        <w:rPr>
          <w:rFonts w:ascii="Times New Roman" w:eastAsia="Times New Roman" w:hAnsi="Times New Roman" w:cs="Times New Roman"/>
          <w:sz w:val="24"/>
          <w:szCs w:val="24"/>
        </w:rPr>
        <w:t xml:space="preserve"> represented a vector of control variables. Following previous studies (e.g., Ellul &amp; Yeramilli, 2013; Acharya et al., 2013; Vallascas et al., 2017; </w:t>
      </w:r>
      <w:r w:rsidRPr="00744EA4">
        <w:rPr>
          <w:rFonts w:ascii="Times New Roman" w:eastAsia="DengXian" w:hAnsi="Times New Roman" w:cs="Times New Roman"/>
          <w:color w:val="000000"/>
          <w:sz w:val="24"/>
          <w:szCs w:val="24"/>
        </w:rPr>
        <w:t>Magee et al., 2019</w:t>
      </w:r>
      <w:r w:rsidRPr="00744EA4">
        <w:rPr>
          <w:rFonts w:ascii="Times New Roman" w:eastAsia="Times New Roman" w:hAnsi="Times New Roman" w:cs="Times New Roman"/>
          <w:sz w:val="24"/>
          <w:szCs w:val="24"/>
        </w:rPr>
        <w:t xml:space="preserve">; Balasubramanyan et al., 2019; </w:t>
      </w:r>
      <w:r w:rsidRPr="00744EA4">
        <w:rPr>
          <w:rFonts w:ascii="Times New Roman" w:eastAsia="DengXian" w:hAnsi="Times New Roman" w:cs="Times New Roman"/>
          <w:color w:val="000000"/>
          <w:sz w:val="24"/>
          <w:szCs w:val="24"/>
        </w:rPr>
        <w:t>Atif et al., 2021</w:t>
      </w:r>
      <w:r w:rsidRPr="00744EA4">
        <w:rPr>
          <w:rFonts w:ascii="Times New Roman" w:eastAsia="Times New Roman" w:hAnsi="Times New Roman" w:cs="Times New Roman"/>
          <w:sz w:val="24"/>
          <w:szCs w:val="24"/>
        </w:rPr>
        <w:t xml:space="preserve">), we used two types of control variable: governance characteristics and </w:t>
      </w:r>
      <w:r w:rsidR="000B3888" w:rsidRPr="00744EA4">
        <w:rPr>
          <w:rFonts w:ascii="Times New Roman" w:eastAsia="Times New Roman" w:hAnsi="Times New Roman" w:cs="Times New Roman"/>
          <w:sz w:val="24"/>
          <w:szCs w:val="24"/>
        </w:rPr>
        <w:t>firm</w:t>
      </w:r>
      <w:r w:rsidR="00567377">
        <w:rPr>
          <w:rFonts w:ascii="Times New Roman" w:eastAsia="Times New Roman" w:hAnsi="Times New Roman" w:cs="Times New Roman"/>
          <w:sz w:val="24"/>
          <w:szCs w:val="24"/>
        </w:rPr>
        <w:t>-</w:t>
      </w:r>
      <w:r w:rsidR="000B3888" w:rsidRPr="00744EA4">
        <w:rPr>
          <w:rFonts w:ascii="Times New Roman" w:eastAsia="Times New Roman" w:hAnsi="Times New Roman" w:cs="Times New Roman"/>
          <w:sz w:val="24"/>
          <w:szCs w:val="24"/>
        </w:rPr>
        <w:t>specific</w:t>
      </w:r>
      <w:r w:rsidRPr="00744EA4">
        <w:rPr>
          <w:rFonts w:ascii="Times New Roman" w:eastAsia="Times New Roman" w:hAnsi="Times New Roman" w:cs="Times New Roman"/>
          <w:sz w:val="24"/>
          <w:szCs w:val="24"/>
        </w:rPr>
        <w:t xml:space="preserve">. To capture the governance quality of the banks, we used the percentage of independent directors on the board </w:t>
      </w:r>
      <w:r w:rsidRPr="00744EA4">
        <w:rPr>
          <w:rFonts w:ascii="Times New Roman" w:eastAsia="Times New Roman" w:hAnsi="Times New Roman" w:cs="Times New Roman"/>
          <w:i/>
          <w:iCs/>
          <w:sz w:val="24"/>
          <w:szCs w:val="24"/>
        </w:rPr>
        <w:t>(% independent</w:t>
      </w:r>
      <w:r w:rsidRPr="00744EA4">
        <w:rPr>
          <w:rFonts w:ascii="Times New Roman" w:eastAsia="Times New Roman" w:hAnsi="Times New Roman" w:cs="Times New Roman"/>
          <w:sz w:val="24"/>
          <w:szCs w:val="24"/>
        </w:rPr>
        <w:t>) and the natural log of the number of directors (</w:t>
      </w:r>
      <w:r w:rsidRPr="00744EA4">
        <w:rPr>
          <w:rFonts w:ascii="Times New Roman" w:eastAsia="Times New Roman" w:hAnsi="Times New Roman" w:cs="Times New Roman"/>
          <w:i/>
          <w:iCs/>
          <w:sz w:val="24"/>
          <w:szCs w:val="24"/>
        </w:rPr>
        <w:t>Board size</w:t>
      </w:r>
      <w:r w:rsidRPr="00744EA4">
        <w:rPr>
          <w:rFonts w:ascii="Times New Roman" w:eastAsia="Times New Roman" w:hAnsi="Times New Roman" w:cs="Times New Roman"/>
          <w:sz w:val="24"/>
          <w:szCs w:val="24"/>
        </w:rPr>
        <w:t>). CEO characteristics were employed as another set of governance variables. We included CEO power (</w:t>
      </w:r>
      <w:r w:rsidRPr="00744EA4">
        <w:rPr>
          <w:rFonts w:ascii="Times New Roman" w:eastAsia="Times New Roman" w:hAnsi="Times New Roman" w:cs="Times New Roman"/>
          <w:i/>
          <w:iCs/>
          <w:sz w:val="24"/>
          <w:szCs w:val="24"/>
        </w:rPr>
        <w:t>CEO duality</w:t>
      </w:r>
      <w:r w:rsidRPr="00744EA4">
        <w:rPr>
          <w:rFonts w:ascii="Times New Roman" w:eastAsia="Times New Roman" w:hAnsi="Times New Roman" w:cs="Times New Roman"/>
          <w:sz w:val="24"/>
          <w:szCs w:val="24"/>
        </w:rPr>
        <w:t xml:space="preserve">), assuming that powerful CEOs restrict information flow to the board, reducing board oversight and affecting business choices </w:t>
      </w:r>
      <w:r w:rsidRPr="00744EA4">
        <w:rPr>
          <w:rFonts w:ascii="Times New Roman" w:eastAsia="DengXian" w:hAnsi="Times New Roman" w:cs="Times New Roman"/>
          <w:sz w:val="24"/>
          <w:szCs w:val="24"/>
        </w:rPr>
        <w:t>(Fama &amp; Jensen, 1983; Jensen, 1993; Srivastav et al., 2017)</w:t>
      </w:r>
      <w:r w:rsidRPr="00744EA4">
        <w:rPr>
          <w:rFonts w:ascii="Times New Roman" w:eastAsia="Times New Roman" w:hAnsi="Times New Roman" w:cs="Times New Roman"/>
          <w:sz w:val="24"/>
          <w:szCs w:val="24"/>
        </w:rPr>
        <w:t>. We measured CEO power (</w:t>
      </w:r>
      <w:r w:rsidRPr="00744EA4">
        <w:rPr>
          <w:rFonts w:ascii="Times New Roman" w:eastAsia="Times New Roman" w:hAnsi="Times New Roman" w:cs="Times New Roman"/>
          <w:i/>
          <w:iCs/>
          <w:sz w:val="24"/>
          <w:szCs w:val="24"/>
        </w:rPr>
        <w:t>CEO duality</w:t>
      </w:r>
      <w:r w:rsidRPr="00744EA4">
        <w:rPr>
          <w:rFonts w:ascii="Times New Roman" w:eastAsia="Times New Roman" w:hAnsi="Times New Roman" w:cs="Times New Roman"/>
          <w:sz w:val="24"/>
          <w:szCs w:val="24"/>
        </w:rPr>
        <w:t xml:space="preserve">) </w:t>
      </w:r>
      <w:r w:rsidR="00B81D28">
        <w:rPr>
          <w:rFonts w:ascii="Times New Roman" w:eastAsia="Times New Roman" w:hAnsi="Times New Roman" w:cs="Times New Roman"/>
          <w:sz w:val="24"/>
          <w:szCs w:val="24"/>
        </w:rPr>
        <w:t>as</w:t>
      </w:r>
      <w:r w:rsidRPr="00744EA4">
        <w:rPr>
          <w:rFonts w:ascii="Times New Roman" w:eastAsia="Times New Roman" w:hAnsi="Times New Roman" w:cs="Times New Roman"/>
          <w:sz w:val="24"/>
          <w:szCs w:val="24"/>
        </w:rPr>
        <w:t xml:space="preserve"> a dummy variable equal to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1</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if the CEO </w:t>
      </w:r>
      <w:r w:rsidR="00B81D28">
        <w:rPr>
          <w:rFonts w:ascii="Times New Roman" w:eastAsia="Times New Roman" w:hAnsi="Times New Roman" w:cs="Times New Roman"/>
          <w:sz w:val="24"/>
          <w:szCs w:val="24"/>
        </w:rPr>
        <w:t xml:space="preserve">also holds the chair position of the board. </w:t>
      </w:r>
      <w:r w:rsidRPr="00744EA4">
        <w:rPr>
          <w:rFonts w:ascii="Times New Roman" w:eastAsia="Times New Roman" w:hAnsi="Times New Roman" w:cs="Times New Roman"/>
          <w:sz w:val="24"/>
          <w:szCs w:val="24"/>
        </w:rPr>
        <w:t>We further controlled for CEO risk-aversion by taking the dollar amount of the CEO</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cash compensation (</w:t>
      </w:r>
      <w:r w:rsidRPr="00744EA4">
        <w:rPr>
          <w:rFonts w:ascii="Times New Roman" w:eastAsia="DengXian" w:hAnsi="Times New Roman" w:cs="Times New Roman"/>
          <w:color w:val="000000"/>
          <w:sz w:val="24"/>
          <w:szCs w:val="24"/>
        </w:rPr>
        <w:t>Sila et al., 2016)</w:t>
      </w:r>
      <w:r w:rsidRPr="00744EA4">
        <w:rPr>
          <w:rFonts w:ascii="Times New Roman" w:eastAsia="Times New Roman" w:hAnsi="Times New Roman" w:cs="Times New Roman"/>
          <w:sz w:val="24"/>
          <w:szCs w:val="24"/>
        </w:rPr>
        <w:t xml:space="preserve">. The rationale was that a higher cash compensation allows CEOs to more easily diversify their wealth outside the firm and make them less </w:t>
      </w:r>
      <w:r w:rsidR="000B3888" w:rsidRPr="00744EA4">
        <w:rPr>
          <w:rFonts w:ascii="Times New Roman" w:eastAsia="Times New Roman" w:hAnsi="Times New Roman" w:cs="Times New Roman"/>
          <w:sz w:val="24"/>
          <w:szCs w:val="24"/>
        </w:rPr>
        <w:t>risk</w:t>
      </w:r>
      <w:r w:rsidR="00567377">
        <w:rPr>
          <w:rFonts w:ascii="Times New Roman" w:eastAsia="Times New Roman" w:hAnsi="Times New Roman" w:cs="Times New Roman"/>
          <w:sz w:val="24"/>
          <w:szCs w:val="24"/>
        </w:rPr>
        <w:t>-</w:t>
      </w:r>
      <w:r w:rsidR="000B3888" w:rsidRPr="00744EA4">
        <w:rPr>
          <w:rFonts w:ascii="Times New Roman" w:eastAsia="Times New Roman" w:hAnsi="Times New Roman" w:cs="Times New Roman"/>
          <w:sz w:val="24"/>
          <w:szCs w:val="24"/>
        </w:rPr>
        <w:t>averse</w:t>
      </w:r>
      <w:r w:rsidRPr="00744EA4">
        <w:rPr>
          <w:rFonts w:ascii="Times New Roman" w:eastAsia="Times New Roman" w:hAnsi="Times New Roman" w:cs="Times New Roman"/>
          <w:sz w:val="24"/>
          <w:szCs w:val="24"/>
        </w:rPr>
        <w:t xml:space="preserve"> (Sila et al., 2016). Bank-specific variables include the natural log of total bank assets (</w:t>
      </w:r>
      <w:r w:rsidRPr="00744EA4">
        <w:rPr>
          <w:rFonts w:ascii="Times New Roman" w:eastAsia="Times New Roman" w:hAnsi="Times New Roman" w:cs="Times New Roman"/>
          <w:i/>
          <w:iCs/>
          <w:sz w:val="24"/>
          <w:szCs w:val="24"/>
        </w:rPr>
        <w:t>Size</w:t>
      </w:r>
      <w:r w:rsidRPr="00744EA4">
        <w:rPr>
          <w:rFonts w:ascii="Times New Roman" w:eastAsia="Times New Roman" w:hAnsi="Times New Roman" w:cs="Times New Roman"/>
          <w:sz w:val="24"/>
          <w:szCs w:val="24"/>
        </w:rPr>
        <w:t>), profitability (</w:t>
      </w:r>
      <w:r w:rsidRPr="00744EA4">
        <w:rPr>
          <w:rFonts w:ascii="Times New Roman" w:eastAsia="Times New Roman" w:hAnsi="Times New Roman" w:cs="Times New Roman"/>
          <w:i/>
          <w:iCs/>
          <w:sz w:val="24"/>
          <w:szCs w:val="24"/>
        </w:rPr>
        <w:t>ROA</w:t>
      </w:r>
      <w:r w:rsidRPr="00744EA4">
        <w:rPr>
          <w:rFonts w:ascii="Times New Roman" w:eastAsia="Times New Roman" w:hAnsi="Times New Roman" w:cs="Times New Roman"/>
          <w:sz w:val="24"/>
          <w:szCs w:val="24"/>
        </w:rPr>
        <w:t>), capital (</w:t>
      </w:r>
      <w:r w:rsidRPr="00744EA4">
        <w:rPr>
          <w:rFonts w:ascii="Times New Roman" w:eastAsia="Times New Roman" w:hAnsi="Times New Roman" w:cs="Times New Roman"/>
          <w:i/>
          <w:iCs/>
          <w:sz w:val="24"/>
          <w:szCs w:val="24"/>
        </w:rPr>
        <w:t>Tier1 Ratio</w:t>
      </w:r>
      <w:r w:rsidRPr="00744EA4">
        <w:rPr>
          <w:rFonts w:ascii="Times New Roman" w:eastAsia="Times New Roman" w:hAnsi="Times New Roman" w:cs="Times New Roman"/>
          <w:sz w:val="24"/>
          <w:szCs w:val="24"/>
        </w:rPr>
        <w:t>), short-term borrowing to total assets (</w:t>
      </w:r>
      <w:r w:rsidRPr="00744EA4">
        <w:rPr>
          <w:rFonts w:ascii="Times New Roman" w:eastAsia="Times New Roman" w:hAnsi="Times New Roman" w:cs="Times New Roman"/>
          <w:i/>
          <w:iCs/>
          <w:sz w:val="24"/>
          <w:szCs w:val="24"/>
        </w:rPr>
        <w:t>St Borrowing/T.A.</w:t>
      </w:r>
      <w:r w:rsidRPr="00744EA4">
        <w:rPr>
          <w:rFonts w:ascii="Times New Roman" w:eastAsia="Times New Roman" w:hAnsi="Times New Roman" w:cs="Times New Roman"/>
          <w:sz w:val="24"/>
          <w:szCs w:val="24"/>
        </w:rPr>
        <w:t>), and bad loans to total assets (</w:t>
      </w:r>
      <w:r w:rsidRPr="00744EA4">
        <w:rPr>
          <w:rFonts w:ascii="Times New Roman" w:eastAsia="Times New Roman" w:hAnsi="Times New Roman" w:cs="Times New Roman"/>
          <w:i/>
          <w:iCs/>
          <w:sz w:val="24"/>
          <w:szCs w:val="24"/>
        </w:rPr>
        <w:t>Bad Loans/T.A.</w:t>
      </w:r>
      <w:r w:rsidRPr="00744EA4">
        <w:rPr>
          <w:rFonts w:ascii="Times New Roman" w:eastAsia="Times New Roman" w:hAnsi="Times New Roman" w:cs="Times New Roman"/>
          <w:sz w:val="24"/>
          <w:szCs w:val="24"/>
        </w:rPr>
        <w:t xml:space="preserve">). A detailed description of the variables is given in </w:t>
      </w:r>
      <w:r w:rsidR="00B603C3" w:rsidRPr="009E69CE">
        <w:rPr>
          <w:rFonts w:ascii="Times New Roman" w:eastAsia="Times New Roman" w:hAnsi="Times New Roman" w:cs="Times New Roman"/>
          <w:i/>
          <w:iCs/>
          <w:sz w:val="24"/>
          <w:szCs w:val="24"/>
        </w:rPr>
        <w:t>Table 3.1</w:t>
      </w:r>
      <w:r w:rsidRPr="00744EA4">
        <w:rPr>
          <w:rFonts w:ascii="Times New Roman" w:eastAsia="Times New Roman" w:hAnsi="Times New Roman" w:cs="Times New Roman"/>
          <w:sz w:val="24"/>
          <w:szCs w:val="24"/>
        </w:rPr>
        <w:t>. We dealt with endogeneity and simultaneity biases by taking a 1-year lag for our independent and control variables.</w:t>
      </w:r>
    </w:p>
    <w:p w14:paraId="5C1BD671" w14:textId="43678229"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To test the validity of H</w:t>
      </w:r>
      <w:r w:rsidRPr="00744EA4">
        <w:rPr>
          <w:rFonts w:ascii="Times New Roman" w:eastAsia="Times New Roman" w:hAnsi="Times New Roman" w:cs="Times New Roman"/>
          <w:sz w:val="24"/>
          <w:szCs w:val="24"/>
          <w:vertAlign w:val="subscript"/>
        </w:rPr>
        <w:t>2</w:t>
      </w:r>
      <w:r w:rsidRPr="00744EA4">
        <w:rPr>
          <w:rFonts w:ascii="Times New Roman" w:eastAsia="Times New Roman" w:hAnsi="Times New Roman" w:cs="Times New Roman"/>
          <w:sz w:val="24"/>
          <w:szCs w:val="24"/>
        </w:rPr>
        <w:t>, we examined the moderating role of board gender</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diversity on female CROs and bank risk. We measured board gender</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diversity as the percentage of women on a board. Our primary variable of interest was the interaction between women on the board and female-CRO presence.</w:t>
      </w:r>
    </w:p>
    <w:p w14:paraId="6B69B4E6" w14:textId="6B924D3D" w:rsidR="00744EA4" w:rsidRDefault="00744EA4" w:rsidP="00E30E2D">
      <w:pPr>
        <w:spacing w:line="24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Risk i, t = α</w:t>
      </w:r>
      <w:r w:rsidRPr="00744EA4">
        <w:rPr>
          <w:rFonts w:ascii="Times New Roman" w:eastAsia="Times New Roman" w:hAnsi="Times New Roman" w:cs="Times New Roman"/>
          <w:i/>
          <w:iCs/>
          <w:sz w:val="24"/>
          <w:szCs w:val="24"/>
          <w:vertAlign w:val="subscript"/>
        </w:rPr>
        <w:t>0</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1</w:t>
      </w:r>
      <w:r w:rsidRPr="00744EA4">
        <w:rPr>
          <w:rFonts w:ascii="Times New Roman" w:eastAsia="Times New Roman" w:hAnsi="Times New Roman" w:cs="Times New Roman"/>
          <w:i/>
          <w:iCs/>
          <w:sz w:val="24"/>
          <w:szCs w:val="24"/>
        </w:rPr>
        <w:t xml:space="preserve"> Female CRO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+β2 Female on Board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+β3 Female CRO</w:t>
      </w:r>
      <w:r w:rsidRPr="00744EA4">
        <w:rPr>
          <w:rFonts w:ascii="Times New Roman" w:eastAsia="Times New Roman" w:hAnsi="Times New Roman" w:cs="Times New Roman"/>
          <w:i/>
          <w:iCs/>
          <w:sz w:val="24"/>
          <w:szCs w:val="24"/>
          <w:vertAlign w:val="subscript"/>
        </w:rPr>
        <w:t xml:space="preserve"> i,t-1</w:t>
      </w:r>
      <w:r w:rsidRPr="00744EA4">
        <w:rPr>
          <w:rFonts w:ascii="Times New Roman" w:eastAsia="Times New Roman" w:hAnsi="Times New Roman" w:cs="Times New Roman"/>
          <w:i/>
          <w:iCs/>
          <w:sz w:val="24"/>
          <w:szCs w:val="24"/>
        </w:rPr>
        <w:t xml:space="preserve">* Female on Board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+β4 (Z)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Σ(Year Effects)</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+Σ(Firm Effects)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 </w:t>
      </w:r>
      <w:r w:rsidRPr="00744EA4">
        <w:rPr>
          <w:rFonts w:ascii="Times New Roman" w:eastAsia="Times New Roman" w:hAnsi="Times New Roman" w:cs="Times New Roman"/>
          <w:i/>
          <w:iCs/>
          <w:sz w:val="24"/>
          <w:szCs w:val="24"/>
          <w:vertAlign w:val="subscript"/>
        </w:rPr>
        <w:t>i,t</w:t>
      </w:r>
      <w:r w:rsidR="00E30E2D">
        <w:rPr>
          <w:rFonts w:ascii="Times New Roman" w:eastAsia="Times New Roman" w:hAnsi="Times New Roman" w:cs="Times New Roman"/>
          <w:i/>
          <w:iCs/>
          <w:sz w:val="24"/>
          <w:szCs w:val="24"/>
        </w:rPr>
        <w:tab/>
      </w:r>
      <w:r w:rsidR="00E30E2D">
        <w:rPr>
          <w:rFonts w:ascii="Times New Roman" w:eastAsia="Times New Roman" w:hAnsi="Times New Roman" w:cs="Times New Roman"/>
          <w:i/>
          <w:iCs/>
          <w:sz w:val="24"/>
          <w:szCs w:val="24"/>
        </w:rPr>
        <w:tab/>
      </w:r>
      <w:r w:rsidRPr="00744EA4">
        <w:rPr>
          <w:rFonts w:ascii="Times New Roman" w:eastAsia="Times New Roman" w:hAnsi="Times New Roman" w:cs="Times New Roman"/>
          <w:b/>
          <w:bCs/>
          <w:sz w:val="24"/>
          <w:szCs w:val="24"/>
        </w:rPr>
        <w:t>Eq (2</w:t>
      </w:r>
      <w:r w:rsidRPr="00744EA4">
        <w:rPr>
          <w:rFonts w:ascii="Times New Roman" w:eastAsia="Times New Roman" w:hAnsi="Times New Roman" w:cs="Times New Roman"/>
          <w:sz w:val="24"/>
          <w:szCs w:val="24"/>
        </w:rPr>
        <w:t>)</w:t>
      </w:r>
    </w:p>
    <w:p w14:paraId="2286A08A" w14:textId="77777777" w:rsidR="00E30E2D" w:rsidRPr="00E30E2D" w:rsidRDefault="00E30E2D" w:rsidP="00E30E2D">
      <w:pPr>
        <w:spacing w:line="240" w:lineRule="auto"/>
        <w:jc w:val="both"/>
        <w:rPr>
          <w:rFonts w:ascii="Times New Roman" w:eastAsia="Times New Roman" w:hAnsi="Times New Roman" w:cs="Times New Roman"/>
          <w:i/>
          <w:iCs/>
          <w:sz w:val="24"/>
          <w:szCs w:val="24"/>
        </w:rPr>
      </w:pPr>
    </w:p>
    <w:p w14:paraId="514DDDA1" w14:textId="74F93090"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To test H3 and better understand the monitoring role of female presence, we interacted </w:t>
      </w:r>
      <w:r w:rsidR="00567377">
        <w:rPr>
          <w:rFonts w:ascii="Times New Roman" w:eastAsia="Times New Roman" w:hAnsi="Times New Roman" w:cs="Times New Roman"/>
          <w:sz w:val="24"/>
          <w:szCs w:val="24"/>
        </w:rPr>
        <w:t xml:space="preserve">with </w:t>
      </w:r>
      <w:r w:rsidRPr="00744EA4">
        <w:rPr>
          <w:rFonts w:ascii="Times New Roman" w:eastAsia="Times New Roman" w:hAnsi="Times New Roman" w:cs="Times New Roman"/>
          <w:sz w:val="24"/>
          <w:szCs w:val="24"/>
        </w:rPr>
        <w:t>the percentage of women on the risk committee with the presence of a female CRO. We calculated the percentage of women on the risk committee as a ratio of the number of women to the total number of members:</w:t>
      </w:r>
    </w:p>
    <w:p w14:paraId="2BD2A976" w14:textId="2FC08229" w:rsidR="00E30E2D" w:rsidRDefault="00744EA4" w:rsidP="00E30E2D">
      <w:pPr>
        <w:spacing w:line="240" w:lineRule="auto"/>
        <w:jc w:val="both"/>
        <w:rPr>
          <w:rFonts w:ascii="Times New Roman" w:eastAsia="Times New Roman" w:hAnsi="Times New Roman" w:cs="Times New Roman"/>
          <w:b/>
          <w:bCs/>
          <w:sz w:val="24"/>
          <w:szCs w:val="24"/>
        </w:rPr>
      </w:pPr>
      <w:r w:rsidRPr="00744EA4">
        <w:rPr>
          <w:rFonts w:ascii="Times New Roman" w:eastAsia="Times New Roman" w:hAnsi="Times New Roman" w:cs="Times New Roman"/>
          <w:i/>
          <w:iCs/>
          <w:sz w:val="24"/>
          <w:szCs w:val="24"/>
        </w:rPr>
        <w:t>Risk i, t = α</w:t>
      </w:r>
      <w:r w:rsidRPr="00744EA4">
        <w:rPr>
          <w:rFonts w:ascii="Times New Roman" w:eastAsia="Times New Roman" w:hAnsi="Times New Roman" w:cs="Times New Roman"/>
          <w:i/>
          <w:iCs/>
          <w:sz w:val="24"/>
          <w:szCs w:val="24"/>
          <w:vertAlign w:val="subscript"/>
        </w:rPr>
        <w:t>0</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1</w:t>
      </w:r>
      <w:r w:rsidRPr="00744EA4">
        <w:rPr>
          <w:rFonts w:ascii="Times New Roman" w:eastAsia="Times New Roman" w:hAnsi="Times New Roman" w:cs="Times New Roman"/>
          <w:i/>
          <w:iCs/>
          <w:sz w:val="24"/>
          <w:szCs w:val="24"/>
        </w:rPr>
        <w:t xml:space="preserve"> Female CRO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+β2 Female on RC</w:t>
      </w:r>
      <w:r w:rsidRPr="00744EA4">
        <w:rPr>
          <w:rFonts w:ascii="Times New Roman" w:eastAsia="Times New Roman" w:hAnsi="Times New Roman" w:cs="Times New Roman"/>
          <w:i/>
          <w:iCs/>
          <w:sz w:val="24"/>
          <w:szCs w:val="24"/>
          <w:vertAlign w:val="subscript"/>
        </w:rPr>
        <w:t xml:space="preserve"> i, t-1</w:t>
      </w:r>
      <w:r w:rsidRPr="00744EA4">
        <w:rPr>
          <w:rFonts w:ascii="Times New Roman" w:eastAsia="Times New Roman" w:hAnsi="Times New Roman" w:cs="Times New Roman"/>
          <w:i/>
          <w:iCs/>
          <w:sz w:val="24"/>
          <w:szCs w:val="24"/>
        </w:rPr>
        <w:t xml:space="preserve">+ β3 Female CRO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Female on RC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+β4 (Z)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Σ(Year Effects)</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+Σ(Firm Effects</w:t>
      </w:r>
      <w:r w:rsidRPr="00744EA4">
        <w:rPr>
          <w:rFonts w:ascii="Times New Roman" w:eastAsia="Times New Roman" w:hAnsi="Times New Roman" w:cs="Times New Roman"/>
          <w:i/>
          <w:iCs/>
          <w:sz w:val="24"/>
          <w:szCs w:val="24"/>
          <w:vertAlign w:val="subscript"/>
        </w:rPr>
        <w:t>) i,t-1</w:t>
      </w:r>
      <w:r w:rsidRPr="00744EA4">
        <w:rPr>
          <w:rFonts w:ascii="Times New Roman" w:eastAsia="Times New Roman" w:hAnsi="Times New Roman" w:cs="Times New Roman"/>
          <w:i/>
          <w:iCs/>
          <w:sz w:val="24"/>
          <w:szCs w:val="24"/>
        </w:rPr>
        <w:t xml:space="preserve"> +€ </w:t>
      </w:r>
      <w:r w:rsidRPr="00744EA4">
        <w:rPr>
          <w:rFonts w:ascii="Times New Roman" w:eastAsia="Times New Roman" w:hAnsi="Times New Roman" w:cs="Times New Roman"/>
          <w:i/>
          <w:iCs/>
          <w:sz w:val="24"/>
          <w:szCs w:val="24"/>
          <w:vertAlign w:val="subscript"/>
        </w:rPr>
        <w:t>i,t</w:t>
      </w:r>
      <w:r w:rsidR="00E30E2D">
        <w:rPr>
          <w:rFonts w:ascii="Times New Roman" w:eastAsia="Times New Roman" w:hAnsi="Times New Roman" w:cs="Times New Roman"/>
          <w:i/>
          <w:iCs/>
          <w:sz w:val="24"/>
          <w:szCs w:val="24"/>
        </w:rPr>
        <w:tab/>
      </w:r>
      <w:r w:rsidR="00E30E2D">
        <w:rPr>
          <w:rFonts w:ascii="Times New Roman" w:eastAsia="Times New Roman" w:hAnsi="Times New Roman" w:cs="Times New Roman"/>
          <w:i/>
          <w:iCs/>
          <w:sz w:val="24"/>
          <w:szCs w:val="24"/>
        </w:rPr>
        <w:tab/>
      </w:r>
      <w:r w:rsidR="00E30E2D">
        <w:rPr>
          <w:rFonts w:ascii="Times New Roman" w:eastAsia="Times New Roman" w:hAnsi="Times New Roman" w:cs="Times New Roman"/>
          <w:i/>
          <w:iCs/>
          <w:sz w:val="24"/>
          <w:szCs w:val="24"/>
        </w:rPr>
        <w:tab/>
      </w:r>
      <w:r w:rsidRPr="00744EA4">
        <w:rPr>
          <w:rFonts w:ascii="Times New Roman" w:eastAsia="Times New Roman" w:hAnsi="Times New Roman" w:cs="Times New Roman"/>
          <w:b/>
          <w:bCs/>
          <w:sz w:val="24"/>
          <w:szCs w:val="24"/>
        </w:rPr>
        <w:t>Eq (3)</w:t>
      </w:r>
    </w:p>
    <w:p w14:paraId="074E22DC" w14:textId="77777777" w:rsidR="00E30E2D" w:rsidRDefault="00E30E2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B55A5A5" w14:textId="77777777" w:rsidR="00744EA4" w:rsidRDefault="00744EA4" w:rsidP="00E30E2D">
      <w:pPr>
        <w:spacing w:line="240" w:lineRule="auto"/>
        <w:jc w:val="both"/>
        <w:rPr>
          <w:rFonts w:ascii="Times New Roman" w:eastAsia="Times New Roman" w:hAnsi="Times New Roman" w:cs="Times New Roman"/>
          <w:b/>
          <w:bCs/>
          <w:sz w:val="24"/>
          <w:szCs w:val="24"/>
        </w:rPr>
      </w:pPr>
    </w:p>
    <w:p w14:paraId="1F419E7D" w14:textId="77777777" w:rsidR="00E30E2D" w:rsidRPr="00E30E2D" w:rsidRDefault="00E30E2D" w:rsidP="00E30E2D">
      <w:pPr>
        <w:spacing w:line="240" w:lineRule="auto"/>
        <w:jc w:val="both"/>
        <w:rPr>
          <w:rFonts w:ascii="Times New Roman" w:eastAsia="Times New Roman" w:hAnsi="Times New Roman" w:cs="Times New Roman"/>
          <w:i/>
          <w:iCs/>
          <w:sz w:val="24"/>
          <w:szCs w:val="24"/>
        </w:rPr>
      </w:pPr>
    </w:p>
    <w:p w14:paraId="7A56DEF3" w14:textId="0068FF80" w:rsidR="00E30E2D" w:rsidRDefault="00744EA4" w:rsidP="00E30E2D">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Finally, to test H4, we examined the CRO reporting lines. We </w:t>
      </w:r>
      <w:r w:rsidR="00E30E2D">
        <w:rPr>
          <w:rFonts w:ascii="Times New Roman" w:eastAsia="Times New Roman" w:hAnsi="Times New Roman" w:cs="Times New Roman"/>
          <w:sz w:val="24"/>
          <w:szCs w:val="24"/>
        </w:rPr>
        <w:t xml:space="preserve">would </w:t>
      </w:r>
      <w:r w:rsidR="00FC2DAB" w:rsidRPr="00880312">
        <w:rPr>
          <w:rFonts w:ascii="Times New Roman" w:eastAsia="Times New Roman" w:hAnsi="Times New Roman" w:cs="Times New Roman"/>
          <w:sz w:val="24"/>
          <w:szCs w:val="24"/>
        </w:rPr>
        <w:t>estimate</w:t>
      </w:r>
      <w:r w:rsidRPr="00744EA4">
        <w:rPr>
          <w:rFonts w:ascii="Times New Roman" w:eastAsia="Times New Roman" w:hAnsi="Times New Roman" w:cs="Times New Roman"/>
          <w:sz w:val="24"/>
          <w:szCs w:val="24"/>
        </w:rPr>
        <w:t xml:space="preserve"> the </w:t>
      </w:r>
      <w:r w:rsidR="00FC2DAB" w:rsidRPr="00880312">
        <w:rPr>
          <w:rFonts w:ascii="Times New Roman" w:eastAsia="Times New Roman" w:hAnsi="Times New Roman" w:cs="Times New Roman"/>
          <w:sz w:val="24"/>
          <w:szCs w:val="24"/>
        </w:rPr>
        <w:t>power</w:t>
      </w:r>
      <w:r w:rsidRPr="00744EA4">
        <w:rPr>
          <w:rFonts w:ascii="Times New Roman" w:eastAsia="Times New Roman" w:hAnsi="Times New Roman" w:cs="Times New Roman"/>
          <w:sz w:val="24"/>
          <w:szCs w:val="24"/>
        </w:rPr>
        <w:t xml:space="preserve"> of CROs if they reported to the board by interacting </w:t>
      </w:r>
      <w:r w:rsidR="00E30E2D">
        <w:rPr>
          <w:rFonts w:ascii="Times New Roman" w:eastAsia="Times New Roman" w:hAnsi="Times New Roman" w:cs="Times New Roman"/>
          <w:sz w:val="24"/>
          <w:szCs w:val="24"/>
        </w:rPr>
        <w:t xml:space="preserve">with </w:t>
      </w:r>
      <w:r w:rsidRPr="00744EA4">
        <w:rPr>
          <w:rFonts w:ascii="Times New Roman" w:eastAsia="Times New Roman" w:hAnsi="Times New Roman" w:cs="Times New Roman"/>
          <w:sz w:val="24"/>
          <w:szCs w:val="24"/>
        </w:rPr>
        <w:t>th</w:t>
      </w:r>
      <w:r w:rsidR="00FC2DAB" w:rsidRPr="00880312">
        <w:rPr>
          <w:rFonts w:ascii="Times New Roman" w:eastAsia="Times New Roman" w:hAnsi="Times New Roman" w:cs="Times New Roman"/>
          <w:sz w:val="24"/>
          <w:szCs w:val="24"/>
        </w:rPr>
        <w:t>e</w:t>
      </w:r>
      <w:r w:rsidRPr="00744EA4">
        <w:rPr>
          <w:rFonts w:ascii="Times New Roman" w:eastAsia="Times New Roman" w:hAnsi="Times New Roman" w:cs="Times New Roman"/>
          <w:sz w:val="24"/>
          <w:szCs w:val="24"/>
        </w:rPr>
        <w:t xml:space="preserve"> term female-CRO presence and CROs reporting to the board:</w:t>
      </w:r>
    </w:p>
    <w:p w14:paraId="01AB6845" w14:textId="481145CE" w:rsidR="00744EA4" w:rsidRPr="00E30E2D" w:rsidRDefault="00744EA4" w:rsidP="00E30E2D">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Risk i, t = α</w:t>
      </w:r>
      <w:r w:rsidRPr="00744EA4">
        <w:rPr>
          <w:rFonts w:ascii="Times New Roman" w:eastAsia="Times New Roman" w:hAnsi="Times New Roman" w:cs="Times New Roman"/>
          <w:i/>
          <w:iCs/>
          <w:sz w:val="24"/>
          <w:szCs w:val="24"/>
          <w:vertAlign w:val="subscript"/>
        </w:rPr>
        <w:t>0</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1</w:t>
      </w:r>
      <w:r w:rsidRPr="00744EA4">
        <w:rPr>
          <w:rFonts w:ascii="Times New Roman" w:eastAsia="Times New Roman" w:hAnsi="Times New Roman" w:cs="Times New Roman"/>
          <w:i/>
          <w:iCs/>
          <w:sz w:val="24"/>
          <w:szCs w:val="24"/>
        </w:rPr>
        <w:t xml:space="preserve"> Female CRO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 β</w:t>
      </w:r>
      <w:r w:rsidRPr="00744EA4">
        <w:rPr>
          <w:rFonts w:ascii="Times New Roman" w:eastAsia="Times New Roman" w:hAnsi="Times New Roman" w:cs="Times New Roman"/>
          <w:i/>
          <w:iCs/>
          <w:sz w:val="24"/>
          <w:szCs w:val="24"/>
          <w:vertAlign w:val="subscript"/>
        </w:rPr>
        <w:t>2</w:t>
      </w:r>
      <w:r w:rsidRPr="00744EA4">
        <w:rPr>
          <w:rFonts w:ascii="Times New Roman" w:eastAsia="Times New Roman" w:hAnsi="Times New Roman" w:cs="Times New Roman"/>
          <w:i/>
          <w:iCs/>
          <w:sz w:val="24"/>
          <w:szCs w:val="24"/>
        </w:rPr>
        <w:t xml:space="preserve"> CRO Reporting Board+Β</w:t>
      </w:r>
      <w:r w:rsidRPr="00744EA4">
        <w:rPr>
          <w:rFonts w:ascii="Times New Roman" w:eastAsia="Times New Roman" w:hAnsi="Times New Roman" w:cs="Times New Roman"/>
          <w:i/>
          <w:iCs/>
          <w:sz w:val="24"/>
          <w:szCs w:val="24"/>
          <w:vertAlign w:val="subscript"/>
        </w:rPr>
        <w:t>3</w:t>
      </w:r>
      <w:r w:rsidRPr="00744EA4">
        <w:rPr>
          <w:rFonts w:ascii="Times New Roman" w:eastAsia="Times New Roman" w:hAnsi="Times New Roman" w:cs="Times New Roman"/>
          <w:i/>
          <w:iCs/>
          <w:sz w:val="24"/>
          <w:szCs w:val="24"/>
        </w:rPr>
        <w:t xml:space="preserve"> Female CRO </w:t>
      </w:r>
      <w:r w:rsidRPr="00744EA4">
        <w:rPr>
          <w:rFonts w:ascii="Times New Roman" w:eastAsia="Times New Roman" w:hAnsi="Times New Roman" w:cs="Times New Roman"/>
          <w:i/>
          <w:iCs/>
          <w:sz w:val="24"/>
          <w:szCs w:val="24"/>
          <w:vertAlign w:val="subscript"/>
        </w:rPr>
        <w:t>i, t-1</w:t>
      </w:r>
      <w:r w:rsidRPr="00744EA4">
        <w:rPr>
          <w:rFonts w:ascii="Times New Roman" w:eastAsia="Times New Roman" w:hAnsi="Times New Roman" w:cs="Times New Roman"/>
          <w:i/>
          <w:iCs/>
          <w:sz w:val="24"/>
          <w:szCs w:val="24"/>
        </w:rPr>
        <w:t xml:space="preserve">* CRO Reporting Board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+β</w:t>
      </w:r>
      <w:r w:rsidRPr="00744EA4">
        <w:rPr>
          <w:rFonts w:ascii="Times New Roman" w:eastAsia="Times New Roman" w:hAnsi="Times New Roman" w:cs="Times New Roman"/>
          <w:i/>
          <w:iCs/>
          <w:sz w:val="24"/>
          <w:szCs w:val="24"/>
          <w:vertAlign w:val="subscript"/>
        </w:rPr>
        <w:t>4</w:t>
      </w:r>
      <w:r w:rsidRPr="00744EA4">
        <w:rPr>
          <w:rFonts w:ascii="Times New Roman" w:eastAsia="Times New Roman" w:hAnsi="Times New Roman" w:cs="Times New Roman"/>
          <w:i/>
          <w:iCs/>
          <w:sz w:val="24"/>
          <w:szCs w:val="24"/>
        </w:rPr>
        <w:t xml:space="preserve"> (Z)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Σ(Year Effects)</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+Σ(Firm Effects)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 </w:t>
      </w:r>
      <w:r w:rsidRPr="00744EA4">
        <w:rPr>
          <w:rFonts w:ascii="Times New Roman" w:eastAsia="Times New Roman" w:hAnsi="Times New Roman" w:cs="Times New Roman"/>
          <w:i/>
          <w:iCs/>
          <w:sz w:val="24"/>
          <w:szCs w:val="24"/>
          <w:vertAlign w:val="subscript"/>
        </w:rPr>
        <w:t>i,t</w:t>
      </w:r>
      <w:r w:rsidR="00E30E2D">
        <w:rPr>
          <w:rFonts w:ascii="Times New Roman" w:eastAsia="Times New Roman" w:hAnsi="Times New Roman" w:cs="Times New Roman"/>
          <w:sz w:val="24"/>
          <w:szCs w:val="24"/>
        </w:rPr>
        <w:tab/>
      </w:r>
      <w:r w:rsidRPr="00744EA4">
        <w:rPr>
          <w:rFonts w:ascii="Times New Roman" w:eastAsia="Times New Roman" w:hAnsi="Times New Roman" w:cs="Times New Roman"/>
          <w:b/>
          <w:bCs/>
          <w:sz w:val="24"/>
          <w:szCs w:val="24"/>
        </w:rPr>
        <w:t>Eq (4)</w:t>
      </w:r>
    </w:p>
    <w:p w14:paraId="389A813C" w14:textId="77777777" w:rsidR="003C7034" w:rsidRPr="00744EA4" w:rsidRDefault="003C7034" w:rsidP="001278ED">
      <w:pPr>
        <w:spacing w:line="240" w:lineRule="auto"/>
        <w:ind w:left="7200" w:firstLine="720"/>
        <w:jc w:val="both"/>
        <w:rPr>
          <w:rFonts w:ascii="Times New Roman" w:eastAsia="Times New Roman" w:hAnsi="Times New Roman" w:cs="Times New Roman"/>
          <w:b/>
          <w:bCs/>
          <w:sz w:val="24"/>
          <w:szCs w:val="24"/>
        </w:rPr>
      </w:pPr>
    </w:p>
    <w:p w14:paraId="53AC0C65" w14:textId="0EF433AA" w:rsidR="00744EA4" w:rsidRPr="003C7034" w:rsidRDefault="0037662B" w:rsidP="003C7034">
      <w:pPr>
        <w:pStyle w:val="Heading3"/>
        <w:rPr>
          <w:rFonts w:ascii="Times New Roman" w:hAnsi="Times New Roman" w:cs="Times New Roman"/>
          <w:b/>
          <w:bCs/>
          <w:color w:val="000000" w:themeColor="text1"/>
          <w:sz w:val="28"/>
          <w:szCs w:val="28"/>
        </w:rPr>
      </w:pPr>
      <w:bookmarkStart w:id="37" w:name="_Toc145616180"/>
      <w:r w:rsidRPr="003C7034">
        <w:rPr>
          <w:rFonts w:ascii="Times New Roman" w:hAnsi="Times New Roman" w:cs="Times New Roman"/>
          <w:b/>
          <w:bCs/>
          <w:color w:val="000000" w:themeColor="text1"/>
          <w:sz w:val="28"/>
          <w:szCs w:val="28"/>
        </w:rPr>
        <w:t>3.</w:t>
      </w:r>
      <w:r w:rsidR="00744EA4" w:rsidRPr="003C7034">
        <w:rPr>
          <w:rFonts w:ascii="Times New Roman" w:hAnsi="Times New Roman" w:cs="Times New Roman"/>
          <w:b/>
          <w:bCs/>
          <w:color w:val="000000" w:themeColor="text1"/>
          <w:sz w:val="28"/>
          <w:szCs w:val="28"/>
        </w:rPr>
        <w:t>3.3. Descriptive Statistics</w:t>
      </w:r>
      <w:bookmarkEnd w:id="37"/>
    </w:p>
    <w:p w14:paraId="0A6464AC" w14:textId="74971E5A" w:rsidR="00744EA4" w:rsidRPr="00744EA4" w:rsidRDefault="00744EA4" w:rsidP="00744EA4">
      <w:pPr>
        <w:spacing w:line="480" w:lineRule="auto"/>
        <w:jc w:val="both"/>
        <w:rPr>
          <w:rFonts w:ascii="Times New Roman" w:eastAsia="Times New Roman" w:hAnsi="Times New Roman" w:cs="Times New Roman"/>
          <w:sz w:val="24"/>
          <w:szCs w:val="24"/>
        </w:rPr>
      </w:pPr>
      <w:r w:rsidRPr="001278ED">
        <w:rPr>
          <w:rFonts w:ascii="Times New Roman" w:eastAsia="Times New Roman" w:hAnsi="Times New Roman" w:cs="Times New Roman"/>
          <w:i/>
          <w:iCs/>
          <w:sz w:val="24"/>
          <w:szCs w:val="24"/>
        </w:rPr>
        <w:t xml:space="preserve">Figure </w:t>
      </w:r>
      <w:r w:rsidR="001D52C0">
        <w:rPr>
          <w:rFonts w:ascii="Times New Roman" w:eastAsia="Times New Roman" w:hAnsi="Times New Roman" w:cs="Times New Roman"/>
          <w:i/>
          <w:iCs/>
          <w:sz w:val="24"/>
          <w:szCs w:val="24"/>
        </w:rPr>
        <w:t>5</w:t>
      </w:r>
      <w:r w:rsidRPr="001278ED">
        <w:rPr>
          <w:rFonts w:ascii="Times New Roman" w:eastAsia="Times New Roman" w:hAnsi="Times New Roman" w:cs="Times New Roman"/>
          <w:sz w:val="24"/>
          <w:szCs w:val="24"/>
        </w:rPr>
        <w:t xml:space="preserve"> illustrates the trends in female representation at the </w:t>
      </w:r>
      <w:r w:rsidR="00567377">
        <w:rPr>
          <w:rFonts w:ascii="Times New Roman" w:eastAsia="Times New Roman" w:hAnsi="Times New Roman" w:cs="Times New Roman"/>
          <w:sz w:val="24"/>
          <w:szCs w:val="24"/>
        </w:rPr>
        <w:t>U.S. banking industry's executive, board, and committee levels</w:t>
      </w:r>
      <w:r w:rsidRPr="001278ED">
        <w:rPr>
          <w:rFonts w:ascii="Times New Roman" w:eastAsia="Times New Roman" w:hAnsi="Times New Roman" w:cs="Times New Roman"/>
          <w:sz w:val="24"/>
          <w:szCs w:val="24"/>
        </w:rPr>
        <w:t xml:space="preserve"> from 2004 to 2018. It shows that the proportion of female CROs rose from 4% of banks in 2004 to 19% in 2018. The number of women on R</w:t>
      </w:r>
      <w:r w:rsidR="00197BB6" w:rsidRPr="001278ED">
        <w:rPr>
          <w:rFonts w:ascii="Times New Roman" w:eastAsia="Times New Roman" w:hAnsi="Times New Roman" w:cs="Times New Roman"/>
          <w:sz w:val="24"/>
          <w:szCs w:val="24"/>
        </w:rPr>
        <w:t>.C.</w:t>
      </w:r>
      <w:r w:rsidRPr="001278ED">
        <w:rPr>
          <w:rFonts w:ascii="Times New Roman" w:eastAsia="Times New Roman" w:hAnsi="Times New Roman" w:cs="Times New Roman"/>
          <w:sz w:val="24"/>
          <w:szCs w:val="24"/>
        </w:rPr>
        <w:t>s and boards also increas</w:t>
      </w:r>
      <w:r w:rsidR="00567377">
        <w:rPr>
          <w:rFonts w:ascii="Times New Roman" w:eastAsia="Times New Roman" w:hAnsi="Times New Roman" w:cs="Times New Roman"/>
          <w:sz w:val="24"/>
          <w:szCs w:val="24"/>
        </w:rPr>
        <w:t>ed</w:t>
      </w:r>
      <w:r w:rsidRPr="001278ED">
        <w:rPr>
          <w:rFonts w:ascii="Times New Roman" w:eastAsia="Times New Roman" w:hAnsi="Times New Roman" w:cs="Times New Roman"/>
          <w:sz w:val="24"/>
          <w:szCs w:val="24"/>
        </w:rPr>
        <w:t>, from 2% and 9% (respectively) in 2004 to 18% and 19% (respectively) in 2018. All these findings align with previous studies</w:t>
      </w:r>
      <w:r w:rsidR="00057265">
        <w:rPr>
          <w:rFonts w:ascii="Times New Roman" w:eastAsia="Times New Roman" w:hAnsi="Times New Roman" w:cs="Times New Roman"/>
          <w:sz w:val="24"/>
          <w:szCs w:val="24"/>
        </w:rPr>
        <w:t xml:space="preserve"> focusing on female</w:t>
      </w:r>
      <w:r w:rsidR="00567377">
        <w:rPr>
          <w:rFonts w:ascii="Times New Roman" w:eastAsia="Times New Roman" w:hAnsi="Times New Roman" w:cs="Times New Roman"/>
          <w:sz w:val="24"/>
          <w:szCs w:val="24"/>
        </w:rPr>
        <w:t>s</w:t>
      </w:r>
      <w:r w:rsidR="00057265">
        <w:rPr>
          <w:rFonts w:ascii="Times New Roman" w:eastAsia="Times New Roman" w:hAnsi="Times New Roman" w:cs="Times New Roman"/>
          <w:sz w:val="24"/>
          <w:szCs w:val="24"/>
        </w:rPr>
        <w:t xml:space="preserve"> in CFO and CEO role</w:t>
      </w:r>
      <w:r w:rsidR="00567377">
        <w:rPr>
          <w:rFonts w:ascii="Times New Roman" w:eastAsia="Times New Roman" w:hAnsi="Times New Roman" w:cs="Times New Roman"/>
          <w:sz w:val="24"/>
          <w:szCs w:val="24"/>
        </w:rPr>
        <w:t>s</w:t>
      </w:r>
      <w:r w:rsidRPr="001278ED">
        <w:rPr>
          <w:rFonts w:ascii="Times New Roman" w:eastAsia="Times New Roman" w:hAnsi="Times New Roman" w:cs="Times New Roman"/>
          <w:sz w:val="24"/>
          <w:szCs w:val="24"/>
        </w:rPr>
        <w:t xml:space="preserve"> (e.g., Chen et al., 2017; Atif et al., 2020; Schopohl et al., 2021).</w:t>
      </w:r>
    </w:p>
    <w:p w14:paraId="4876D621" w14:textId="60CC1A3F" w:rsidR="00744EA4" w:rsidRPr="00744EA4"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Figure </w:t>
      </w:r>
      <w:r w:rsidR="001D52C0">
        <w:rPr>
          <w:rFonts w:ascii="Times New Roman" w:eastAsia="Times New Roman" w:hAnsi="Times New Roman" w:cs="Times New Roman"/>
          <w:i/>
          <w:iCs/>
          <w:sz w:val="24"/>
          <w:szCs w:val="24"/>
        </w:rPr>
        <w:t>5</w:t>
      </w:r>
      <w:r w:rsidRPr="00744EA4">
        <w:rPr>
          <w:rFonts w:ascii="Times New Roman" w:eastAsia="Times New Roman" w:hAnsi="Times New Roman" w:cs="Times New Roman"/>
          <w:i/>
          <w:iCs/>
          <w:sz w:val="24"/>
          <w:szCs w:val="24"/>
        </w:rPr>
        <w:t xml:space="preserve"> here]</w:t>
      </w:r>
    </w:p>
    <w:p w14:paraId="120179F2" w14:textId="3CA2223E"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 xml:space="preserve">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1</w:t>
      </w:r>
      <w:r w:rsidRPr="00744EA4">
        <w:rPr>
          <w:rFonts w:ascii="Times New Roman" w:eastAsia="Times New Roman" w:hAnsi="Times New Roman" w:cs="Times New Roman"/>
          <w:sz w:val="24"/>
          <w:szCs w:val="24"/>
        </w:rPr>
        <w:t xml:space="preserve"> reports the descriptive statistics for the variables used in this study. On average, 9.5% of banks and BHCs in our sample had a female CRO, comparable to the averages of 5% and 9.4% for female CFOs (Schopohl et al., 2021) and female CEOs (Faccio et al., 2016), respectively. Women comprised an average of 12.38% of the boards in our study and 8.78% of the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s. Just 22.35% of the CROs in our sample reported to the board, with the remainder reporting to the CEO. This is an important observation, as – in the interests of strong risk</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management – CROs should report directly to the board (Aebi et al., 2012). Aggregate risk had a mean value of 2.06% and a median value of 1.58%, consistent with Balasubramanyan et al. (2019). The banks in this study had </w:t>
      </w:r>
      <w:r w:rsidR="00567377">
        <w:rPr>
          <w:rFonts w:ascii="Times New Roman" w:eastAsia="Times New Roman" w:hAnsi="Times New Roman" w:cs="Times New Roman"/>
          <w:sz w:val="24"/>
          <w:szCs w:val="24"/>
        </w:rPr>
        <w:t xml:space="preserve">a </w:t>
      </w:r>
      <w:r w:rsidR="00057265">
        <w:rPr>
          <w:rFonts w:ascii="Times New Roman" w:eastAsia="Times New Roman" w:hAnsi="Times New Roman" w:cs="Times New Roman"/>
          <w:sz w:val="24"/>
          <w:szCs w:val="24"/>
        </w:rPr>
        <w:t xml:space="preserve">mean value of </w:t>
      </w:r>
      <w:r w:rsidRPr="00744EA4">
        <w:rPr>
          <w:rFonts w:ascii="Times New Roman" w:eastAsia="Times New Roman" w:hAnsi="Times New Roman" w:cs="Times New Roman"/>
          <w:sz w:val="24"/>
          <w:szCs w:val="24"/>
        </w:rPr>
        <w:t xml:space="preserve">total assets </w:t>
      </w:r>
      <w:r w:rsidR="00057265">
        <w:rPr>
          <w:rFonts w:ascii="Times New Roman" w:eastAsia="Times New Roman" w:hAnsi="Times New Roman" w:cs="Times New Roman"/>
          <w:sz w:val="24"/>
          <w:szCs w:val="24"/>
        </w:rPr>
        <w:t>as</w:t>
      </w:r>
      <w:r w:rsidR="00057265"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US$88.56 billion, with 12.1% in capital ratio (</w:t>
      </w:r>
      <w:r w:rsidRPr="00744EA4">
        <w:rPr>
          <w:rFonts w:ascii="Times New Roman" w:eastAsia="Times New Roman" w:hAnsi="Times New Roman" w:cs="Times New Roman"/>
          <w:i/>
          <w:iCs/>
          <w:sz w:val="24"/>
          <w:szCs w:val="24"/>
        </w:rPr>
        <w:t>Tier1 ratio</w:t>
      </w:r>
      <w:r w:rsidRPr="00744EA4">
        <w:rPr>
          <w:rFonts w:ascii="Times New Roman" w:eastAsia="Times New Roman" w:hAnsi="Times New Roman" w:cs="Times New Roman"/>
          <w:sz w:val="24"/>
          <w:szCs w:val="24"/>
        </w:rPr>
        <w:t>). The percentage of bad loans to total assets in our sample was 1.1%, and profitability (</w:t>
      </w:r>
      <w:r w:rsidRPr="00744EA4">
        <w:rPr>
          <w:rFonts w:ascii="Times New Roman" w:eastAsia="Times New Roman" w:hAnsi="Times New Roman" w:cs="Times New Roman"/>
          <w:i/>
          <w:iCs/>
          <w:sz w:val="24"/>
          <w:szCs w:val="24"/>
        </w:rPr>
        <w:t>ROA</w:t>
      </w:r>
      <w:r w:rsidRPr="00744EA4">
        <w:rPr>
          <w:rFonts w:ascii="Times New Roman" w:eastAsia="Times New Roman" w:hAnsi="Times New Roman" w:cs="Times New Roman"/>
          <w:sz w:val="24"/>
          <w:szCs w:val="24"/>
        </w:rPr>
        <w:t xml:space="preserve">) had an average value of 0.87%. Furthermore, 48.25% of our CEOs were also the </w:t>
      </w:r>
      <w:r w:rsidR="00567377">
        <w:rPr>
          <w:rFonts w:ascii="Times New Roman" w:eastAsia="Times New Roman" w:hAnsi="Times New Roman" w:cs="Times New Roman"/>
          <w:sz w:val="24"/>
          <w:szCs w:val="24"/>
        </w:rPr>
        <w:t>board chairmen</w:t>
      </w:r>
      <w:r w:rsidRPr="00744EA4">
        <w:rPr>
          <w:rFonts w:ascii="Times New Roman" w:eastAsia="Times New Roman" w:hAnsi="Times New Roman" w:cs="Times New Roman"/>
          <w:sz w:val="24"/>
          <w:szCs w:val="24"/>
        </w:rPr>
        <w:t>, and this group had average pay of US$839.94 million.</w:t>
      </w:r>
    </w:p>
    <w:p w14:paraId="5DAFF71A" w14:textId="495F9CD5" w:rsidR="00057265" w:rsidRDefault="00744EA4" w:rsidP="00744EA4">
      <w:pPr>
        <w:spacing w:line="480" w:lineRule="auto"/>
        <w:jc w:val="center"/>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w:t>
      </w: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1 here</w:t>
      </w:r>
      <w:r w:rsidRPr="00744EA4">
        <w:rPr>
          <w:rFonts w:ascii="Times New Roman" w:eastAsia="Times New Roman" w:hAnsi="Times New Roman" w:cs="Times New Roman"/>
          <w:sz w:val="24"/>
          <w:szCs w:val="24"/>
        </w:rPr>
        <w:t>]</w:t>
      </w:r>
    </w:p>
    <w:p w14:paraId="420EB5C2" w14:textId="2E39AA10" w:rsidR="00744EA4" w:rsidRPr="00744EA4" w:rsidRDefault="00744EA4" w:rsidP="003C7034">
      <w:pPr>
        <w:rPr>
          <w:rFonts w:ascii="Times New Roman" w:eastAsia="Times New Roman" w:hAnsi="Times New Roman" w:cs="Times New Roman"/>
          <w:sz w:val="24"/>
          <w:szCs w:val="24"/>
        </w:rPr>
      </w:pPr>
    </w:p>
    <w:p w14:paraId="326C21C1" w14:textId="5B9BFBBB"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 Pearson</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s pairwise correlation of main variables is reported in </w:t>
      </w:r>
      <w:r w:rsidRPr="00744EA4">
        <w:rPr>
          <w:rFonts w:ascii="Times New Roman" w:eastAsia="Times New Roman" w:hAnsi="Times New Roman" w:cs="Times New Roman"/>
          <w:i/>
          <w:iCs/>
          <w:sz w:val="24"/>
          <w:szCs w:val="24"/>
        </w:rPr>
        <w:t xml:space="preserve">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2</w:t>
      </w:r>
      <w:r w:rsidRPr="00744EA4">
        <w:rPr>
          <w:rFonts w:ascii="Times New Roman" w:eastAsia="Times New Roman" w:hAnsi="Times New Roman" w:cs="Times New Roman"/>
          <w:sz w:val="24"/>
          <w:szCs w:val="24"/>
        </w:rPr>
        <w:t xml:space="preserve">. Based on a previous study (e.g., </w:t>
      </w:r>
      <w:r w:rsidRPr="00744EA4">
        <w:rPr>
          <w:rFonts w:ascii="Times New Roman" w:eastAsia="DengXian" w:hAnsi="Times New Roman" w:cs="Times New Roman"/>
          <w:color w:val="000000"/>
          <w:sz w:val="24"/>
          <w:szCs w:val="24"/>
        </w:rPr>
        <w:t>Talavera et al., 2018)</w:t>
      </w:r>
      <w:r w:rsidRPr="00744EA4">
        <w:rPr>
          <w:rFonts w:ascii="Times New Roman" w:eastAsia="Times New Roman" w:hAnsi="Times New Roman" w:cs="Times New Roman"/>
          <w:sz w:val="24"/>
          <w:szCs w:val="24"/>
        </w:rPr>
        <w:t>, a correlation of 0.7 or higher in absolute value indicates a multi-collinearity issue. The correlation coefficient between our independent variables is less than 0.7 and significant at a 5% significance level, suggesting that the model is free from multi-collinearity.</w:t>
      </w:r>
    </w:p>
    <w:p w14:paraId="7957C68C" w14:textId="133A1894" w:rsidR="00744EA4" w:rsidRPr="00744EA4"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sz w:val="24"/>
          <w:szCs w:val="24"/>
        </w:rPr>
        <w:t>[</w:t>
      </w: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2 here]</w:t>
      </w:r>
    </w:p>
    <w:p w14:paraId="3768D61B" w14:textId="2CEE67EB" w:rsidR="00744EA4" w:rsidRDefault="0037662B" w:rsidP="003C7034">
      <w:pPr>
        <w:pStyle w:val="Heading2"/>
        <w:rPr>
          <w:sz w:val="32"/>
          <w:szCs w:val="32"/>
        </w:rPr>
      </w:pPr>
      <w:bookmarkStart w:id="38" w:name="_Toc145616181"/>
      <w:r w:rsidRPr="003C7034">
        <w:rPr>
          <w:sz w:val="32"/>
          <w:szCs w:val="32"/>
        </w:rPr>
        <w:t>3.</w:t>
      </w:r>
      <w:r w:rsidR="00744EA4" w:rsidRPr="003C7034">
        <w:rPr>
          <w:sz w:val="32"/>
          <w:szCs w:val="32"/>
        </w:rPr>
        <w:t>4 Empirical Results</w:t>
      </w:r>
      <w:bookmarkEnd w:id="38"/>
    </w:p>
    <w:p w14:paraId="07CF1430" w14:textId="77777777" w:rsidR="003C7034" w:rsidRPr="003C7034" w:rsidRDefault="003C7034" w:rsidP="003C7034"/>
    <w:p w14:paraId="4BEA9D5A" w14:textId="34C2B907" w:rsidR="00744EA4" w:rsidRPr="003C7034" w:rsidRDefault="0037662B" w:rsidP="003C7034">
      <w:pPr>
        <w:pStyle w:val="Heading3"/>
        <w:rPr>
          <w:rFonts w:ascii="Times New Roman" w:hAnsi="Times New Roman" w:cs="Times New Roman"/>
          <w:b/>
          <w:bCs/>
          <w:color w:val="000000" w:themeColor="text1"/>
          <w:sz w:val="28"/>
          <w:szCs w:val="28"/>
        </w:rPr>
      </w:pPr>
      <w:bookmarkStart w:id="39" w:name="_Toc145616182"/>
      <w:r w:rsidRPr="003C7034">
        <w:rPr>
          <w:rFonts w:ascii="Times New Roman" w:hAnsi="Times New Roman" w:cs="Times New Roman"/>
          <w:b/>
          <w:bCs/>
          <w:color w:val="000000" w:themeColor="text1"/>
          <w:sz w:val="28"/>
          <w:szCs w:val="28"/>
        </w:rPr>
        <w:t>3.</w:t>
      </w:r>
      <w:r w:rsidR="00744EA4" w:rsidRPr="003C7034">
        <w:rPr>
          <w:rFonts w:ascii="Times New Roman" w:hAnsi="Times New Roman" w:cs="Times New Roman"/>
          <w:b/>
          <w:bCs/>
          <w:color w:val="000000" w:themeColor="text1"/>
          <w:sz w:val="28"/>
          <w:szCs w:val="28"/>
        </w:rPr>
        <w:t>4.1. Female CROs and Bank Risk</w:t>
      </w:r>
      <w:bookmarkEnd w:id="39"/>
    </w:p>
    <w:p w14:paraId="02A373D8" w14:textId="5A6B3FF3"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We began our analysis by looking at the </w:t>
      </w:r>
      <w:r w:rsidR="00B81D28" w:rsidRPr="00744EA4">
        <w:rPr>
          <w:rFonts w:ascii="Times New Roman" w:eastAsia="Times New Roman" w:hAnsi="Times New Roman" w:cs="Times New Roman"/>
          <w:sz w:val="24"/>
          <w:szCs w:val="24"/>
        </w:rPr>
        <w:t>association</w:t>
      </w:r>
      <w:r w:rsidRPr="00744EA4">
        <w:rPr>
          <w:rFonts w:ascii="Times New Roman" w:eastAsia="Times New Roman" w:hAnsi="Times New Roman" w:cs="Times New Roman"/>
          <w:sz w:val="24"/>
          <w:szCs w:val="24"/>
        </w:rPr>
        <w:t xml:space="preserve"> </w:t>
      </w:r>
      <w:r w:rsidR="00F96C64">
        <w:rPr>
          <w:rFonts w:ascii="Times New Roman" w:eastAsia="Times New Roman" w:hAnsi="Times New Roman" w:cs="Times New Roman"/>
          <w:sz w:val="24"/>
          <w:szCs w:val="24"/>
        </w:rPr>
        <w:t>between</w:t>
      </w:r>
      <w:r w:rsidRPr="00744EA4">
        <w:rPr>
          <w:rFonts w:ascii="Times New Roman" w:eastAsia="Times New Roman" w:hAnsi="Times New Roman" w:cs="Times New Roman"/>
          <w:sz w:val="24"/>
          <w:szCs w:val="24"/>
        </w:rPr>
        <w:t xml:space="preserve"> female CROs and bank risk and </w:t>
      </w:r>
      <w:r w:rsidR="00F96C64">
        <w:rPr>
          <w:rFonts w:ascii="Times New Roman" w:eastAsia="Times New Roman" w:hAnsi="Times New Roman" w:cs="Times New Roman"/>
          <w:sz w:val="24"/>
          <w:szCs w:val="24"/>
        </w:rPr>
        <w:t>reported the</w:t>
      </w:r>
      <w:r w:rsidR="00F96C64"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results in </w:t>
      </w:r>
      <w:r w:rsidRPr="009E69CE">
        <w:rPr>
          <w:rFonts w:ascii="Times New Roman" w:eastAsia="Times New Roman" w:hAnsi="Times New Roman" w:cs="Times New Roman"/>
          <w:i/>
          <w:iCs/>
          <w:sz w:val="24"/>
          <w:szCs w:val="24"/>
        </w:rPr>
        <w:t>Table 3</w:t>
      </w:r>
      <w:r w:rsidR="006E3998" w:rsidRPr="009E69CE">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w:t>
      </w:r>
      <w:r w:rsidRPr="00744EA4">
        <w:rPr>
          <w:rFonts w:ascii="Times New Roman" w:eastAsia="Times New Roman" w:hAnsi="Times New Roman" w:cs="Times New Roman"/>
          <w:sz w:val="24"/>
          <w:szCs w:val="24"/>
        </w:rPr>
        <w:t xml:space="preserve"> We began by estimating the model in column (1), where the independent variable was </w:t>
      </w:r>
      <w:r w:rsidR="00F96C64">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 xml:space="preserve">female-CRO presence and the dependent variable was </w:t>
      </w:r>
      <w:r w:rsidR="00567377">
        <w:rPr>
          <w:rFonts w:ascii="Times New Roman" w:eastAsia="Times New Roman" w:hAnsi="Times New Roman" w:cs="Times New Roman"/>
          <w:sz w:val="24"/>
          <w:szCs w:val="24"/>
        </w:rPr>
        <w:t xml:space="preserve">an </w:t>
      </w:r>
      <w:r w:rsidRPr="00744EA4">
        <w:rPr>
          <w:rFonts w:ascii="Times New Roman" w:eastAsia="Times New Roman" w:hAnsi="Times New Roman" w:cs="Times New Roman"/>
          <w:sz w:val="24"/>
          <w:szCs w:val="24"/>
        </w:rPr>
        <w:t xml:space="preserve">aggregate risk, with no control variables. Column (2) reports the results </w:t>
      </w:r>
      <w:r w:rsidR="00567377">
        <w:rPr>
          <w:rFonts w:ascii="Times New Roman" w:eastAsia="Times New Roman" w:hAnsi="Times New Roman" w:cs="Times New Roman"/>
          <w:sz w:val="24"/>
          <w:szCs w:val="24"/>
        </w:rPr>
        <w:t>of</w:t>
      </w:r>
      <w:r w:rsidRPr="00744EA4">
        <w:rPr>
          <w:rFonts w:ascii="Times New Roman" w:eastAsia="Times New Roman" w:hAnsi="Times New Roman" w:cs="Times New Roman"/>
          <w:sz w:val="24"/>
          <w:szCs w:val="24"/>
        </w:rPr>
        <w:t xml:space="preserve"> </w:t>
      </w:r>
      <w:r w:rsidR="00567377">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 xml:space="preserve">impact of a female CRO on </w:t>
      </w:r>
      <w:r w:rsidR="001C08EE">
        <w:rPr>
          <w:rFonts w:ascii="Times New Roman" w:eastAsia="Times New Roman" w:hAnsi="Times New Roman" w:cs="Times New Roman"/>
          <w:sz w:val="24"/>
          <w:szCs w:val="24"/>
        </w:rPr>
        <w:t xml:space="preserve">bank </w:t>
      </w:r>
      <w:r w:rsidRPr="00744EA4">
        <w:rPr>
          <w:rFonts w:ascii="Times New Roman" w:eastAsia="Times New Roman" w:hAnsi="Times New Roman" w:cs="Times New Roman"/>
          <w:sz w:val="24"/>
          <w:szCs w:val="24"/>
        </w:rPr>
        <w:t>risk, controlling for governance. Column (3) reports the combined result for female CRO</w:t>
      </w:r>
      <w:r w:rsidR="00567377">
        <w:rPr>
          <w:rFonts w:ascii="Times New Roman" w:eastAsia="Times New Roman" w:hAnsi="Times New Roman" w:cs="Times New Roman"/>
          <w:sz w:val="24"/>
          <w:szCs w:val="24"/>
        </w:rPr>
        <w:t>, governance,</w:t>
      </w:r>
      <w:r w:rsidRPr="00744EA4">
        <w:rPr>
          <w:rFonts w:ascii="Times New Roman" w:eastAsia="Times New Roman" w:hAnsi="Times New Roman" w:cs="Times New Roman"/>
          <w:sz w:val="24"/>
          <w:szCs w:val="24"/>
        </w:rPr>
        <w:t xml:space="preserve"> and bank-level control variables. Consistent with H1, the presence of a female CRO significantly and positively influenced bank risk. The coefficient of a female CRO in all three columns indicates that banks run by female CROs, on average, take more risks than male CROs.</w:t>
      </w:r>
    </w:p>
    <w:p w14:paraId="539FD965" w14:textId="7D4A9967"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Our results are consistent with the literature on managerial risk-taking that argues that, while managers should seek to manage risks effectively, many take risks to enhance their competitive advantage and improve company performance </w:t>
      </w:r>
      <w:r w:rsidRPr="00744EA4">
        <w:rPr>
          <w:rFonts w:ascii="Times New Roman" w:eastAsia="DengXian" w:hAnsi="Times New Roman" w:cs="Times New Roman"/>
          <w:color w:val="000000"/>
          <w:sz w:val="24"/>
          <w:szCs w:val="24"/>
        </w:rPr>
        <w:t>(Yu et al.,2017)</w:t>
      </w:r>
      <w:r w:rsidRPr="00744EA4">
        <w:rPr>
          <w:rFonts w:ascii="Times New Roman" w:eastAsia="Times New Roman" w:hAnsi="Times New Roman" w:cs="Times New Roman"/>
          <w:sz w:val="24"/>
          <w:szCs w:val="24"/>
        </w:rPr>
        <w:t xml:space="preserve">. These </w:t>
      </w:r>
      <w:r w:rsidR="00F96C64" w:rsidRPr="00744EA4">
        <w:rPr>
          <w:rFonts w:ascii="Times New Roman" w:eastAsia="Times New Roman" w:hAnsi="Times New Roman" w:cs="Times New Roman"/>
          <w:sz w:val="24"/>
          <w:szCs w:val="24"/>
        </w:rPr>
        <w:t>findings</w:t>
      </w:r>
      <w:r w:rsidRPr="00744EA4">
        <w:rPr>
          <w:rFonts w:ascii="Times New Roman" w:eastAsia="Times New Roman" w:hAnsi="Times New Roman" w:cs="Times New Roman"/>
          <w:sz w:val="24"/>
          <w:szCs w:val="24"/>
        </w:rPr>
        <w:t xml:space="preserve"> </w:t>
      </w:r>
      <w:r w:rsidR="00F96C64">
        <w:rPr>
          <w:rFonts w:ascii="Times New Roman" w:eastAsia="Times New Roman" w:hAnsi="Times New Roman" w:cs="Times New Roman"/>
          <w:sz w:val="24"/>
          <w:szCs w:val="24"/>
        </w:rPr>
        <w:t xml:space="preserve">also represent </w:t>
      </w:r>
      <w:r w:rsidRPr="00744EA4">
        <w:rPr>
          <w:rFonts w:ascii="Times New Roman" w:eastAsia="Times New Roman" w:hAnsi="Times New Roman" w:cs="Times New Roman"/>
          <w:sz w:val="24"/>
          <w:szCs w:val="24"/>
        </w:rPr>
        <w:t>the shareholders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w:t>
      </w:r>
      <w:r w:rsidR="001278ED" w:rsidRPr="00744EA4">
        <w:rPr>
          <w:rFonts w:ascii="Times New Roman" w:eastAsia="Times New Roman" w:hAnsi="Times New Roman" w:cs="Times New Roman"/>
          <w:sz w:val="24"/>
          <w:szCs w:val="24"/>
        </w:rPr>
        <w:t>incentive</w:t>
      </w:r>
      <w:r w:rsidRPr="00744EA4">
        <w:rPr>
          <w:rFonts w:ascii="Times New Roman" w:eastAsia="Times New Roman" w:hAnsi="Times New Roman" w:cs="Times New Roman"/>
          <w:sz w:val="24"/>
          <w:szCs w:val="24"/>
        </w:rPr>
        <w:t xml:space="preserve"> view, which </w:t>
      </w:r>
      <w:r w:rsidR="0091261D" w:rsidRPr="00744EA4">
        <w:rPr>
          <w:rFonts w:ascii="Times New Roman" w:eastAsia="Times New Roman" w:hAnsi="Times New Roman" w:cs="Times New Roman"/>
          <w:sz w:val="24"/>
          <w:szCs w:val="24"/>
        </w:rPr>
        <w:t>suggests</w:t>
      </w:r>
      <w:r w:rsidRPr="00744EA4">
        <w:rPr>
          <w:rFonts w:ascii="Times New Roman" w:eastAsia="Times New Roman" w:hAnsi="Times New Roman" w:cs="Times New Roman"/>
          <w:sz w:val="24"/>
          <w:szCs w:val="24"/>
        </w:rPr>
        <w:t xml:space="preserve"> that managers</w:t>
      </w:r>
      <w:r w:rsidR="0091261D">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w:t>
      </w:r>
      <w:r w:rsidR="0091261D">
        <w:rPr>
          <w:rFonts w:ascii="Times New Roman" w:eastAsia="Times New Roman" w:hAnsi="Times New Roman" w:cs="Times New Roman"/>
          <w:sz w:val="24"/>
          <w:szCs w:val="24"/>
        </w:rPr>
        <w:t>interests are aligned with shareholders, as evident through high risk-taking by them</w:t>
      </w:r>
      <w:r w:rsidRPr="00744EA4">
        <w:rPr>
          <w:rFonts w:ascii="Times New Roman" w:eastAsia="Times New Roman" w:hAnsi="Times New Roman" w:cs="Times New Roman"/>
          <w:sz w:val="24"/>
          <w:szCs w:val="24"/>
        </w:rPr>
        <w:t xml:space="preserve">(Sheedy &amp; Lubojanski, 2018). The results also </w:t>
      </w:r>
      <w:r w:rsidR="00567377">
        <w:rPr>
          <w:rFonts w:ascii="Times New Roman" w:eastAsia="Times New Roman" w:hAnsi="Times New Roman" w:cs="Times New Roman"/>
          <w:sz w:val="24"/>
          <w:szCs w:val="24"/>
        </w:rPr>
        <w:t>support</w:t>
      </w:r>
      <w:r w:rsidRPr="00744EA4">
        <w:rPr>
          <w:rFonts w:ascii="Times New Roman" w:eastAsia="Times New Roman" w:hAnsi="Times New Roman" w:cs="Times New Roman"/>
          <w:sz w:val="24"/>
          <w:szCs w:val="24"/>
        </w:rPr>
        <w:t xml:space="preserve"> the managerial incentive view, which suggests that managers benefit from taking risks through profit-based incentives (Yu et al., 2017). Finally, it should be taken into consideration that managers use employers</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money to take risks and thus have limited liability, even in extreme cases such as insolvency (Sheedy &amp; Lubojanski, 2018).</w:t>
      </w:r>
    </w:p>
    <w:p w14:paraId="2DB51F3B" w14:textId="26369202"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The results also provide support for the view that women who are successful in the finance industry may not reflect traditional female stereotypes, with gender differences in risk-tolerance thus decreasing as a woman</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seniority level increases (</w:t>
      </w:r>
      <w:r w:rsidRPr="00744EA4">
        <w:rPr>
          <w:rFonts w:ascii="Times New Roman" w:eastAsia="Times New Roman" w:hAnsi="Times New Roman" w:cs="Times New Roman"/>
          <w:color w:val="000000"/>
          <w:sz w:val="24"/>
          <w:szCs w:val="24"/>
        </w:rPr>
        <w:t xml:space="preserve">Kumar, 2010; </w:t>
      </w:r>
      <w:r w:rsidRPr="00744EA4">
        <w:rPr>
          <w:rFonts w:ascii="Times New Roman" w:eastAsia="Times New Roman" w:hAnsi="Times New Roman" w:cs="Times New Roman"/>
          <w:sz w:val="24"/>
          <w:szCs w:val="24"/>
        </w:rPr>
        <w:t xml:space="preserve">Adams &amp; Funk, 2012). Therefore, consistent with H1, our </w:t>
      </w:r>
      <w:r w:rsidR="00F96C64" w:rsidRPr="00744EA4">
        <w:rPr>
          <w:rFonts w:ascii="Times New Roman" w:eastAsia="Times New Roman" w:hAnsi="Times New Roman" w:cs="Times New Roman"/>
          <w:sz w:val="24"/>
          <w:szCs w:val="24"/>
        </w:rPr>
        <w:t>findings</w:t>
      </w:r>
      <w:r w:rsidRPr="00744EA4">
        <w:rPr>
          <w:rFonts w:ascii="Times New Roman" w:eastAsia="Times New Roman" w:hAnsi="Times New Roman" w:cs="Times New Roman"/>
          <w:sz w:val="24"/>
          <w:szCs w:val="24"/>
        </w:rPr>
        <w:t xml:space="preserve"> suggest that the presence of a female CRO is significantly and positively associated with a bank</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level of risk.</w:t>
      </w:r>
    </w:p>
    <w:p w14:paraId="187BE1D8" w14:textId="7FB9A65D" w:rsidR="00197BB6"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[Insert Table 3</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 xml:space="preserve"> here]</w:t>
      </w:r>
    </w:p>
    <w:p w14:paraId="42C344B6" w14:textId="77777777" w:rsidR="001278ED" w:rsidRPr="00880312" w:rsidRDefault="001278ED" w:rsidP="00744EA4">
      <w:pPr>
        <w:spacing w:line="480" w:lineRule="auto"/>
        <w:jc w:val="center"/>
        <w:rPr>
          <w:rFonts w:ascii="Times New Roman" w:eastAsia="Times New Roman" w:hAnsi="Times New Roman" w:cs="Times New Roman"/>
          <w:i/>
          <w:iCs/>
          <w:sz w:val="24"/>
          <w:szCs w:val="24"/>
        </w:rPr>
      </w:pPr>
    </w:p>
    <w:p w14:paraId="6393D2EA" w14:textId="19EA2EC5" w:rsidR="00744EA4" w:rsidRPr="003C7034" w:rsidRDefault="0037662B" w:rsidP="003C7034">
      <w:pPr>
        <w:pStyle w:val="Heading3"/>
        <w:rPr>
          <w:rFonts w:ascii="Times New Roman" w:hAnsi="Times New Roman" w:cs="Times New Roman"/>
          <w:b/>
          <w:bCs/>
          <w:i/>
          <w:iCs/>
          <w:color w:val="000000" w:themeColor="text1"/>
          <w:sz w:val="28"/>
          <w:szCs w:val="28"/>
        </w:rPr>
      </w:pPr>
      <w:bookmarkStart w:id="40" w:name="_Toc145616183"/>
      <w:r w:rsidRPr="003C7034">
        <w:rPr>
          <w:rFonts w:ascii="Times New Roman" w:hAnsi="Times New Roman" w:cs="Times New Roman"/>
          <w:b/>
          <w:bCs/>
          <w:smallCaps/>
          <w:color w:val="000000" w:themeColor="text1"/>
          <w:sz w:val="28"/>
          <w:szCs w:val="28"/>
        </w:rPr>
        <w:t>3.</w:t>
      </w:r>
      <w:r w:rsidR="00744EA4" w:rsidRPr="003C7034">
        <w:rPr>
          <w:rFonts w:ascii="Times New Roman" w:hAnsi="Times New Roman" w:cs="Times New Roman"/>
          <w:b/>
          <w:bCs/>
          <w:smallCaps/>
          <w:color w:val="000000" w:themeColor="text1"/>
          <w:sz w:val="28"/>
          <w:szCs w:val="28"/>
        </w:rPr>
        <w:t>4</w:t>
      </w:r>
      <w:r w:rsidR="00744EA4" w:rsidRPr="003C7034">
        <w:rPr>
          <w:rFonts w:ascii="Times New Roman" w:hAnsi="Times New Roman" w:cs="Times New Roman"/>
          <w:b/>
          <w:bCs/>
          <w:color w:val="000000" w:themeColor="text1"/>
          <w:sz w:val="28"/>
          <w:szCs w:val="28"/>
        </w:rPr>
        <w:t>.2. Female CROs and Board Gender-Diversity</w:t>
      </w:r>
      <w:bookmarkEnd w:id="40"/>
    </w:p>
    <w:p w14:paraId="19CC9F17" w14:textId="461E13E2"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Section 4.1 reported that banks with female CROs take more risks than those without. However, the female CRO and </w:t>
      </w:r>
      <w:r w:rsidR="001C08EE">
        <w:rPr>
          <w:rFonts w:ascii="Times New Roman" w:eastAsia="Times New Roman" w:hAnsi="Times New Roman" w:cs="Times New Roman"/>
          <w:sz w:val="24"/>
          <w:szCs w:val="24"/>
        </w:rPr>
        <w:t>bank risk</w:t>
      </w:r>
      <w:r w:rsidRPr="00744EA4">
        <w:rPr>
          <w:rFonts w:ascii="Times New Roman" w:eastAsia="Times New Roman" w:hAnsi="Times New Roman" w:cs="Times New Roman"/>
          <w:sz w:val="24"/>
          <w:szCs w:val="24"/>
        </w:rPr>
        <w:t xml:space="preserve"> relationship is moderated by the presence of women on the board. Consistent with previous literature (e.g., Schopol et al., 2021), </w:t>
      </w:r>
      <w:r w:rsidRPr="009E69CE">
        <w:rPr>
          <w:rFonts w:ascii="Times New Roman" w:eastAsia="Times New Roman" w:hAnsi="Times New Roman" w:cs="Times New Roman"/>
          <w:i/>
          <w:iCs/>
          <w:sz w:val="24"/>
          <w:szCs w:val="24"/>
        </w:rPr>
        <w:t xml:space="preserve">Table </w:t>
      </w:r>
      <w:r w:rsidR="006E3998" w:rsidRPr="009E69CE">
        <w:rPr>
          <w:rFonts w:ascii="Times New Roman" w:eastAsia="Times New Roman" w:hAnsi="Times New Roman" w:cs="Times New Roman"/>
          <w:i/>
          <w:iCs/>
          <w:sz w:val="24"/>
          <w:szCs w:val="24"/>
        </w:rPr>
        <w:t>3.</w:t>
      </w:r>
      <w:r w:rsidRPr="009E69CE">
        <w:rPr>
          <w:rFonts w:ascii="Times New Roman" w:eastAsia="Times New Roman" w:hAnsi="Times New Roman" w:cs="Times New Roman"/>
          <w:i/>
          <w:iCs/>
          <w:sz w:val="24"/>
          <w:szCs w:val="24"/>
        </w:rPr>
        <w:t>4</w:t>
      </w:r>
      <w:r w:rsidRPr="00744EA4">
        <w:rPr>
          <w:rFonts w:ascii="Times New Roman" w:eastAsia="Times New Roman" w:hAnsi="Times New Roman" w:cs="Times New Roman"/>
          <w:sz w:val="24"/>
          <w:szCs w:val="24"/>
        </w:rPr>
        <w:t xml:space="preserve"> shows a significant moderating role of a gender-diverse board in managerial decision-making. </w:t>
      </w:r>
      <w:bookmarkStart w:id="41" w:name="_Hlk110504941"/>
      <w:r w:rsidRPr="00744EA4">
        <w:rPr>
          <w:rFonts w:ascii="Times New Roman" w:eastAsia="Times New Roman" w:hAnsi="Times New Roman" w:cs="Times New Roman"/>
          <w:sz w:val="24"/>
          <w:szCs w:val="24"/>
        </w:rPr>
        <w:t>The results contribute to the body of gender sociali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 and ethical literature</w:t>
      </w:r>
      <w:r w:rsidR="00567377">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showing that female directors are believed to be more honest, caring, nurturing, sympathetic, friendly, and concerned with broader social issues. These soft skills then </w:t>
      </w:r>
      <w:r w:rsidR="00567377">
        <w:rPr>
          <w:rFonts w:ascii="Times New Roman" w:eastAsia="Times New Roman" w:hAnsi="Times New Roman" w:cs="Times New Roman"/>
          <w:sz w:val="24"/>
          <w:szCs w:val="24"/>
        </w:rPr>
        <w:t>significantly moderate</w:t>
      </w:r>
      <w:r w:rsidRPr="00744EA4">
        <w:rPr>
          <w:rFonts w:ascii="Times New Roman" w:eastAsia="Times New Roman" w:hAnsi="Times New Roman" w:cs="Times New Roman"/>
          <w:sz w:val="24"/>
          <w:szCs w:val="24"/>
        </w:rPr>
        <w:t xml:space="preserve"> risk (e.g., </w:t>
      </w:r>
      <w:r w:rsidRPr="00744EA4">
        <w:rPr>
          <w:rFonts w:ascii="Times New Roman" w:eastAsia="DengXian" w:hAnsi="Times New Roman" w:cs="Times New Roman"/>
          <w:color w:val="000000"/>
          <w:sz w:val="24"/>
          <w:szCs w:val="24"/>
        </w:rPr>
        <w:t>Chizema et al., 2015</w:t>
      </w:r>
      <w:r w:rsidRPr="00744EA4">
        <w:rPr>
          <w:rFonts w:ascii="Times New Roman" w:eastAsia="Times New Roman" w:hAnsi="Times New Roman" w:cs="Times New Roman"/>
          <w:sz w:val="24"/>
          <w:szCs w:val="24"/>
        </w:rPr>
        <w:t>; Atif et al., 2021). The results also support the stream of literature linking board gender</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diversity with enhanced board</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monitoring, leading to lower tax avoidance, less severe security frauds, and fewer bank misconduct and environmental sanctions (Cumming et al., 2015; Richardson et al., 2016; Liu et al., 2018; Arnaboldi et al., 2021). Furthermore, the results align with the view of </w:t>
      </w:r>
      <w:r w:rsidRPr="00744EA4">
        <w:rPr>
          <w:rFonts w:ascii="Times New Roman" w:eastAsia="DengXian" w:hAnsi="Times New Roman" w:cs="Times New Roman"/>
          <w:color w:val="000000"/>
          <w:sz w:val="24"/>
          <w:szCs w:val="24"/>
        </w:rPr>
        <w:t>Adams and Ferreira (2007)</w:t>
      </w:r>
      <w:r w:rsidRPr="00744EA4">
        <w:rPr>
          <w:rFonts w:ascii="Times New Roman" w:eastAsia="Times New Roman" w:hAnsi="Times New Roman" w:cs="Times New Roman"/>
          <w:sz w:val="24"/>
          <w:szCs w:val="24"/>
        </w:rPr>
        <w:t xml:space="preserve"> that female directors possess more soft skills (being trustworthy, caring, </w:t>
      </w:r>
      <w:r w:rsidR="00567377">
        <w:rPr>
          <w:rFonts w:ascii="Times New Roman" w:eastAsia="Times New Roman" w:hAnsi="Times New Roman" w:cs="Times New Roman"/>
          <w:sz w:val="24"/>
          <w:szCs w:val="24"/>
        </w:rPr>
        <w:t xml:space="preserve">and </w:t>
      </w:r>
      <w:r w:rsidRPr="00744EA4">
        <w:rPr>
          <w:rFonts w:ascii="Times New Roman" w:eastAsia="Times New Roman" w:hAnsi="Times New Roman" w:cs="Times New Roman"/>
          <w:sz w:val="24"/>
          <w:szCs w:val="24"/>
        </w:rPr>
        <w:t xml:space="preserve">friendly), </w:t>
      </w:r>
      <w:r w:rsidR="00567377">
        <w:rPr>
          <w:rFonts w:ascii="Times New Roman" w:eastAsia="Times New Roman" w:hAnsi="Times New Roman" w:cs="Times New Roman"/>
          <w:sz w:val="24"/>
          <w:szCs w:val="24"/>
        </w:rPr>
        <w:t>creating a comfortable environment where</w:t>
      </w:r>
      <w:r w:rsidRPr="00744EA4">
        <w:rPr>
          <w:rFonts w:ascii="Times New Roman" w:eastAsia="Times New Roman" w:hAnsi="Times New Roman" w:cs="Times New Roman"/>
          <w:sz w:val="24"/>
          <w:szCs w:val="24"/>
        </w:rPr>
        <w:t xml:space="preserve"> executives feel more comfortable sharing information. Thus, our results provide evidence </w:t>
      </w:r>
      <w:r w:rsidRPr="001278ED">
        <w:rPr>
          <w:rFonts w:ascii="Times New Roman" w:eastAsia="Times New Roman" w:hAnsi="Times New Roman" w:cs="Times New Roman"/>
          <w:sz w:val="24"/>
          <w:szCs w:val="24"/>
        </w:rPr>
        <w:t>that gender-diverse boards improve board monitoring, hence their ability to reduce bank risk.</w:t>
      </w:r>
      <w:bookmarkEnd w:id="41"/>
    </w:p>
    <w:p w14:paraId="59FFF112" w14:textId="7E5DCBEA" w:rsidR="006E3998"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4 here]</w:t>
      </w:r>
    </w:p>
    <w:p w14:paraId="3B210F89" w14:textId="00A9F09F" w:rsidR="00744EA4" w:rsidRPr="003C7034" w:rsidRDefault="00744EA4" w:rsidP="003C7034">
      <w:pPr>
        <w:rPr>
          <w:rFonts w:ascii="Times New Roman" w:eastAsia="Times New Roman" w:hAnsi="Times New Roman" w:cs="Times New Roman"/>
          <w:i/>
          <w:iCs/>
          <w:sz w:val="24"/>
          <w:szCs w:val="24"/>
        </w:rPr>
      </w:pPr>
    </w:p>
    <w:p w14:paraId="4AD036D3" w14:textId="0A239957" w:rsidR="00744EA4" w:rsidRPr="003C7034" w:rsidRDefault="0037662B" w:rsidP="003C7034">
      <w:pPr>
        <w:pStyle w:val="Heading3"/>
        <w:rPr>
          <w:rFonts w:ascii="Times New Roman" w:hAnsi="Times New Roman" w:cs="Times New Roman"/>
          <w:b/>
          <w:bCs/>
          <w:color w:val="000000" w:themeColor="text1"/>
          <w:sz w:val="28"/>
          <w:szCs w:val="28"/>
        </w:rPr>
      </w:pPr>
      <w:bookmarkStart w:id="42" w:name="_Toc145616184"/>
      <w:r w:rsidRPr="003C7034">
        <w:rPr>
          <w:rFonts w:ascii="Times New Roman" w:hAnsi="Times New Roman" w:cs="Times New Roman"/>
          <w:b/>
          <w:bCs/>
          <w:color w:val="000000" w:themeColor="text1"/>
          <w:sz w:val="28"/>
          <w:szCs w:val="28"/>
        </w:rPr>
        <w:t>3.</w:t>
      </w:r>
      <w:r w:rsidR="00744EA4" w:rsidRPr="003C7034">
        <w:rPr>
          <w:rFonts w:ascii="Times New Roman" w:hAnsi="Times New Roman" w:cs="Times New Roman"/>
          <w:b/>
          <w:bCs/>
          <w:color w:val="000000" w:themeColor="text1"/>
          <w:sz w:val="28"/>
          <w:szCs w:val="28"/>
        </w:rPr>
        <w:t>4.3. Female CROs and Risk-Committee Gender Diversity</w:t>
      </w:r>
      <w:bookmarkEnd w:id="42"/>
    </w:p>
    <w:p w14:paraId="30D41D16" w14:textId="572B69EA"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Finally, we investigated whether gender diversity in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 xml:space="preserve">s improved the risk-taking decisions of female CROs. We tested H3, and the results are reported in </w:t>
      </w:r>
      <w:r w:rsidRPr="009E69CE">
        <w:rPr>
          <w:rFonts w:ascii="Times New Roman" w:eastAsia="Times New Roman" w:hAnsi="Times New Roman" w:cs="Times New Roman"/>
          <w:i/>
          <w:iCs/>
          <w:sz w:val="24"/>
          <w:szCs w:val="24"/>
        </w:rPr>
        <w:t xml:space="preserve">Table </w:t>
      </w:r>
      <w:r w:rsidR="006E3998" w:rsidRPr="009E69CE">
        <w:rPr>
          <w:rFonts w:ascii="Times New Roman" w:eastAsia="Times New Roman" w:hAnsi="Times New Roman" w:cs="Times New Roman"/>
          <w:i/>
          <w:iCs/>
          <w:sz w:val="24"/>
          <w:szCs w:val="24"/>
        </w:rPr>
        <w:t>3.</w:t>
      </w:r>
      <w:r w:rsidRPr="009E69CE">
        <w:rPr>
          <w:rFonts w:ascii="Times New Roman" w:eastAsia="Times New Roman" w:hAnsi="Times New Roman" w:cs="Times New Roman"/>
          <w:i/>
          <w:iCs/>
          <w:sz w:val="24"/>
          <w:szCs w:val="24"/>
        </w:rPr>
        <w:t>5</w:t>
      </w:r>
      <w:r w:rsidRPr="00744EA4">
        <w:rPr>
          <w:rFonts w:ascii="Times New Roman" w:eastAsia="Times New Roman" w:hAnsi="Times New Roman" w:cs="Times New Roman"/>
          <w:sz w:val="24"/>
          <w:szCs w:val="24"/>
        </w:rPr>
        <w:t>. The results show that the presence of women on monitoring committees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 xml:space="preserve">s) is associated with lower levels of risk-taking. The interaction term of </w:t>
      </w:r>
      <w:r w:rsidRPr="00744EA4">
        <w:rPr>
          <w:rFonts w:ascii="Times New Roman" w:eastAsia="Times New Roman" w:hAnsi="Times New Roman" w:cs="Times New Roman"/>
          <w:i/>
          <w:iCs/>
          <w:sz w:val="24"/>
          <w:szCs w:val="24"/>
        </w:rPr>
        <w:t>Female CRO_Presence* Per Female_ R</w:t>
      </w:r>
      <w:r w:rsidR="00197BB6" w:rsidRPr="00880312">
        <w:rPr>
          <w:rFonts w:ascii="Times New Roman" w:eastAsia="Times New Roman" w:hAnsi="Times New Roman" w:cs="Times New Roman"/>
          <w:i/>
          <w:iCs/>
          <w:sz w:val="24"/>
          <w:szCs w:val="24"/>
        </w:rPr>
        <w:t>.C.</w:t>
      </w:r>
      <w:r w:rsidRPr="00744EA4">
        <w:rPr>
          <w:rFonts w:ascii="Times New Roman" w:eastAsia="Times New Roman" w:hAnsi="Times New Roman" w:cs="Times New Roman"/>
          <w:sz w:val="24"/>
          <w:szCs w:val="24"/>
        </w:rPr>
        <w:t xml:space="preserve"> is significantly negative: in short, for every one-percentage-point increase in female representation on a risk committee, bank risk measure decreases by 0.028%, all else held constant.</w:t>
      </w:r>
      <w:r w:rsidRPr="00744EA4">
        <w:rPr>
          <w:rFonts w:ascii="Calibri" w:eastAsia="Times New Roman" w:hAnsi="Calibri" w:cs="Times New Roman"/>
          <w:sz w:val="24"/>
          <w:szCs w:val="24"/>
        </w:rPr>
        <w:t xml:space="preserve"> </w:t>
      </w:r>
      <w:bookmarkStart w:id="43" w:name="_Hlk110503656"/>
      <w:r w:rsidRPr="00744EA4">
        <w:rPr>
          <w:rFonts w:ascii="Times New Roman" w:eastAsia="Times New Roman" w:hAnsi="Times New Roman" w:cs="Times New Roman"/>
          <w:sz w:val="24"/>
          <w:szCs w:val="24"/>
        </w:rPr>
        <w:t>Our results show that female directors on the committees effectively limit managerial risk-taking. Our results also support the agency theory indicating that an independent board committee increases the board</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effectiveness by advising, monitoring, and disciplining executives (Zalaata et al., 2019). Finally, this indicates that</w:t>
      </w:r>
      <w:r w:rsidR="00567377">
        <w:rPr>
          <w:rFonts w:ascii="Times New Roman" w:eastAsia="Times New Roman" w:hAnsi="Times New Roman" w:cs="Times New Roman"/>
          <w:sz w:val="24"/>
          <w:szCs w:val="24"/>
        </w:rPr>
        <w:t xml:space="preserve"> female presence at the committee level also serves as a mechanism to curtail managerial risk-taking in addition to reducing</w:t>
      </w:r>
      <w:r w:rsidRPr="00744EA4">
        <w:rPr>
          <w:rFonts w:ascii="Times New Roman" w:eastAsia="Times New Roman" w:hAnsi="Times New Roman" w:cs="Times New Roman"/>
          <w:sz w:val="24"/>
          <w:szCs w:val="24"/>
        </w:rPr>
        <w:t xml:space="preserve"> managerial risk-taking. These results are consistent with the literature</w:t>
      </w:r>
      <w:r w:rsidRPr="00744EA4">
        <w:rPr>
          <w:rFonts w:ascii="Times New Roman" w:eastAsia="Times New Roman" w:hAnsi="Times New Roman" w:cs="Times New Roman"/>
          <w:color w:val="000000"/>
          <w:sz w:val="24"/>
          <w:szCs w:val="24"/>
        </w:rPr>
        <w:t xml:space="preserve"> showing</w:t>
      </w:r>
      <w:r w:rsidRPr="00744EA4">
        <w:rPr>
          <w:rFonts w:ascii="Times New Roman" w:eastAsia="Times New Roman" w:hAnsi="Times New Roman" w:cs="Times New Roman"/>
          <w:sz w:val="24"/>
          <w:szCs w:val="24"/>
        </w:rPr>
        <w:t xml:space="preserve"> that the presence of female directors on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s improves risk monitoring and reduces risk-taking (e.g., Yu et al., 2017; Jia, 2019).</w:t>
      </w:r>
    </w:p>
    <w:bookmarkEnd w:id="43"/>
    <w:p w14:paraId="546CA610" w14:textId="00C5F527" w:rsidR="00744EA4"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5 here]</w:t>
      </w:r>
    </w:p>
    <w:p w14:paraId="693F2D31" w14:textId="37B594FB" w:rsidR="003C7034" w:rsidRDefault="003C7034">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4C213567" w14:textId="77777777" w:rsidR="003C7034" w:rsidRPr="00744EA4" w:rsidRDefault="003C7034" w:rsidP="00744EA4">
      <w:pPr>
        <w:spacing w:line="480" w:lineRule="auto"/>
        <w:jc w:val="center"/>
        <w:rPr>
          <w:rFonts w:ascii="Times New Roman" w:eastAsia="Times New Roman" w:hAnsi="Times New Roman" w:cs="Times New Roman"/>
          <w:i/>
          <w:iCs/>
          <w:sz w:val="24"/>
          <w:szCs w:val="24"/>
        </w:rPr>
      </w:pPr>
    </w:p>
    <w:p w14:paraId="672BA22E" w14:textId="3EF4DDBA" w:rsidR="00744EA4" w:rsidRPr="003C7034" w:rsidRDefault="0037662B" w:rsidP="003C7034">
      <w:pPr>
        <w:pStyle w:val="Heading3"/>
        <w:rPr>
          <w:rFonts w:ascii="Times New Roman" w:hAnsi="Times New Roman" w:cs="Times New Roman"/>
          <w:b/>
          <w:bCs/>
          <w:color w:val="000000" w:themeColor="text1"/>
          <w:sz w:val="28"/>
          <w:szCs w:val="28"/>
        </w:rPr>
      </w:pPr>
      <w:bookmarkStart w:id="44" w:name="_Toc145616185"/>
      <w:r w:rsidRPr="003C7034">
        <w:rPr>
          <w:rFonts w:ascii="Times New Roman" w:hAnsi="Times New Roman" w:cs="Times New Roman"/>
          <w:b/>
          <w:bCs/>
          <w:color w:val="000000" w:themeColor="text1"/>
          <w:sz w:val="28"/>
          <w:szCs w:val="28"/>
        </w:rPr>
        <w:t>3.</w:t>
      </w:r>
      <w:r w:rsidR="00744EA4" w:rsidRPr="003C7034">
        <w:rPr>
          <w:rFonts w:ascii="Times New Roman" w:hAnsi="Times New Roman" w:cs="Times New Roman"/>
          <w:b/>
          <w:bCs/>
          <w:color w:val="000000" w:themeColor="text1"/>
          <w:sz w:val="28"/>
          <w:szCs w:val="28"/>
        </w:rPr>
        <w:t>4.4</w:t>
      </w:r>
      <w:r w:rsidRPr="003C7034">
        <w:rPr>
          <w:rFonts w:ascii="Times New Roman" w:hAnsi="Times New Roman" w:cs="Times New Roman"/>
          <w:b/>
          <w:bCs/>
          <w:color w:val="000000" w:themeColor="text1"/>
          <w:sz w:val="28"/>
          <w:szCs w:val="28"/>
        </w:rPr>
        <w:t>.</w:t>
      </w:r>
      <w:r w:rsidR="00744EA4" w:rsidRPr="003C7034">
        <w:rPr>
          <w:rFonts w:ascii="Times New Roman" w:hAnsi="Times New Roman" w:cs="Times New Roman"/>
          <w:b/>
          <w:bCs/>
          <w:color w:val="000000" w:themeColor="text1"/>
          <w:sz w:val="28"/>
          <w:szCs w:val="28"/>
        </w:rPr>
        <w:t xml:space="preserve"> Female CRO Reporting Lines and Bank Risk</w:t>
      </w:r>
      <w:bookmarkEnd w:id="44"/>
    </w:p>
    <w:p w14:paraId="0FF9ADE8" w14:textId="715F6D69"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Responding to H4, we argue that a female CRO reporting to the board instead of the CEO can significantly reduce a bank</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s risk. To test this hypothesis, we assessed </w:t>
      </w:r>
      <w:r w:rsidR="00567377">
        <w:rPr>
          <w:rFonts w:ascii="Times New Roman" w:eastAsia="Times New Roman" w:hAnsi="Times New Roman" w:cs="Times New Roman"/>
          <w:sz w:val="24"/>
          <w:szCs w:val="24"/>
        </w:rPr>
        <w:t>female CROs' impact on bank</w:t>
      </w:r>
      <w:r w:rsidR="00B21A4C">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risk when reporting to the board. We report our findings in </w:t>
      </w:r>
      <w:r w:rsidRPr="00744EA4">
        <w:rPr>
          <w:rFonts w:ascii="Times New Roman" w:eastAsia="Times New Roman" w:hAnsi="Times New Roman" w:cs="Times New Roman"/>
          <w:i/>
          <w:iCs/>
          <w:sz w:val="24"/>
          <w:szCs w:val="24"/>
        </w:rPr>
        <w:t xml:space="preserve">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 xml:space="preserve">6, </w:t>
      </w:r>
      <w:r w:rsidRPr="00744EA4">
        <w:rPr>
          <w:rFonts w:ascii="Times New Roman" w:eastAsia="Times New Roman" w:hAnsi="Times New Roman" w:cs="Times New Roman"/>
          <w:sz w:val="24"/>
          <w:szCs w:val="24"/>
        </w:rPr>
        <w:t xml:space="preserve">showing that female CROs are associated with </w:t>
      </w:r>
      <w:r w:rsidR="00567377">
        <w:rPr>
          <w:rFonts w:ascii="Times New Roman" w:eastAsia="Times New Roman" w:hAnsi="Times New Roman" w:cs="Times New Roman"/>
          <w:sz w:val="24"/>
          <w:szCs w:val="24"/>
        </w:rPr>
        <w:t xml:space="preserve">a </w:t>
      </w:r>
      <w:r w:rsidRPr="00744EA4">
        <w:rPr>
          <w:rFonts w:ascii="Times New Roman" w:eastAsia="Times New Roman" w:hAnsi="Times New Roman" w:cs="Times New Roman"/>
          <w:sz w:val="24"/>
          <w:szCs w:val="24"/>
        </w:rPr>
        <w:t xml:space="preserve">lower </w:t>
      </w:r>
      <w:r w:rsidR="00B21A4C">
        <w:rPr>
          <w:rFonts w:ascii="Times New Roman" w:eastAsia="Times New Roman" w:hAnsi="Times New Roman" w:cs="Times New Roman"/>
          <w:sz w:val="24"/>
          <w:szCs w:val="24"/>
        </w:rPr>
        <w:t xml:space="preserve">level of </w:t>
      </w:r>
      <w:r w:rsidRPr="00744EA4">
        <w:rPr>
          <w:rFonts w:ascii="Times New Roman" w:eastAsia="Times New Roman" w:hAnsi="Times New Roman" w:cs="Times New Roman"/>
          <w:sz w:val="24"/>
          <w:szCs w:val="24"/>
        </w:rPr>
        <w:t>risk when they report directly to the board. The results highlight the significance of CROs to the risk-management function, namely with their timely communication of risk-related information to the board (Stulz, 2008). Our result provides empirical evidence of how information filtering can be reduced by improving organi</w:t>
      </w:r>
      <w:r w:rsidR="00197BB6" w:rsidRPr="00880312">
        <w:rPr>
          <w:rFonts w:ascii="Times New Roman" w:eastAsia="Times New Roman" w:hAnsi="Times New Roman" w:cs="Times New Roman"/>
          <w:sz w:val="24"/>
          <w:szCs w:val="24"/>
        </w:rPr>
        <w:t>z</w:t>
      </w:r>
      <w:r w:rsidRPr="00744EA4">
        <w:rPr>
          <w:rFonts w:ascii="Times New Roman" w:eastAsia="Times New Roman" w:hAnsi="Times New Roman" w:cs="Times New Roman"/>
          <w:sz w:val="24"/>
          <w:szCs w:val="24"/>
        </w:rPr>
        <w:t>ational hierarchy – specifically, allowing CROs to report related matters directly to the board (Senior Supervisor Group, 2008; Stulz, 2008). It also highlights how agency problems can be reduced in banks, especially when CEOs and CROs have conflicting interests. Our results align with previous studies on the importance of a CRO reporting line to the board (Aebi, Sabato &amp; Schmid, 2012).</w:t>
      </w:r>
    </w:p>
    <w:p w14:paraId="78916609" w14:textId="49CAF478" w:rsidR="00744EA4" w:rsidRPr="00744EA4" w:rsidRDefault="00744EA4" w:rsidP="00744EA4">
      <w:pPr>
        <w:spacing w:line="24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6 here]</w:t>
      </w:r>
    </w:p>
    <w:p w14:paraId="7D044F6B" w14:textId="77777777" w:rsidR="00744EA4" w:rsidRPr="00744EA4" w:rsidRDefault="00744EA4" w:rsidP="00744EA4">
      <w:pPr>
        <w:spacing w:line="240" w:lineRule="auto"/>
        <w:jc w:val="center"/>
        <w:rPr>
          <w:rFonts w:ascii="Times New Roman" w:eastAsia="Times New Roman" w:hAnsi="Times New Roman" w:cs="Times New Roman"/>
          <w:i/>
          <w:iCs/>
          <w:sz w:val="24"/>
          <w:szCs w:val="24"/>
        </w:rPr>
      </w:pPr>
    </w:p>
    <w:p w14:paraId="2967A84B" w14:textId="70A05AFE" w:rsidR="00744EA4" w:rsidRPr="003C7034" w:rsidRDefault="0037662B" w:rsidP="003C7034">
      <w:pPr>
        <w:pStyle w:val="Heading2"/>
        <w:rPr>
          <w:color w:val="000000" w:themeColor="text1"/>
          <w:sz w:val="32"/>
          <w:szCs w:val="32"/>
        </w:rPr>
      </w:pPr>
      <w:bookmarkStart w:id="45" w:name="_Toc145616186"/>
      <w:r w:rsidRPr="003C7034">
        <w:rPr>
          <w:color w:val="000000" w:themeColor="text1"/>
          <w:sz w:val="32"/>
          <w:szCs w:val="32"/>
        </w:rPr>
        <w:t>3.</w:t>
      </w:r>
      <w:r w:rsidR="00744EA4" w:rsidRPr="003C7034">
        <w:rPr>
          <w:color w:val="000000" w:themeColor="text1"/>
          <w:sz w:val="32"/>
          <w:szCs w:val="32"/>
        </w:rPr>
        <w:t>5. Identification Strategies and Robustness Checks</w:t>
      </w:r>
      <w:bookmarkEnd w:id="45"/>
    </w:p>
    <w:p w14:paraId="08B018CB" w14:textId="50AE6330"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We applied various econometric techniques to </w:t>
      </w:r>
      <w:r w:rsidR="00E85C49">
        <w:rPr>
          <w:rFonts w:ascii="Times New Roman" w:eastAsia="Times New Roman" w:hAnsi="Times New Roman" w:cs="Times New Roman"/>
          <w:sz w:val="24"/>
          <w:szCs w:val="24"/>
        </w:rPr>
        <w:t>deal with issues relating to sample selection bias, unobserved heterogeneity and endogeneity</w:t>
      </w:r>
      <w:r w:rsidRPr="00744EA4">
        <w:rPr>
          <w:rFonts w:ascii="Times New Roman" w:eastAsia="Times New Roman" w:hAnsi="Times New Roman" w:cs="Times New Roman"/>
          <w:sz w:val="24"/>
          <w:szCs w:val="24"/>
        </w:rPr>
        <w:t xml:space="preserve">. The findings are presented in this </w:t>
      </w:r>
      <w:r w:rsidR="00567377">
        <w:rPr>
          <w:rFonts w:ascii="Times New Roman" w:eastAsia="Times New Roman" w:hAnsi="Times New Roman" w:cs="Times New Roman"/>
          <w:sz w:val="24"/>
          <w:szCs w:val="24"/>
        </w:rPr>
        <w:t>section</w:t>
      </w:r>
      <w:r w:rsidRPr="00744EA4">
        <w:rPr>
          <w:rFonts w:ascii="Times New Roman" w:eastAsia="Times New Roman" w:hAnsi="Times New Roman" w:cs="Times New Roman"/>
          <w:sz w:val="24"/>
          <w:szCs w:val="24"/>
        </w:rPr>
        <w:t>.</w:t>
      </w:r>
    </w:p>
    <w:p w14:paraId="700C2450" w14:textId="58C35B4B" w:rsidR="009F2172" w:rsidRPr="009F2172" w:rsidRDefault="00567377" w:rsidP="009F21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estimated an instrumental variable (IV) regression using two-stage least squares (2SLS) to deal with the endogeneity issue</w:t>
      </w:r>
      <w:r w:rsidR="00744EA4" w:rsidRPr="00744EA4">
        <w:rPr>
          <w:rFonts w:ascii="Times New Roman" w:eastAsia="Times New Roman" w:hAnsi="Times New Roman" w:cs="Times New Roman"/>
          <w:sz w:val="24"/>
          <w:szCs w:val="24"/>
        </w:rPr>
        <w:t xml:space="preserve">. </w:t>
      </w:r>
      <w:r w:rsidR="00E85C49">
        <w:rPr>
          <w:rFonts w:ascii="Times New Roman" w:eastAsia="Times New Roman" w:hAnsi="Times New Roman" w:cs="Times New Roman"/>
          <w:sz w:val="24"/>
          <w:szCs w:val="24"/>
        </w:rPr>
        <w:t>We follow</w:t>
      </w:r>
      <w:r>
        <w:rPr>
          <w:rFonts w:ascii="Times New Roman" w:eastAsia="Times New Roman" w:hAnsi="Times New Roman" w:cs="Times New Roman"/>
          <w:sz w:val="24"/>
          <w:szCs w:val="24"/>
        </w:rPr>
        <w:t>ed</w:t>
      </w:r>
      <w:r w:rsidR="00E85C49" w:rsidRPr="00744EA4">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Hines et al. (2015), </w:t>
      </w:r>
      <w:r w:rsidR="00744EA4" w:rsidRPr="009F2172">
        <w:rPr>
          <w:rFonts w:ascii="Times New Roman" w:eastAsia="Times New Roman" w:hAnsi="Times New Roman" w:cs="Times New Roman"/>
          <w:sz w:val="24"/>
          <w:szCs w:val="24"/>
        </w:rPr>
        <w:t>Ames et al. (2018),</w:t>
      </w:r>
      <w:r w:rsidR="00744EA4" w:rsidRPr="00744EA4">
        <w:rPr>
          <w:rFonts w:ascii="Times New Roman" w:eastAsia="Times New Roman" w:hAnsi="Times New Roman" w:cs="Times New Roman"/>
          <w:sz w:val="24"/>
          <w:szCs w:val="24"/>
        </w:rPr>
        <w:t xml:space="preserve"> and Malik et al. (2020)</w:t>
      </w:r>
      <w:r w:rsidR="00E85C49">
        <w:rPr>
          <w:rFonts w:ascii="Times New Roman" w:eastAsia="Times New Roman" w:hAnsi="Times New Roman" w:cs="Times New Roman"/>
          <w:sz w:val="24"/>
          <w:szCs w:val="24"/>
        </w:rPr>
        <w:t xml:space="preserve"> and took</w:t>
      </w:r>
      <w:r w:rsidR="00744EA4" w:rsidRPr="00744EA4">
        <w:rPr>
          <w:rFonts w:ascii="Times New Roman" w:eastAsia="Times New Roman" w:hAnsi="Times New Roman" w:cs="Times New Roman"/>
          <w:sz w:val="24"/>
          <w:szCs w:val="24"/>
        </w:rPr>
        <w:t xml:space="preserve"> the </w:t>
      </w:r>
      <w:r w:rsidR="00E85C49" w:rsidRPr="00744EA4">
        <w:rPr>
          <w:rFonts w:ascii="Times New Roman" w:eastAsia="Times New Roman" w:hAnsi="Times New Roman" w:cs="Times New Roman"/>
          <w:sz w:val="24"/>
          <w:szCs w:val="24"/>
        </w:rPr>
        <w:t>mean</w:t>
      </w:r>
      <w:r w:rsidR="00744EA4"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estimate</w:t>
      </w:r>
      <w:r w:rsidR="00744EA4" w:rsidRPr="00744EA4">
        <w:rPr>
          <w:rFonts w:ascii="Times New Roman" w:eastAsia="Times New Roman" w:hAnsi="Times New Roman" w:cs="Times New Roman"/>
          <w:sz w:val="24"/>
          <w:szCs w:val="24"/>
        </w:rPr>
        <w:t xml:space="preserve"> of the </w:t>
      </w:r>
      <w:r w:rsidR="00744EA4" w:rsidRPr="009F2172">
        <w:rPr>
          <w:rFonts w:ascii="Times New Roman" w:eastAsia="Times New Roman" w:hAnsi="Times New Roman" w:cs="Times New Roman"/>
          <w:sz w:val="24"/>
          <w:szCs w:val="24"/>
        </w:rPr>
        <w:t>Female CRO_Presence</w:t>
      </w:r>
      <w:r w:rsidR="00744EA4" w:rsidRPr="00744EA4">
        <w:rPr>
          <w:rFonts w:ascii="Times New Roman" w:eastAsia="Times New Roman" w:hAnsi="Times New Roman" w:cs="Times New Roman"/>
          <w:sz w:val="24"/>
          <w:szCs w:val="24"/>
        </w:rPr>
        <w:t xml:space="preserve"> variable in the banking </w:t>
      </w:r>
      <w:r w:rsidR="00E85C49">
        <w:rPr>
          <w:rFonts w:ascii="Times New Roman" w:eastAsia="Times New Roman" w:hAnsi="Times New Roman" w:cs="Times New Roman"/>
          <w:sz w:val="24"/>
          <w:szCs w:val="24"/>
        </w:rPr>
        <w:t xml:space="preserve">sector </w:t>
      </w:r>
      <w:r w:rsidR="00744EA4" w:rsidRPr="00744EA4">
        <w:rPr>
          <w:rFonts w:ascii="Times New Roman" w:eastAsia="Times New Roman" w:hAnsi="Times New Roman" w:cs="Times New Roman"/>
          <w:sz w:val="24"/>
          <w:szCs w:val="24"/>
        </w:rPr>
        <w:t>(</w:t>
      </w:r>
      <w:r w:rsidR="00744EA4" w:rsidRPr="009F2172">
        <w:rPr>
          <w:rFonts w:ascii="Times New Roman" w:eastAsia="Times New Roman" w:hAnsi="Times New Roman" w:cs="Times New Roman"/>
          <w:sz w:val="24"/>
          <w:szCs w:val="24"/>
        </w:rPr>
        <w:t>Female CRO_Industry</w:t>
      </w:r>
      <w:r w:rsidR="00744EA4" w:rsidRPr="00744EA4">
        <w:rPr>
          <w:rFonts w:ascii="Times New Roman" w:eastAsia="Times New Roman" w:hAnsi="Times New Roman" w:cs="Times New Roman"/>
          <w:sz w:val="24"/>
          <w:szCs w:val="24"/>
        </w:rPr>
        <w:t xml:space="preserve">) as the instrumental variable. </w:t>
      </w:r>
      <w:r w:rsidR="00744EA4" w:rsidRPr="009F2172">
        <w:rPr>
          <w:rFonts w:ascii="Times New Roman" w:eastAsia="Times New Roman" w:hAnsi="Times New Roman" w:cs="Times New Roman"/>
          <w:sz w:val="24"/>
          <w:szCs w:val="24"/>
        </w:rPr>
        <w:t>Female CRO_Industry</w:t>
      </w:r>
      <w:r w:rsidR="00744EA4" w:rsidRPr="00744EA4">
        <w:rPr>
          <w:rFonts w:ascii="Times New Roman" w:eastAsia="Times New Roman" w:hAnsi="Times New Roman" w:cs="Times New Roman"/>
          <w:sz w:val="24"/>
          <w:szCs w:val="24"/>
        </w:rPr>
        <w:t xml:space="preserve"> conforms to </w:t>
      </w:r>
      <w:r w:rsidR="00E85C49">
        <w:rPr>
          <w:rFonts w:ascii="Times New Roman" w:eastAsia="Times New Roman" w:hAnsi="Times New Roman" w:cs="Times New Roman"/>
          <w:sz w:val="24"/>
          <w:szCs w:val="24"/>
        </w:rPr>
        <w:t>relevant IV in three ways</w:t>
      </w:r>
      <w:r w:rsidR="00744EA4" w:rsidRPr="00744EA4">
        <w:rPr>
          <w:rFonts w:ascii="Times New Roman" w:eastAsia="Times New Roman" w:hAnsi="Times New Roman" w:cs="Times New Roman"/>
          <w:sz w:val="24"/>
          <w:szCs w:val="24"/>
        </w:rPr>
        <w:t xml:space="preserve">. First, this variable is exogenous to the bank, as it is calculated as the </w:t>
      </w:r>
      <w:r w:rsidR="00E85C49">
        <w:rPr>
          <w:rFonts w:ascii="Times New Roman" w:eastAsia="Times New Roman" w:hAnsi="Times New Roman" w:cs="Times New Roman"/>
          <w:sz w:val="24"/>
          <w:szCs w:val="24"/>
        </w:rPr>
        <w:t>mean value</w:t>
      </w:r>
      <w:r w:rsidR="00E85C49" w:rsidRPr="00744EA4">
        <w:rPr>
          <w:rFonts w:ascii="Times New Roman" w:eastAsia="Times New Roman" w:hAnsi="Times New Roman" w:cs="Times New Roman"/>
          <w:sz w:val="24"/>
          <w:szCs w:val="24"/>
        </w:rPr>
        <w:t xml:space="preserve"> </w:t>
      </w:r>
      <w:r w:rsidR="00744EA4" w:rsidRPr="00744EA4">
        <w:rPr>
          <w:rFonts w:ascii="Times New Roman" w:eastAsia="Times New Roman" w:hAnsi="Times New Roman" w:cs="Times New Roman"/>
          <w:sz w:val="24"/>
          <w:szCs w:val="24"/>
        </w:rPr>
        <w:t xml:space="preserve">of other banks in the same </w:t>
      </w:r>
      <w:r w:rsidR="00E85C49">
        <w:rPr>
          <w:rFonts w:ascii="Times New Roman" w:eastAsia="Times New Roman" w:hAnsi="Times New Roman" w:cs="Times New Roman"/>
          <w:sz w:val="24"/>
          <w:szCs w:val="24"/>
        </w:rPr>
        <w:t xml:space="preserve">sector </w:t>
      </w:r>
      <w:r w:rsidR="00744EA4" w:rsidRPr="00744EA4">
        <w:rPr>
          <w:rFonts w:ascii="Times New Roman" w:eastAsia="Times New Roman" w:hAnsi="Times New Roman" w:cs="Times New Roman"/>
          <w:sz w:val="24"/>
          <w:szCs w:val="24"/>
        </w:rPr>
        <w:t xml:space="preserve">(not including the </w:t>
      </w:r>
      <w:r w:rsidR="00E85C49">
        <w:rPr>
          <w:rFonts w:ascii="Times New Roman" w:eastAsia="Times New Roman" w:hAnsi="Times New Roman" w:cs="Times New Roman"/>
          <w:sz w:val="24"/>
          <w:szCs w:val="24"/>
        </w:rPr>
        <w:t>bank</w:t>
      </w:r>
      <w:r w:rsidR="00744EA4" w:rsidRPr="00744EA4">
        <w:rPr>
          <w:rFonts w:ascii="Times New Roman" w:eastAsia="Times New Roman" w:hAnsi="Times New Roman" w:cs="Times New Roman"/>
          <w:sz w:val="24"/>
          <w:szCs w:val="24"/>
        </w:rPr>
        <w:t xml:space="preserve">). Second, we anticipated and found a significant </w:t>
      </w:r>
      <w:r w:rsidR="00E85C49" w:rsidRPr="00744EA4">
        <w:rPr>
          <w:rFonts w:ascii="Times New Roman" w:eastAsia="Times New Roman" w:hAnsi="Times New Roman" w:cs="Times New Roman"/>
          <w:sz w:val="24"/>
          <w:szCs w:val="24"/>
        </w:rPr>
        <w:t>association</w:t>
      </w:r>
      <w:r w:rsidR="00744EA4"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among</w:t>
      </w:r>
      <w:r w:rsidR="00744EA4" w:rsidRPr="00744EA4">
        <w:rPr>
          <w:rFonts w:ascii="Times New Roman" w:eastAsia="Times New Roman" w:hAnsi="Times New Roman" w:cs="Times New Roman"/>
          <w:sz w:val="24"/>
          <w:szCs w:val="24"/>
        </w:rPr>
        <w:t xml:space="preserve"> </w:t>
      </w:r>
      <w:r w:rsidR="00744EA4" w:rsidRPr="009F2172">
        <w:rPr>
          <w:rFonts w:ascii="Times New Roman" w:eastAsia="Times New Roman" w:hAnsi="Times New Roman" w:cs="Times New Roman"/>
          <w:sz w:val="24"/>
          <w:szCs w:val="24"/>
        </w:rPr>
        <w:t>Female CRO_Presence</w:t>
      </w:r>
      <w:r w:rsidR="00744EA4" w:rsidRPr="00744EA4">
        <w:rPr>
          <w:rFonts w:ascii="Times New Roman" w:eastAsia="Times New Roman" w:hAnsi="Times New Roman" w:cs="Times New Roman"/>
          <w:sz w:val="24"/>
          <w:szCs w:val="24"/>
        </w:rPr>
        <w:t xml:space="preserve"> and </w:t>
      </w:r>
      <w:r w:rsidR="00744EA4" w:rsidRPr="009F2172">
        <w:rPr>
          <w:rFonts w:ascii="Times New Roman" w:eastAsia="Times New Roman" w:hAnsi="Times New Roman" w:cs="Times New Roman"/>
          <w:sz w:val="24"/>
          <w:szCs w:val="24"/>
        </w:rPr>
        <w:t>Female_CRO_Industry</w:t>
      </w:r>
      <w:r w:rsidR="00744EA4" w:rsidRPr="00744EA4">
        <w:rPr>
          <w:rFonts w:ascii="Times New Roman" w:eastAsia="Times New Roman" w:hAnsi="Times New Roman" w:cs="Times New Roman"/>
          <w:sz w:val="24"/>
          <w:szCs w:val="24"/>
        </w:rPr>
        <w:t xml:space="preserve"> in the first-stage regression (Table </w:t>
      </w:r>
      <w:r w:rsidR="006E3998">
        <w:rPr>
          <w:rFonts w:ascii="Times New Roman" w:eastAsia="Times New Roman" w:hAnsi="Times New Roman" w:cs="Times New Roman"/>
          <w:sz w:val="24"/>
          <w:szCs w:val="24"/>
        </w:rPr>
        <w:t>3.</w:t>
      </w:r>
      <w:r w:rsidR="00744EA4" w:rsidRPr="00744EA4">
        <w:rPr>
          <w:rFonts w:ascii="Times New Roman" w:eastAsia="Times New Roman" w:hAnsi="Times New Roman" w:cs="Times New Roman"/>
          <w:sz w:val="24"/>
          <w:szCs w:val="24"/>
        </w:rPr>
        <w:t>7, column 1)</w:t>
      </w:r>
      <w:r w:rsidR="00E85C49">
        <w:rPr>
          <w:rFonts w:ascii="Times New Roman" w:eastAsia="Times New Roman" w:hAnsi="Times New Roman" w:cs="Times New Roman"/>
          <w:sz w:val="24"/>
          <w:szCs w:val="24"/>
        </w:rPr>
        <w:t xml:space="preserve">. This is an important finding as it shows that </w:t>
      </w:r>
      <w:r>
        <w:rPr>
          <w:rFonts w:ascii="Times New Roman" w:eastAsia="Times New Roman" w:hAnsi="Times New Roman" w:cs="Times New Roman"/>
          <w:sz w:val="24"/>
          <w:szCs w:val="24"/>
        </w:rPr>
        <w:t xml:space="preserve">the </w:t>
      </w:r>
      <w:r w:rsidR="00E85C49">
        <w:rPr>
          <w:rFonts w:ascii="Times New Roman" w:eastAsia="Times New Roman" w:hAnsi="Times New Roman" w:cs="Times New Roman"/>
          <w:sz w:val="24"/>
          <w:szCs w:val="24"/>
        </w:rPr>
        <w:t>bank’s governance</w:t>
      </w:r>
      <w:r w:rsidR="00744EA4" w:rsidRPr="00744EA4">
        <w:rPr>
          <w:rFonts w:ascii="Times New Roman" w:eastAsia="Times New Roman" w:hAnsi="Times New Roman" w:cs="Times New Roman"/>
          <w:sz w:val="24"/>
          <w:szCs w:val="24"/>
        </w:rPr>
        <w:t xml:space="preserve"> practices </w:t>
      </w:r>
      <w:r>
        <w:rPr>
          <w:rFonts w:ascii="Times New Roman" w:eastAsia="Times New Roman" w:hAnsi="Times New Roman" w:cs="Times New Roman"/>
          <w:sz w:val="24"/>
          <w:szCs w:val="24"/>
        </w:rPr>
        <w:t>align with its banking sector competitors</w:t>
      </w:r>
      <w:r w:rsidR="00744EA4" w:rsidRPr="00744EA4">
        <w:rPr>
          <w:rFonts w:ascii="Times New Roman" w:eastAsia="Times New Roman" w:hAnsi="Times New Roman" w:cs="Times New Roman"/>
          <w:sz w:val="24"/>
          <w:szCs w:val="24"/>
        </w:rPr>
        <w:t>. Third, there was no reason to expect a relationship between a firm</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s industry competitors hiring female CROs (</w:t>
      </w:r>
      <w:r w:rsidR="00744EA4" w:rsidRPr="009F2172">
        <w:rPr>
          <w:rFonts w:ascii="Times New Roman" w:eastAsia="Times New Roman" w:hAnsi="Times New Roman" w:cs="Times New Roman"/>
          <w:sz w:val="24"/>
          <w:szCs w:val="24"/>
        </w:rPr>
        <w:t>Female_CRO_Industry</w:t>
      </w:r>
      <w:r w:rsidR="00744EA4" w:rsidRPr="00744EA4">
        <w:rPr>
          <w:rFonts w:ascii="Times New Roman" w:eastAsia="Times New Roman" w:hAnsi="Times New Roman" w:cs="Times New Roman"/>
          <w:sz w:val="24"/>
          <w:szCs w:val="24"/>
        </w:rPr>
        <w:t>) and the firm</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s risk level (Malik et al., 2020). </w:t>
      </w:r>
      <w:r w:rsidR="009F2172" w:rsidRPr="009F2172">
        <w:rPr>
          <w:rFonts w:ascii="Times New Roman" w:eastAsia="Times New Roman" w:hAnsi="Times New Roman" w:cs="Times New Roman"/>
          <w:sz w:val="24"/>
          <w:szCs w:val="24"/>
        </w:rPr>
        <w:t>Column 1 of Table 3.7 shows the results of the first-stage regression where the dependent variable is the Female CRO presence. The regression includes the same explanatory variables as our base line models. Consistent with the requirements for a valid instrument, Female CRO presence is positively correlated with the IV (presence of CRO_Female Industry) in Column 1 and the coefficient is significant at the 5% level, suggesting the validity of the IV. Moreover, the value of the F-statistic is high</w:t>
      </w:r>
      <w:r w:rsidR="005C731A">
        <w:rPr>
          <w:rFonts w:ascii="Times New Roman" w:eastAsia="Times New Roman" w:hAnsi="Times New Roman" w:cs="Times New Roman"/>
          <w:sz w:val="24"/>
          <w:szCs w:val="24"/>
        </w:rPr>
        <w:t xml:space="preserve"> (&gt;10)</w:t>
      </w:r>
      <w:r w:rsidR="009F2172" w:rsidRPr="009F2172">
        <w:rPr>
          <w:rFonts w:ascii="Times New Roman" w:eastAsia="Times New Roman" w:hAnsi="Times New Roman" w:cs="Times New Roman"/>
          <w:sz w:val="24"/>
          <w:szCs w:val="24"/>
        </w:rPr>
        <w:t xml:space="preserve">, and the p-value of the Cragg-Donald F weak-instrument test is 0.000, rejecting the null hypothesis that the instrument is weak (Atif el al., 2020; Cragg and Donald, 1993; Stock and Yogo, 2005). </w:t>
      </w:r>
    </w:p>
    <w:p w14:paraId="3D9CDCD7" w14:textId="1CDA04E7" w:rsidR="009F2172" w:rsidRDefault="009F2172" w:rsidP="009F2172">
      <w:pPr>
        <w:spacing w:line="480" w:lineRule="auto"/>
        <w:jc w:val="both"/>
        <w:rPr>
          <w:rFonts w:ascii="Times New Roman" w:eastAsia="Times New Roman" w:hAnsi="Times New Roman" w:cs="Times New Roman"/>
          <w:sz w:val="24"/>
          <w:szCs w:val="24"/>
        </w:rPr>
      </w:pPr>
      <w:r w:rsidRPr="009F2172">
        <w:rPr>
          <w:rFonts w:ascii="Times New Roman" w:eastAsia="Times New Roman" w:hAnsi="Times New Roman" w:cs="Times New Roman"/>
          <w:sz w:val="24"/>
          <w:szCs w:val="24"/>
        </w:rPr>
        <w:t>Column 2 of Table 3.7 reports the results for the second-stage regression, which uses the predicted percentage of Female CRO presence from the first-stage regression (Female CRO Presence Fitted) to estimate bank risk. The results are similar to those from our main regression analysis that suggests a positive relationship between the Female CRO and the</w:t>
      </w:r>
    </w:p>
    <w:p w14:paraId="66B3EB86" w14:textId="5A7221A2"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The results from the second-stage regression in column 2 are consistent with our </w:t>
      </w:r>
      <w:r w:rsidRPr="00880312">
        <w:rPr>
          <w:rFonts w:ascii="Times New Roman" w:eastAsia="Times New Roman" w:hAnsi="Times New Roman" w:cs="Times New Roman"/>
          <w:sz w:val="24"/>
          <w:szCs w:val="24"/>
        </w:rPr>
        <w:t>baseline</w:t>
      </w:r>
      <w:r w:rsidRPr="00744EA4">
        <w:rPr>
          <w:rFonts w:ascii="Times New Roman" w:eastAsia="Times New Roman" w:hAnsi="Times New Roman" w:cs="Times New Roman"/>
          <w:sz w:val="24"/>
          <w:szCs w:val="24"/>
        </w:rPr>
        <w:t xml:space="preserve"> findings and show </w:t>
      </w:r>
      <w:r w:rsidR="005C731A" w:rsidRPr="00744EA4">
        <w:rPr>
          <w:rFonts w:ascii="Times New Roman" w:eastAsia="Times New Roman" w:hAnsi="Times New Roman" w:cs="Times New Roman"/>
          <w:sz w:val="24"/>
          <w:szCs w:val="24"/>
        </w:rPr>
        <w:t>a</w:t>
      </w:r>
      <w:r w:rsidRPr="00880312">
        <w:rPr>
          <w:rFonts w:ascii="Times New Roman" w:eastAsia="Times New Roman" w:hAnsi="Times New Roman" w:cs="Times New Roman"/>
          <w:sz w:val="24"/>
          <w:szCs w:val="24"/>
        </w:rPr>
        <w:t xml:space="preserve"> positive significant impact of female CRO on bank risk.</w:t>
      </w:r>
      <w:r w:rsidRPr="00744EA4">
        <w:rPr>
          <w:rFonts w:ascii="Times New Roman" w:eastAsia="Times New Roman" w:hAnsi="Times New Roman" w:cs="Times New Roman"/>
          <w:sz w:val="24"/>
          <w:szCs w:val="24"/>
        </w:rPr>
        <w:t xml:space="preserve"> Overall, the results in </w:t>
      </w:r>
      <w:r w:rsidRPr="00744EA4">
        <w:rPr>
          <w:rFonts w:ascii="Times New Roman" w:eastAsia="Times New Roman" w:hAnsi="Times New Roman" w:cs="Times New Roman"/>
          <w:i/>
          <w:iCs/>
          <w:sz w:val="24"/>
          <w:szCs w:val="24"/>
        </w:rPr>
        <w:t xml:space="preserve">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7</w:t>
      </w:r>
      <w:r w:rsidRPr="00744EA4">
        <w:rPr>
          <w:rFonts w:ascii="Times New Roman" w:eastAsia="Times New Roman" w:hAnsi="Times New Roman" w:cs="Times New Roman"/>
          <w:sz w:val="24"/>
          <w:szCs w:val="24"/>
        </w:rPr>
        <w:t xml:space="preserve"> reveal that our baseline regression remained </w:t>
      </w:r>
      <w:r w:rsidR="00E85C49" w:rsidRPr="00744EA4">
        <w:rPr>
          <w:rFonts w:ascii="Times New Roman" w:eastAsia="Times New Roman" w:hAnsi="Times New Roman" w:cs="Times New Roman"/>
          <w:sz w:val="24"/>
          <w:szCs w:val="24"/>
        </w:rPr>
        <w:t>reliable</w:t>
      </w:r>
      <w:r w:rsidRPr="00744EA4">
        <w:rPr>
          <w:rFonts w:ascii="Times New Roman" w:eastAsia="Times New Roman" w:hAnsi="Times New Roman" w:cs="Times New Roman"/>
          <w:sz w:val="24"/>
          <w:szCs w:val="24"/>
        </w:rPr>
        <w:t xml:space="preserve"> after </w:t>
      </w:r>
      <w:r w:rsidR="00E85C49" w:rsidRPr="00744EA4">
        <w:rPr>
          <w:rFonts w:ascii="Times New Roman" w:eastAsia="Times New Roman" w:hAnsi="Times New Roman" w:cs="Times New Roman"/>
          <w:sz w:val="24"/>
          <w:szCs w:val="24"/>
        </w:rPr>
        <w:t>tackling</w:t>
      </w:r>
      <w:r w:rsidRPr="00744EA4">
        <w:rPr>
          <w:rFonts w:ascii="Times New Roman" w:eastAsia="Times New Roman" w:hAnsi="Times New Roman" w:cs="Times New Roman"/>
          <w:sz w:val="24"/>
          <w:szCs w:val="24"/>
        </w:rPr>
        <w:t xml:space="preserve"> </w:t>
      </w:r>
      <w:r w:rsidR="00E85C49">
        <w:rPr>
          <w:rFonts w:ascii="Times New Roman" w:eastAsia="Times New Roman" w:hAnsi="Times New Roman" w:cs="Times New Roman"/>
          <w:sz w:val="24"/>
          <w:szCs w:val="24"/>
        </w:rPr>
        <w:t xml:space="preserve">the issues of </w:t>
      </w:r>
      <w:r w:rsidRPr="00744EA4">
        <w:rPr>
          <w:rFonts w:ascii="Times New Roman" w:eastAsia="Times New Roman" w:hAnsi="Times New Roman" w:cs="Times New Roman"/>
          <w:sz w:val="24"/>
          <w:szCs w:val="24"/>
        </w:rPr>
        <w:t xml:space="preserve">sample selection bias, </w:t>
      </w:r>
      <w:r w:rsidR="00E85C49">
        <w:rPr>
          <w:rFonts w:ascii="Times New Roman" w:eastAsia="Times New Roman" w:hAnsi="Times New Roman" w:cs="Times New Roman"/>
          <w:sz w:val="24"/>
          <w:szCs w:val="24"/>
        </w:rPr>
        <w:t>bank</w:t>
      </w:r>
      <w:r w:rsidRPr="00744EA4">
        <w:rPr>
          <w:rFonts w:ascii="Times New Roman" w:eastAsia="Times New Roman" w:hAnsi="Times New Roman" w:cs="Times New Roman"/>
          <w:sz w:val="24"/>
          <w:szCs w:val="24"/>
        </w:rPr>
        <w:t>-level unobserved heterogeneity, and endogeneity concerns.</w:t>
      </w:r>
    </w:p>
    <w:p w14:paraId="1F5F7455" w14:textId="5461CC22" w:rsidR="00744EA4" w:rsidRPr="00744EA4" w:rsidRDefault="00744EA4" w:rsidP="00744EA4">
      <w:pPr>
        <w:spacing w:line="480" w:lineRule="auto"/>
        <w:jc w:val="center"/>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7 here]</w:t>
      </w:r>
    </w:p>
    <w:p w14:paraId="2BFEB600" w14:textId="7A1EED4A"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Although our baseline regression results (Table </w:t>
      </w:r>
      <w:r w:rsidR="006E3998">
        <w:rPr>
          <w:rFonts w:ascii="Times New Roman" w:eastAsia="Times New Roman" w:hAnsi="Times New Roman" w:cs="Times New Roman"/>
          <w:sz w:val="24"/>
          <w:szCs w:val="24"/>
        </w:rPr>
        <w:t>3.</w:t>
      </w:r>
      <w:r w:rsidRPr="00744EA4">
        <w:rPr>
          <w:rFonts w:ascii="Times New Roman" w:eastAsia="Times New Roman" w:hAnsi="Times New Roman" w:cs="Times New Roman"/>
          <w:sz w:val="24"/>
          <w:szCs w:val="24"/>
        </w:rPr>
        <w:t>3) were based on governance and bank-specific characteristics, there was nonetheless a risk of sample selection bias,</w:t>
      </w:r>
      <w:r w:rsidRPr="00744EA4">
        <w:rPr>
          <w:rFonts w:ascii="Calibri" w:eastAsia="DengXian" w:hAnsi="Calibri" w:cs="Arial"/>
          <w:sz w:val="24"/>
          <w:szCs w:val="24"/>
          <w:lang w:eastAsia="zh-CN"/>
        </w:rPr>
        <w:t xml:space="preserve"> </w:t>
      </w:r>
      <w:r w:rsidRPr="00744EA4">
        <w:rPr>
          <w:rFonts w:ascii="Times New Roman" w:eastAsia="Times New Roman" w:hAnsi="Times New Roman" w:cs="Times New Roman"/>
          <w:sz w:val="24"/>
          <w:szCs w:val="24"/>
        </w:rPr>
        <w:t xml:space="preserve">which </w:t>
      </w:r>
      <w:r w:rsidRPr="00880312">
        <w:rPr>
          <w:rFonts w:ascii="Times New Roman" w:eastAsia="Times New Roman" w:hAnsi="Times New Roman" w:cs="Times New Roman"/>
          <w:sz w:val="24"/>
          <w:szCs w:val="24"/>
        </w:rPr>
        <w:t xml:space="preserve">can raise concern regarding </w:t>
      </w:r>
      <w:r w:rsidRPr="00744EA4">
        <w:rPr>
          <w:rFonts w:ascii="Times New Roman" w:eastAsia="Times New Roman" w:hAnsi="Times New Roman" w:cs="Times New Roman"/>
          <w:sz w:val="24"/>
          <w:szCs w:val="24"/>
        </w:rPr>
        <w:t xml:space="preserve">our findings. Thus, we employed propensity score matching (PSM) to reduce the risk of selection bias by controlling for the observable characteristics of female and male CROs. We used the PSM procedure proposed by </w:t>
      </w:r>
      <w:r w:rsidRPr="00744EA4">
        <w:rPr>
          <w:rFonts w:ascii="Times New Roman" w:eastAsia="DengXian" w:hAnsi="Times New Roman" w:cs="Times New Roman"/>
          <w:color w:val="000000"/>
          <w:sz w:val="24"/>
          <w:szCs w:val="24"/>
        </w:rPr>
        <w:t xml:space="preserve">Rosenbaum and Rubin (1983) </w:t>
      </w:r>
      <w:r w:rsidRPr="00744EA4">
        <w:rPr>
          <w:rFonts w:ascii="Times New Roman" w:eastAsia="Times New Roman" w:hAnsi="Times New Roman" w:cs="Times New Roman"/>
          <w:sz w:val="24"/>
          <w:szCs w:val="24"/>
        </w:rPr>
        <w:t xml:space="preserve">to identify the differences between male and female CROs </w:t>
      </w:r>
      <w:r w:rsidR="00567377">
        <w:rPr>
          <w:rFonts w:ascii="Times New Roman" w:eastAsia="Times New Roman" w:hAnsi="Times New Roman" w:cs="Times New Roman"/>
          <w:sz w:val="24"/>
          <w:szCs w:val="24"/>
        </w:rPr>
        <w:t>regarding</w:t>
      </w:r>
      <w:r w:rsidRPr="00744EA4">
        <w:rPr>
          <w:rFonts w:ascii="Times New Roman" w:eastAsia="Times New Roman" w:hAnsi="Times New Roman" w:cs="Times New Roman"/>
          <w:sz w:val="24"/>
          <w:szCs w:val="24"/>
        </w:rPr>
        <w:t xml:space="preserve"> their corporate risk-taking. This methodology permitted us to identify a control sample of firms that were run by male CROs and which exhibited no </w:t>
      </w:r>
      <w:r w:rsidR="00E85C49" w:rsidRPr="00744EA4">
        <w:rPr>
          <w:rFonts w:ascii="Times New Roman" w:eastAsia="Times New Roman" w:hAnsi="Times New Roman" w:cs="Times New Roman"/>
          <w:sz w:val="24"/>
          <w:szCs w:val="24"/>
        </w:rPr>
        <w:t>apparent</w:t>
      </w:r>
      <w:r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variations</w:t>
      </w:r>
      <w:r w:rsidRPr="00744EA4">
        <w:rPr>
          <w:rFonts w:ascii="Times New Roman" w:eastAsia="Times New Roman" w:hAnsi="Times New Roman" w:cs="Times New Roman"/>
          <w:sz w:val="24"/>
          <w:szCs w:val="24"/>
        </w:rPr>
        <w:t xml:space="preserve"> in </w:t>
      </w:r>
      <w:r w:rsidR="00E85C49" w:rsidRPr="00744EA4">
        <w:rPr>
          <w:rFonts w:ascii="Times New Roman" w:eastAsia="Times New Roman" w:hAnsi="Times New Roman" w:cs="Times New Roman"/>
          <w:sz w:val="24"/>
          <w:szCs w:val="24"/>
        </w:rPr>
        <w:t>attributes</w:t>
      </w:r>
      <w:r w:rsidRPr="00744EA4">
        <w:rPr>
          <w:rFonts w:ascii="Times New Roman" w:eastAsia="Times New Roman" w:hAnsi="Times New Roman" w:cs="Times New Roman"/>
          <w:sz w:val="24"/>
          <w:szCs w:val="24"/>
        </w:rPr>
        <w:t xml:space="preserve"> relative to </w:t>
      </w:r>
      <w:r w:rsidR="00E85C49">
        <w:rPr>
          <w:rFonts w:ascii="Times New Roman" w:eastAsia="Times New Roman" w:hAnsi="Times New Roman" w:cs="Times New Roman"/>
          <w:sz w:val="24"/>
          <w:szCs w:val="24"/>
        </w:rPr>
        <w:t xml:space="preserve">banks </w:t>
      </w:r>
      <w:r w:rsidRPr="00744EA4">
        <w:rPr>
          <w:rFonts w:ascii="Times New Roman" w:eastAsia="Times New Roman" w:hAnsi="Times New Roman" w:cs="Times New Roman"/>
          <w:sz w:val="24"/>
          <w:szCs w:val="24"/>
        </w:rPr>
        <w:t xml:space="preserve">run by female CROs. Thus, each pair of </w:t>
      </w:r>
      <w:r w:rsidR="00567377">
        <w:rPr>
          <w:rFonts w:ascii="Times New Roman" w:eastAsia="Times New Roman" w:hAnsi="Times New Roman" w:cs="Times New Roman"/>
          <w:sz w:val="24"/>
          <w:szCs w:val="24"/>
        </w:rPr>
        <w:t xml:space="preserve">the </w:t>
      </w:r>
      <w:r w:rsidRPr="00744EA4">
        <w:rPr>
          <w:rFonts w:ascii="Times New Roman" w:eastAsia="Times New Roman" w:hAnsi="Times New Roman" w:cs="Times New Roman"/>
          <w:sz w:val="24"/>
          <w:szCs w:val="24"/>
        </w:rPr>
        <w:t xml:space="preserve">matched </w:t>
      </w:r>
      <w:r w:rsidR="00E85C49">
        <w:rPr>
          <w:rFonts w:ascii="Times New Roman" w:eastAsia="Times New Roman" w:hAnsi="Times New Roman" w:cs="Times New Roman"/>
          <w:sz w:val="24"/>
          <w:szCs w:val="24"/>
        </w:rPr>
        <w:t>bank</w:t>
      </w:r>
      <w:r w:rsidR="00E85C49" w:rsidRPr="00744EA4">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was </w:t>
      </w:r>
      <w:r w:rsidR="00E85C49" w:rsidRPr="00744EA4">
        <w:rPr>
          <w:rFonts w:ascii="Times New Roman" w:eastAsia="Times New Roman" w:hAnsi="Times New Roman" w:cs="Times New Roman"/>
          <w:sz w:val="24"/>
          <w:szCs w:val="24"/>
        </w:rPr>
        <w:t>practically</w:t>
      </w:r>
      <w:r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identical</w:t>
      </w:r>
      <w:r w:rsidRPr="00744EA4">
        <w:rPr>
          <w:rFonts w:ascii="Times New Roman" w:eastAsia="Times New Roman" w:hAnsi="Times New Roman" w:cs="Times New Roman"/>
          <w:sz w:val="24"/>
          <w:szCs w:val="24"/>
        </w:rPr>
        <w:t xml:space="preserve"> from another, </w:t>
      </w:r>
      <w:r w:rsidR="00E85C49" w:rsidRPr="00744EA4">
        <w:rPr>
          <w:rFonts w:ascii="Times New Roman" w:eastAsia="Times New Roman" w:hAnsi="Times New Roman" w:cs="Times New Roman"/>
          <w:sz w:val="24"/>
          <w:szCs w:val="24"/>
        </w:rPr>
        <w:t>aside from</w:t>
      </w:r>
      <w:r w:rsidRPr="00744EA4">
        <w:rPr>
          <w:rFonts w:ascii="Times New Roman" w:eastAsia="Times New Roman" w:hAnsi="Times New Roman" w:cs="Times New Roman"/>
          <w:sz w:val="24"/>
          <w:szCs w:val="24"/>
        </w:rPr>
        <w:t xml:space="preserve"> the key </w:t>
      </w:r>
      <w:r w:rsidR="00E85C49" w:rsidRPr="00744EA4">
        <w:rPr>
          <w:rFonts w:ascii="Times New Roman" w:eastAsia="Times New Roman" w:hAnsi="Times New Roman" w:cs="Times New Roman"/>
          <w:sz w:val="24"/>
          <w:szCs w:val="24"/>
        </w:rPr>
        <w:t>attribute</w:t>
      </w:r>
      <w:r w:rsidRPr="00744EA4">
        <w:rPr>
          <w:rFonts w:ascii="Times New Roman" w:eastAsia="Times New Roman" w:hAnsi="Times New Roman" w:cs="Times New Roman"/>
          <w:sz w:val="24"/>
          <w:szCs w:val="24"/>
        </w:rPr>
        <w:t xml:space="preserve"> – namely, the gender of the CRO. This matching based on </w:t>
      </w:r>
      <w:r w:rsidR="00E85C49" w:rsidRPr="00744EA4">
        <w:rPr>
          <w:rFonts w:ascii="Times New Roman" w:eastAsia="Times New Roman" w:hAnsi="Times New Roman" w:cs="Times New Roman"/>
          <w:sz w:val="24"/>
          <w:szCs w:val="24"/>
        </w:rPr>
        <w:t>evident</w:t>
      </w:r>
      <w:r w:rsidRPr="00744EA4">
        <w:rPr>
          <w:rFonts w:ascii="Times New Roman" w:eastAsia="Times New Roman" w:hAnsi="Times New Roman" w:cs="Times New Roman"/>
          <w:sz w:val="24"/>
          <w:szCs w:val="24"/>
        </w:rPr>
        <w:t xml:space="preserve"> governance and </w:t>
      </w:r>
      <w:r w:rsidR="00E85C49">
        <w:rPr>
          <w:rFonts w:ascii="Times New Roman" w:eastAsia="Times New Roman" w:hAnsi="Times New Roman" w:cs="Times New Roman"/>
          <w:sz w:val="24"/>
          <w:szCs w:val="24"/>
        </w:rPr>
        <w:t xml:space="preserve">bank </w:t>
      </w:r>
      <w:r w:rsidRPr="00744EA4">
        <w:rPr>
          <w:rFonts w:ascii="Times New Roman" w:eastAsia="Times New Roman" w:hAnsi="Times New Roman" w:cs="Times New Roman"/>
          <w:sz w:val="24"/>
          <w:szCs w:val="24"/>
        </w:rPr>
        <w:t xml:space="preserve">characteristics mitigates – but does not </w:t>
      </w:r>
      <w:r w:rsidR="00E85C49" w:rsidRPr="00744EA4">
        <w:rPr>
          <w:rFonts w:ascii="Times New Roman" w:eastAsia="Times New Roman" w:hAnsi="Times New Roman" w:cs="Times New Roman"/>
          <w:sz w:val="24"/>
          <w:szCs w:val="24"/>
        </w:rPr>
        <w:t>remove</w:t>
      </w:r>
      <w:r w:rsidRPr="00744EA4">
        <w:rPr>
          <w:rFonts w:ascii="Times New Roman" w:eastAsia="Times New Roman" w:hAnsi="Times New Roman" w:cs="Times New Roman"/>
          <w:sz w:val="24"/>
          <w:szCs w:val="24"/>
        </w:rPr>
        <w:t xml:space="preserve"> – </w:t>
      </w:r>
      <w:r w:rsidR="00E85C49" w:rsidRPr="00744EA4">
        <w:rPr>
          <w:rFonts w:ascii="Times New Roman" w:eastAsia="Times New Roman" w:hAnsi="Times New Roman" w:cs="Times New Roman"/>
          <w:sz w:val="24"/>
          <w:szCs w:val="24"/>
        </w:rPr>
        <w:t>matters</w:t>
      </w:r>
      <w:r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associated</w:t>
      </w:r>
      <w:r w:rsidRPr="00744EA4">
        <w:rPr>
          <w:rFonts w:ascii="Times New Roman" w:eastAsia="Times New Roman" w:hAnsi="Times New Roman" w:cs="Times New Roman"/>
          <w:sz w:val="24"/>
          <w:szCs w:val="24"/>
        </w:rPr>
        <w:t xml:space="preserve"> to non-random selection (Faccio et al., 2016).</w:t>
      </w:r>
    </w:p>
    <w:p w14:paraId="6598DEA9" w14:textId="313FDFFC"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We implemented this methodology by first calculating the probability (i.e., the propensity score) that a bank with given characteristics would be run by a female CRO. This calculated probability was thus a function of </w:t>
      </w:r>
      <w:r w:rsidR="00E85C49">
        <w:rPr>
          <w:rFonts w:ascii="Times New Roman" w:eastAsia="Times New Roman" w:hAnsi="Times New Roman" w:cs="Times New Roman"/>
          <w:sz w:val="24"/>
          <w:szCs w:val="24"/>
        </w:rPr>
        <w:t>bank</w:t>
      </w:r>
      <w:r w:rsidRPr="00744EA4">
        <w:rPr>
          <w:rFonts w:ascii="Times New Roman" w:eastAsia="Times New Roman" w:hAnsi="Times New Roman" w:cs="Times New Roman"/>
          <w:sz w:val="24"/>
          <w:szCs w:val="24"/>
        </w:rPr>
        <w:t xml:space="preserve">-level characteristics. In panel A of </w:t>
      </w:r>
      <w:r w:rsidRPr="00744EA4">
        <w:rPr>
          <w:rFonts w:ascii="Times New Roman" w:eastAsia="Times New Roman" w:hAnsi="Times New Roman" w:cs="Times New Roman"/>
          <w:i/>
          <w:iCs/>
          <w:sz w:val="24"/>
          <w:szCs w:val="24"/>
        </w:rPr>
        <w:t xml:space="preserve">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8</w:t>
      </w:r>
      <w:r w:rsidRPr="00744EA4">
        <w:rPr>
          <w:rFonts w:ascii="Times New Roman" w:eastAsia="Times New Roman" w:hAnsi="Times New Roman" w:cs="Times New Roman"/>
          <w:sz w:val="24"/>
          <w:szCs w:val="24"/>
        </w:rPr>
        <w:t>, the propensity score is estimated within a firm-year category as a function of board independence, board size, CEO duality, CEO compensation, short-term borrowing to total assets, bad loans to total assets, Tier 1 capital ratio, ROA, and natural log of total assets.</w:t>
      </w:r>
    </w:p>
    <w:p w14:paraId="34A2F03B" w14:textId="35A97D71"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A comparison of aggregate risk among the matched samples revealed that firms with female CROs tended to take more risks than firms with male CROs, despite the similarity between their other observable characteristics. All differences in risk-taking between the two groups were statistically significant, with p-values of less than 0.05. Thus, we deduced from these results that gender-related differences in risk-taking (results presented in Table</w:t>
      </w:r>
      <w:r w:rsidR="006E3998">
        <w:rPr>
          <w:rFonts w:ascii="Times New Roman" w:eastAsia="Times New Roman" w:hAnsi="Times New Roman" w:cs="Times New Roman"/>
          <w:sz w:val="24"/>
          <w:szCs w:val="24"/>
        </w:rPr>
        <w:t xml:space="preserve"> 3.3</w:t>
      </w:r>
      <w:r w:rsidRPr="00744EA4">
        <w:rPr>
          <w:rFonts w:ascii="Times New Roman" w:eastAsia="Times New Roman" w:hAnsi="Times New Roman" w:cs="Times New Roman"/>
          <w:sz w:val="24"/>
          <w:szCs w:val="24"/>
        </w:rPr>
        <w:t>) were not due to observable differences in governance and firm characteristics.</w:t>
      </w:r>
    </w:p>
    <w:p w14:paraId="69E6E46B" w14:textId="32E9801A" w:rsidR="00744EA4" w:rsidRPr="00744EA4" w:rsidRDefault="00744EA4" w:rsidP="00744EA4">
      <w:pPr>
        <w:spacing w:line="48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8 here]</w:t>
      </w:r>
    </w:p>
    <w:p w14:paraId="59D5C6AB" w14:textId="6A238F97" w:rsidR="00744EA4" w:rsidRPr="00744EA4" w:rsidRDefault="009A01D0" w:rsidP="00744E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to check the validity of our base line results (Table 3.3), we used an alternative proxy of bank risk i.e., residual risk. The results are reported in column 1 of Table 3.9. The result remains consistent with our base line model (Table 3.3), thus confirming the validity of our model.</w:t>
      </w:r>
      <w:r w:rsidRPr="009A01D0">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 xml:space="preserve">We further tested the findings on unobserved heterogeneity that could have affected our previous inferences. We resolved the issue of unobserved heterogeneity by estimating a firm and year fixed-effects model. The result of the fixed-effects regression is shown in </w:t>
      </w:r>
      <w:r>
        <w:rPr>
          <w:rFonts w:ascii="Times New Roman" w:eastAsia="Times New Roman" w:hAnsi="Times New Roman" w:cs="Times New Roman"/>
          <w:sz w:val="24"/>
          <w:szCs w:val="24"/>
        </w:rPr>
        <w:t xml:space="preserve">column 2 of </w:t>
      </w:r>
      <w:r w:rsidRPr="00744EA4">
        <w:rPr>
          <w:rFonts w:ascii="Times New Roman" w:eastAsia="Times New Roman" w:hAnsi="Times New Roman" w:cs="Times New Roman"/>
          <w:i/>
          <w:iCs/>
          <w:sz w:val="24"/>
          <w:szCs w:val="24"/>
        </w:rPr>
        <w:t xml:space="preserve">Table </w:t>
      </w:r>
      <w:r>
        <w:rPr>
          <w:rFonts w:ascii="Times New Roman" w:eastAsia="Times New Roman" w:hAnsi="Times New Roman" w:cs="Times New Roman"/>
          <w:i/>
          <w:iCs/>
          <w:sz w:val="24"/>
          <w:szCs w:val="24"/>
        </w:rPr>
        <w:t>3.9</w:t>
      </w:r>
      <w:r w:rsidRPr="00744EA4">
        <w:rPr>
          <w:rFonts w:ascii="Times New Roman" w:eastAsia="Times New Roman" w:hAnsi="Times New Roman" w:cs="Times New Roman"/>
          <w:sz w:val="24"/>
          <w:szCs w:val="24"/>
        </w:rPr>
        <w:t xml:space="preserve">. The significant positive coefficient for </w:t>
      </w:r>
      <w:r w:rsidRPr="00744EA4">
        <w:rPr>
          <w:rFonts w:ascii="Times New Roman" w:eastAsia="Times New Roman" w:hAnsi="Times New Roman" w:cs="Times New Roman"/>
          <w:i/>
          <w:iCs/>
          <w:sz w:val="24"/>
          <w:szCs w:val="24"/>
        </w:rPr>
        <w:t>Female CRO</w:t>
      </w:r>
      <w:r w:rsidRPr="00744EA4">
        <w:rPr>
          <w:rFonts w:ascii="Times New Roman" w:eastAsia="Times New Roman" w:hAnsi="Times New Roman" w:cs="Times New Roman"/>
          <w:sz w:val="24"/>
          <w:szCs w:val="24"/>
        </w:rPr>
        <w:t xml:space="preserve"> indicates that our interpretation regarding the impact of female CRO on bank risk-taking remains consistent, even after controlling for </w:t>
      </w:r>
      <w:r w:rsidR="00E85C49">
        <w:rPr>
          <w:rFonts w:ascii="Times New Roman" w:eastAsia="Times New Roman" w:hAnsi="Times New Roman" w:cs="Times New Roman"/>
          <w:sz w:val="24"/>
          <w:szCs w:val="24"/>
        </w:rPr>
        <w:t>bank</w:t>
      </w:r>
      <w:r w:rsidRPr="00744EA4">
        <w:rPr>
          <w:rFonts w:ascii="Times New Roman" w:eastAsia="Times New Roman" w:hAnsi="Times New Roman" w:cs="Times New Roman"/>
          <w:sz w:val="24"/>
          <w:szCs w:val="24"/>
        </w:rPr>
        <w:t>-level unobserved heterogeneity.</w:t>
      </w:r>
    </w:p>
    <w:p w14:paraId="79337A3D" w14:textId="53976633" w:rsidR="00744EA4" w:rsidRPr="00744EA4" w:rsidRDefault="00744EA4" w:rsidP="00744EA4">
      <w:pPr>
        <w:spacing w:line="240" w:lineRule="auto"/>
        <w:jc w:val="center"/>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 xml:space="preserve">[Insert Table </w:t>
      </w:r>
      <w:r w:rsidR="006E3998">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9 here]</w:t>
      </w:r>
    </w:p>
    <w:p w14:paraId="380DBBFA" w14:textId="114A273E" w:rsidR="0091261D" w:rsidRDefault="0091261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4D031FD" w14:textId="77777777" w:rsidR="00744EA4" w:rsidRPr="00880312" w:rsidRDefault="00744EA4" w:rsidP="00744EA4">
      <w:pPr>
        <w:spacing w:line="480" w:lineRule="auto"/>
        <w:jc w:val="both"/>
        <w:rPr>
          <w:rFonts w:ascii="Times New Roman" w:eastAsia="Times New Roman" w:hAnsi="Times New Roman" w:cs="Times New Roman"/>
          <w:b/>
          <w:bCs/>
          <w:sz w:val="24"/>
          <w:szCs w:val="24"/>
        </w:rPr>
      </w:pPr>
    </w:p>
    <w:p w14:paraId="46E57A7C" w14:textId="09A9560A" w:rsidR="00744EA4" w:rsidRPr="003C7034" w:rsidRDefault="0037662B" w:rsidP="003C7034">
      <w:pPr>
        <w:pStyle w:val="Heading2"/>
        <w:rPr>
          <w:sz w:val="32"/>
          <w:szCs w:val="32"/>
        </w:rPr>
      </w:pPr>
      <w:bookmarkStart w:id="46" w:name="_Toc145616187"/>
      <w:r w:rsidRPr="003C7034">
        <w:rPr>
          <w:sz w:val="32"/>
          <w:szCs w:val="32"/>
        </w:rPr>
        <w:t>3.</w:t>
      </w:r>
      <w:r w:rsidR="00744EA4" w:rsidRPr="003C7034">
        <w:rPr>
          <w:sz w:val="32"/>
          <w:szCs w:val="32"/>
        </w:rPr>
        <w:t>6. Further Analysis: Female CROs and Bank Risk– Post-2009 Impact</w:t>
      </w:r>
      <w:bookmarkEnd w:id="46"/>
    </w:p>
    <w:p w14:paraId="6C98B87E" w14:textId="68E1318B"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In the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banking industry, the Dodd-Frank Act 2010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Dodd-Frank</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hereafter) was the first regulatory response after the financial crisis of 2007–200</w:t>
      </w:r>
      <w:r w:rsidR="005B5592">
        <w:rPr>
          <w:rFonts w:ascii="Times New Roman" w:eastAsia="Times New Roman" w:hAnsi="Times New Roman" w:cs="Times New Roman"/>
          <w:sz w:val="24"/>
          <w:szCs w:val="24"/>
        </w:rPr>
        <w:t>9</w:t>
      </w:r>
      <w:r w:rsidRPr="00744EA4">
        <w:rPr>
          <w:rFonts w:ascii="Times New Roman" w:eastAsia="Times New Roman" w:hAnsi="Times New Roman" w:cs="Times New Roman"/>
          <w:sz w:val="24"/>
          <w:szCs w:val="24"/>
        </w:rPr>
        <w:t>. The basic purpose of the reform was to improve the banking system</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s stability in the face of systemic risks associated with big and complicated banks (Federal Register, 2014a). The aspect of the Dodd-Frank relevant to our study is the presence of a CRO.</w:t>
      </w:r>
    </w:p>
    <w:p w14:paraId="39EAA49F" w14:textId="7122D8EF"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The Dodd-Frank provides a good basis </w:t>
      </w:r>
      <w:r w:rsidR="00567377">
        <w:rPr>
          <w:rFonts w:ascii="Times New Roman" w:eastAsia="Times New Roman" w:hAnsi="Times New Roman" w:cs="Times New Roman"/>
          <w:sz w:val="24"/>
          <w:szCs w:val="24"/>
        </w:rPr>
        <w:t>for analysing</w:t>
      </w:r>
      <w:r w:rsidRPr="00744EA4">
        <w:rPr>
          <w:rFonts w:ascii="Times New Roman" w:eastAsia="Times New Roman" w:hAnsi="Times New Roman" w:cs="Times New Roman"/>
          <w:sz w:val="24"/>
          <w:szCs w:val="24"/>
        </w:rPr>
        <w:t xml:space="preserve"> how banks in the United States have responded to risk-management practices. There are key reasons why the risk-management practices suggested in Dodd-Frank might not have led to improvement in risk management, as documented by Balasubramanyan et al. (2019) and </w:t>
      </w:r>
      <w:r w:rsidRPr="00744EA4">
        <w:rPr>
          <w:rFonts w:ascii="Times New Roman" w:eastAsia="DengXian" w:hAnsi="Times New Roman" w:cs="Times New Roman"/>
          <w:sz w:val="24"/>
          <w:szCs w:val="24"/>
        </w:rPr>
        <w:t>Hines et al. (2015)</w:t>
      </w:r>
      <w:r w:rsidRPr="00744EA4">
        <w:rPr>
          <w:rFonts w:ascii="Times New Roman" w:eastAsia="Times New Roman" w:hAnsi="Times New Roman" w:cs="Times New Roman"/>
          <w:sz w:val="24"/>
          <w:szCs w:val="24"/>
        </w:rPr>
        <w:t xml:space="preserve">. For example, banks may </w:t>
      </w:r>
      <w:r w:rsidR="00567377">
        <w:rPr>
          <w:rFonts w:ascii="Times New Roman" w:eastAsia="Times New Roman" w:hAnsi="Times New Roman" w:cs="Times New Roman"/>
          <w:sz w:val="24"/>
          <w:szCs w:val="24"/>
        </w:rPr>
        <w:t>comply</w:t>
      </w:r>
      <w:r w:rsidRPr="00744EA4">
        <w:rPr>
          <w:rFonts w:ascii="Times New Roman" w:eastAsia="Times New Roman" w:hAnsi="Times New Roman" w:cs="Times New Roman"/>
          <w:sz w:val="24"/>
          <w:szCs w:val="24"/>
        </w:rPr>
        <w:t xml:space="preserve"> with the regulatory requirements solely to give an impression of responsible risk-management actions (Ellul &amp; Yeramilli, 2013; Hines et al., 2015). Moreover, even if banks do comply with the regulations, there is a strong chance that the CRO will not be sufficiently competent to understand the complex risk-management practices (Ellul &amp; Yeramilli, 2013). Alternatively, Dodd-Frank may have compelled banks to take risk-management practices seriously. In addition, the improved oversight associated with </w:t>
      </w:r>
      <w:r w:rsidR="00567377">
        <w:rPr>
          <w:rFonts w:ascii="Times New Roman" w:eastAsia="Times New Roman" w:hAnsi="Times New Roman" w:cs="Times New Roman"/>
          <w:sz w:val="24"/>
          <w:szCs w:val="24"/>
        </w:rPr>
        <w:t>implementing</w:t>
      </w:r>
      <w:r w:rsidRPr="00744EA4">
        <w:rPr>
          <w:rFonts w:ascii="Times New Roman" w:eastAsia="Times New Roman" w:hAnsi="Times New Roman" w:cs="Times New Roman"/>
          <w:sz w:val="24"/>
          <w:szCs w:val="24"/>
        </w:rPr>
        <w:t xml:space="preserve"> Dodd-Frank (through the formation of separate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s and the presence of a CRO) might have encouraged some banks to increase their risk-taking. In conclusion, we assume</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that the collective influence of the Dodd-Frank</w:t>
      </w:r>
      <w:r w:rsidR="00567377">
        <w:rPr>
          <w:rFonts w:ascii="Times New Roman" w:eastAsia="Times New Roman" w:hAnsi="Times New Roman" w:cs="Times New Roman"/>
          <w:sz w:val="24"/>
          <w:szCs w:val="24"/>
        </w:rPr>
        <w:t xml:space="preserve"> Act</w:t>
      </w:r>
      <w:r w:rsidRPr="00744EA4">
        <w:rPr>
          <w:rFonts w:ascii="Times New Roman" w:eastAsia="Times New Roman" w:hAnsi="Times New Roman" w:cs="Times New Roman"/>
          <w:sz w:val="24"/>
          <w:szCs w:val="24"/>
        </w:rPr>
        <w:t xml:space="preserve"> is likely to be a mix of these cases.</w:t>
      </w:r>
    </w:p>
    <w:p w14:paraId="79BA427F" w14:textId="38A9C0E2" w:rsidR="00744EA4" w:rsidRPr="001278ED"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Thus, the improved risk-management structures suggested by Dodd-Frank and the overall effect on bank risk-taking require empirical testing. We used the Dodd-Frank to estimate the </w:t>
      </w:r>
      <w:r w:rsidR="005B1257">
        <w:rPr>
          <w:rFonts w:ascii="Times New Roman" w:eastAsia="Times New Roman" w:hAnsi="Times New Roman" w:cs="Times New Roman"/>
          <w:sz w:val="24"/>
          <w:szCs w:val="24"/>
        </w:rPr>
        <w:t>regulatory emphasis</w:t>
      </w:r>
      <w:r w:rsidRPr="001278ED">
        <w:rPr>
          <w:rFonts w:ascii="Times New Roman" w:eastAsia="Times New Roman" w:hAnsi="Times New Roman" w:cs="Times New Roman"/>
          <w:sz w:val="24"/>
          <w:szCs w:val="24"/>
        </w:rPr>
        <w:t xml:space="preserve"> of appointing a CRO – especially a female CRO – on bank risk-taking., the years up to 2010 represented the pre-treatment period.</w:t>
      </w:r>
    </w:p>
    <w:p w14:paraId="79960110" w14:textId="28868AA5" w:rsidR="00744EA4" w:rsidRPr="00744EA4" w:rsidRDefault="00744EA4" w:rsidP="00744EA4">
      <w:pPr>
        <w:spacing w:line="480" w:lineRule="auto"/>
        <w:jc w:val="both"/>
        <w:rPr>
          <w:rFonts w:ascii="Times New Roman" w:eastAsia="Times New Roman" w:hAnsi="Times New Roman" w:cs="Times New Roman"/>
          <w:sz w:val="24"/>
          <w:szCs w:val="24"/>
        </w:rPr>
      </w:pPr>
      <w:r w:rsidRPr="001278ED">
        <w:rPr>
          <w:rFonts w:ascii="Times New Roman" w:eastAsia="Times New Roman" w:hAnsi="Times New Roman" w:cs="Times New Roman"/>
          <w:sz w:val="24"/>
          <w:szCs w:val="24"/>
        </w:rPr>
        <w:t xml:space="preserve">We used the standard research design </w:t>
      </w:r>
      <w:r w:rsidR="005B1257">
        <w:rPr>
          <w:rFonts w:ascii="Times New Roman" w:eastAsia="Times New Roman" w:hAnsi="Times New Roman" w:cs="Times New Roman"/>
          <w:sz w:val="24"/>
          <w:szCs w:val="24"/>
        </w:rPr>
        <w:t>as follows</w:t>
      </w:r>
      <w:r w:rsidRPr="001278ED">
        <w:rPr>
          <w:rFonts w:ascii="Times New Roman" w:eastAsia="Times New Roman" w:hAnsi="Times New Roman" w:cs="Times New Roman"/>
          <w:sz w:val="24"/>
          <w:szCs w:val="24"/>
        </w:rPr>
        <w:t>.</w:t>
      </w:r>
    </w:p>
    <w:p w14:paraId="0AB3B7A1" w14:textId="29C75D4A" w:rsidR="00744EA4" w:rsidRPr="00744EA4" w:rsidRDefault="00744EA4" w:rsidP="00744EA4">
      <w:pPr>
        <w:spacing w:line="240" w:lineRule="auto"/>
        <w:jc w:val="both"/>
        <w:rPr>
          <w:rFonts w:ascii="Times New Roman" w:eastAsia="Times New Roman" w:hAnsi="Times New Roman" w:cs="Times New Roman"/>
          <w:i/>
          <w:iCs/>
          <w:sz w:val="24"/>
          <w:szCs w:val="24"/>
        </w:rPr>
      </w:pPr>
      <w:r w:rsidRPr="00744EA4">
        <w:rPr>
          <w:rFonts w:ascii="Times New Roman" w:eastAsia="Times New Roman" w:hAnsi="Times New Roman" w:cs="Times New Roman"/>
          <w:i/>
          <w:iCs/>
          <w:sz w:val="24"/>
          <w:szCs w:val="24"/>
        </w:rPr>
        <w:t>Risk = β</w:t>
      </w:r>
      <w:r w:rsidRPr="00744EA4">
        <w:rPr>
          <w:rFonts w:ascii="Times New Roman" w:eastAsia="Times New Roman" w:hAnsi="Times New Roman" w:cs="Times New Roman"/>
          <w:i/>
          <w:iCs/>
          <w:sz w:val="24"/>
          <w:szCs w:val="24"/>
          <w:vertAlign w:val="subscript"/>
        </w:rPr>
        <w:t>0</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1</w:t>
      </w:r>
      <w:r w:rsidRPr="00744EA4">
        <w:rPr>
          <w:rFonts w:ascii="Times New Roman" w:eastAsia="Times New Roman" w:hAnsi="Times New Roman" w:cs="Times New Roman"/>
          <w:i/>
          <w:iCs/>
          <w:sz w:val="24"/>
          <w:szCs w:val="24"/>
        </w:rPr>
        <w:t xml:space="preserve"> Female CRO + β</w:t>
      </w:r>
      <w:r w:rsidRPr="00744EA4">
        <w:rPr>
          <w:rFonts w:ascii="Times New Roman" w:eastAsia="Times New Roman" w:hAnsi="Times New Roman" w:cs="Times New Roman"/>
          <w:i/>
          <w:iCs/>
          <w:sz w:val="24"/>
          <w:szCs w:val="24"/>
          <w:vertAlign w:val="subscript"/>
        </w:rPr>
        <w:t>2</w:t>
      </w:r>
      <w:r w:rsidRPr="00744EA4">
        <w:rPr>
          <w:rFonts w:ascii="Times New Roman" w:eastAsia="Times New Roman" w:hAnsi="Times New Roman" w:cs="Times New Roman"/>
          <w:i/>
          <w:iCs/>
          <w:sz w:val="24"/>
          <w:szCs w:val="24"/>
        </w:rPr>
        <w:t xml:space="preserve"> Post </w:t>
      </w:r>
      <w:r w:rsidR="00CB534C">
        <w:rPr>
          <w:rFonts w:ascii="Times New Roman" w:eastAsia="Times New Roman" w:hAnsi="Times New Roman" w:cs="Times New Roman"/>
          <w:i/>
          <w:iCs/>
          <w:sz w:val="24"/>
          <w:szCs w:val="24"/>
        </w:rPr>
        <w:t>2009</w:t>
      </w:r>
      <w:r w:rsidRPr="00744EA4">
        <w:rPr>
          <w:rFonts w:ascii="Times New Roman" w:eastAsia="Times New Roman" w:hAnsi="Times New Roman" w:cs="Times New Roman"/>
          <w:i/>
          <w:iCs/>
          <w:sz w:val="24"/>
          <w:szCs w:val="24"/>
        </w:rPr>
        <w:t xml:space="preserve"> + β</w:t>
      </w:r>
      <w:r w:rsidRPr="00744EA4">
        <w:rPr>
          <w:rFonts w:ascii="Times New Roman" w:eastAsia="Times New Roman" w:hAnsi="Times New Roman" w:cs="Times New Roman"/>
          <w:i/>
          <w:iCs/>
          <w:sz w:val="24"/>
          <w:szCs w:val="24"/>
          <w:vertAlign w:val="subscript"/>
        </w:rPr>
        <w:t>3</w:t>
      </w:r>
      <w:r w:rsidRPr="00744EA4">
        <w:rPr>
          <w:rFonts w:ascii="Times New Roman" w:eastAsia="Times New Roman" w:hAnsi="Times New Roman" w:cs="Times New Roman"/>
          <w:i/>
          <w:iCs/>
          <w:sz w:val="24"/>
          <w:szCs w:val="24"/>
        </w:rPr>
        <w:t xml:space="preserve"> Female CRO x Post </w:t>
      </w:r>
      <w:r w:rsidR="00CB534C">
        <w:rPr>
          <w:rFonts w:ascii="Times New Roman" w:eastAsia="Times New Roman" w:hAnsi="Times New Roman" w:cs="Times New Roman"/>
          <w:i/>
          <w:iCs/>
          <w:sz w:val="24"/>
          <w:szCs w:val="24"/>
        </w:rPr>
        <w:t>2009</w:t>
      </w:r>
      <w:r w:rsidRPr="00744EA4">
        <w:rPr>
          <w:rFonts w:ascii="Times New Roman" w:eastAsia="Times New Roman" w:hAnsi="Times New Roman" w:cs="Times New Roman"/>
          <w:i/>
          <w:iCs/>
          <w:sz w:val="24"/>
          <w:szCs w:val="24"/>
        </w:rPr>
        <w:t xml:space="preserve"> ++β</w:t>
      </w:r>
      <w:r w:rsidRPr="00744EA4">
        <w:rPr>
          <w:rFonts w:ascii="Times New Roman" w:eastAsia="Times New Roman" w:hAnsi="Times New Roman" w:cs="Times New Roman"/>
          <w:i/>
          <w:iCs/>
          <w:sz w:val="24"/>
          <w:szCs w:val="24"/>
          <w:vertAlign w:val="subscript"/>
        </w:rPr>
        <w:t>4</w:t>
      </w:r>
      <w:r w:rsidRPr="00744EA4">
        <w:rPr>
          <w:rFonts w:ascii="Times New Roman" w:eastAsia="Times New Roman" w:hAnsi="Times New Roman" w:cs="Times New Roman"/>
          <w:i/>
          <w:iCs/>
          <w:sz w:val="24"/>
          <w:szCs w:val="24"/>
        </w:rPr>
        <w:t xml:space="preserve"> (Z)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Σ(Year Effects)</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+Σ(Firm Effects) </w:t>
      </w:r>
      <w:r w:rsidRPr="00744EA4">
        <w:rPr>
          <w:rFonts w:ascii="Times New Roman" w:eastAsia="Times New Roman" w:hAnsi="Times New Roman" w:cs="Times New Roman"/>
          <w:i/>
          <w:iCs/>
          <w:sz w:val="24"/>
          <w:szCs w:val="24"/>
          <w:vertAlign w:val="subscript"/>
        </w:rPr>
        <w:t>i,t-1</w:t>
      </w:r>
      <w:r w:rsidRPr="00744EA4">
        <w:rPr>
          <w:rFonts w:ascii="Times New Roman" w:eastAsia="Times New Roman" w:hAnsi="Times New Roman" w:cs="Times New Roman"/>
          <w:i/>
          <w:iCs/>
          <w:sz w:val="24"/>
          <w:szCs w:val="24"/>
        </w:rPr>
        <w:t xml:space="preserve"> +€ </w:t>
      </w:r>
      <w:r w:rsidRPr="00744EA4">
        <w:rPr>
          <w:rFonts w:ascii="Times New Roman" w:eastAsia="Times New Roman" w:hAnsi="Times New Roman" w:cs="Times New Roman"/>
          <w:i/>
          <w:iCs/>
          <w:sz w:val="24"/>
          <w:szCs w:val="24"/>
          <w:vertAlign w:val="subscript"/>
        </w:rPr>
        <w:t>i</w:t>
      </w:r>
    </w:p>
    <w:p w14:paraId="2B9855DC" w14:textId="77777777" w:rsidR="00744EA4" w:rsidRPr="00744EA4" w:rsidRDefault="00744EA4" w:rsidP="00744EA4">
      <w:pPr>
        <w:spacing w:line="240" w:lineRule="auto"/>
        <w:jc w:val="both"/>
        <w:rPr>
          <w:rFonts w:ascii="Times New Roman" w:eastAsia="Times New Roman" w:hAnsi="Times New Roman" w:cs="Times New Roman"/>
          <w:sz w:val="24"/>
          <w:szCs w:val="24"/>
        </w:rPr>
      </w:pPr>
    </w:p>
    <w:p w14:paraId="0E229F82" w14:textId="4C7052D5"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Our variable was </w:t>
      </w:r>
      <w:r w:rsidRPr="00744EA4">
        <w:rPr>
          <w:rFonts w:ascii="Times New Roman" w:eastAsia="Times New Roman" w:hAnsi="Times New Roman" w:cs="Times New Roman"/>
          <w:i/>
          <w:iCs/>
          <w:sz w:val="24"/>
          <w:szCs w:val="24"/>
        </w:rPr>
        <w:t>Female CRO</w:t>
      </w:r>
      <w:r w:rsidRPr="00744EA4">
        <w:rPr>
          <w:rFonts w:ascii="Times New Roman" w:eastAsia="Times New Roman" w:hAnsi="Times New Roman" w:cs="Times New Roman"/>
          <w:sz w:val="24"/>
          <w:szCs w:val="24"/>
        </w:rPr>
        <w:t xml:space="preserve">, coded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1</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if the CRO was female, and </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0</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otherwise. Post </w:t>
      </w:r>
      <w:r w:rsidR="00CB534C">
        <w:rPr>
          <w:rFonts w:ascii="Times New Roman" w:eastAsia="Times New Roman" w:hAnsi="Times New Roman" w:cs="Times New Roman"/>
          <w:sz w:val="24"/>
          <w:szCs w:val="24"/>
        </w:rPr>
        <w:t>2009</w:t>
      </w:r>
      <w:r w:rsidRPr="00744EA4">
        <w:rPr>
          <w:rFonts w:ascii="Times New Roman" w:eastAsia="Times New Roman" w:hAnsi="Times New Roman" w:cs="Times New Roman"/>
          <w:sz w:val="24"/>
          <w:szCs w:val="24"/>
        </w:rPr>
        <w:t xml:space="preserve"> was a dummy variable, assigned </w:t>
      </w:r>
      <w:r w:rsidR="00197BB6" w:rsidRPr="00880312">
        <w:rPr>
          <w:rFonts w:ascii="Times New Roman" w:eastAsia="Times New Roman" w:hAnsi="Times New Roman" w:cs="Times New Roman"/>
          <w:sz w:val="24"/>
          <w:szCs w:val="24"/>
        </w:rPr>
        <w:t>'</w:t>
      </w:r>
      <w:r w:rsidR="00CB534C">
        <w:rPr>
          <w:rFonts w:ascii="Times New Roman" w:eastAsia="Times New Roman" w:hAnsi="Times New Roman" w:cs="Times New Roman"/>
          <w:sz w:val="24"/>
          <w:szCs w:val="24"/>
        </w:rPr>
        <w:t>0</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if the year was before 2010 and </w:t>
      </w:r>
      <w:r w:rsidR="00197BB6" w:rsidRPr="00880312">
        <w:rPr>
          <w:rFonts w:ascii="Times New Roman" w:eastAsia="Times New Roman" w:hAnsi="Times New Roman" w:cs="Times New Roman"/>
          <w:sz w:val="24"/>
          <w:szCs w:val="24"/>
        </w:rPr>
        <w:t>'</w:t>
      </w:r>
      <w:r w:rsidR="00CB534C">
        <w:rPr>
          <w:rFonts w:ascii="Times New Roman" w:eastAsia="Times New Roman" w:hAnsi="Times New Roman" w:cs="Times New Roman"/>
          <w:sz w:val="24"/>
          <w:szCs w:val="24"/>
        </w:rPr>
        <w:t>1</w:t>
      </w:r>
      <w:r w:rsidR="00197BB6" w:rsidRPr="00880312">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 xml:space="preserve"> otherwise. The main variable of interest was the interaction term, which captured the change in risk of the treated group relative to the change in risk of the control group. As per our hypothesis, the coefficient of the interaction term (β3) could be negative, zero, or positive. However, if the purpose of the law was to reduce risk, and if the law had successfully lowered the risk, we would expect β3 to be negative. A negative coefficient indicated that the female CRO had generally caused a decrease in risk-taking by the bank in the post</w:t>
      </w:r>
      <w:r w:rsidR="00567377">
        <w:rPr>
          <w:rFonts w:ascii="Times New Roman" w:eastAsia="Times New Roman" w:hAnsi="Times New Roman" w:cs="Times New Roman"/>
          <w:sz w:val="24"/>
          <w:szCs w:val="24"/>
        </w:rPr>
        <w:t>-</w:t>
      </w:r>
      <w:r w:rsidRPr="00744EA4">
        <w:rPr>
          <w:rFonts w:ascii="Times New Roman" w:eastAsia="Times New Roman" w:hAnsi="Times New Roman" w:cs="Times New Roman"/>
          <w:sz w:val="24"/>
          <w:szCs w:val="24"/>
        </w:rPr>
        <w:t>crisis period.</w:t>
      </w:r>
    </w:p>
    <w:p w14:paraId="614DF5BF" w14:textId="5034E569"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i/>
          <w:iCs/>
          <w:sz w:val="24"/>
          <w:szCs w:val="24"/>
        </w:rPr>
        <w:t xml:space="preserve">Table </w:t>
      </w:r>
      <w:r w:rsidR="009A01D0">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 xml:space="preserve">10 </w:t>
      </w:r>
      <w:r w:rsidRPr="00744EA4">
        <w:rPr>
          <w:rFonts w:ascii="Times New Roman" w:eastAsia="Times New Roman" w:hAnsi="Times New Roman" w:cs="Times New Roman"/>
          <w:sz w:val="24"/>
          <w:szCs w:val="24"/>
        </w:rPr>
        <w:t>reports the multivariate regression results of analysis. The main variable of interest (</w:t>
      </w:r>
      <w:r w:rsidRPr="00744EA4">
        <w:rPr>
          <w:rFonts w:ascii="Times New Roman" w:eastAsia="Times New Roman" w:hAnsi="Times New Roman" w:cs="Times New Roman"/>
          <w:i/>
          <w:iCs/>
          <w:sz w:val="24"/>
          <w:szCs w:val="24"/>
        </w:rPr>
        <w:t>Female CRO</w:t>
      </w:r>
      <w:r w:rsidRPr="00744EA4">
        <w:rPr>
          <w:rFonts w:ascii="Times New Roman" w:eastAsia="Times New Roman" w:hAnsi="Times New Roman" w:cs="Times New Roman"/>
          <w:sz w:val="24"/>
          <w:szCs w:val="24"/>
        </w:rPr>
        <w:t>) was found to have a significant positive relationship with risk</w:t>
      </w:r>
      <w:r w:rsidR="00567377">
        <w:rPr>
          <w:rFonts w:ascii="Times New Roman" w:eastAsia="Times New Roman" w:hAnsi="Times New Roman" w:cs="Times New Roman"/>
          <w:sz w:val="24"/>
          <w:szCs w:val="24"/>
        </w:rPr>
        <w:t>. In contrast,</w:t>
      </w:r>
      <w:r w:rsidRPr="00744EA4">
        <w:rPr>
          <w:rFonts w:ascii="Times New Roman" w:eastAsia="Times New Roman" w:hAnsi="Times New Roman" w:cs="Times New Roman"/>
          <w:sz w:val="24"/>
          <w:szCs w:val="24"/>
        </w:rPr>
        <w:t xml:space="preserve"> the </w:t>
      </w:r>
      <w:r w:rsidRPr="00744EA4">
        <w:rPr>
          <w:rFonts w:ascii="Times New Roman" w:eastAsia="Times New Roman" w:hAnsi="Times New Roman" w:cs="Times New Roman"/>
          <w:i/>
          <w:iCs/>
          <w:sz w:val="24"/>
          <w:szCs w:val="24"/>
        </w:rPr>
        <w:t>Post_</w:t>
      </w:r>
      <w:r w:rsidR="00CB534C">
        <w:rPr>
          <w:rFonts w:ascii="Times New Roman" w:eastAsia="Times New Roman" w:hAnsi="Times New Roman" w:cs="Times New Roman"/>
          <w:i/>
          <w:iCs/>
          <w:sz w:val="24"/>
          <w:szCs w:val="24"/>
        </w:rPr>
        <w:t>2009</w:t>
      </w:r>
      <w:r w:rsidRPr="00744EA4">
        <w:rPr>
          <w:rFonts w:ascii="Times New Roman" w:eastAsia="Times New Roman" w:hAnsi="Times New Roman" w:cs="Times New Roman"/>
          <w:i/>
          <w:iCs/>
          <w:sz w:val="24"/>
          <w:szCs w:val="24"/>
        </w:rPr>
        <w:t xml:space="preserve"> </w:t>
      </w:r>
      <w:r w:rsidRPr="00744EA4">
        <w:rPr>
          <w:rFonts w:ascii="Times New Roman" w:eastAsia="Times New Roman" w:hAnsi="Times New Roman" w:cs="Times New Roman"/>
          <w:sz w:val="24"/>
          <w:szCs w:val="24"/>
        </w:rPr>
        <w:t xml:space="preserve">variable was significantly negative, indicating that the regulations had successfully reduced risk-taking. The crucial parameter, </w:t>
      </w:r>
      <w:r w:rsidRPr="00744EA4">
        <w:rPr>
          <w:rFonts w:ascii="Times New Roman" w:eastAsia="Times New Roman" w:hAnsi="Times New Roman" w:cs="Times New Roman"/>
          <w:i/>
          <w:iCs/>
          <w:sz w:val="24"/>
          <w:szCs w:val="24"/>
        </w:rPr>
        <w:t xml:space="preserve">Female CRO x Post </w:t>
      </w:r>
      <w:r w:rsidR="00CB534C">
        <w:rPr>
          <w:rFonts w:ascii="Times New Roman" w:eastAsia="Times New Roman" w:hAnsi="Times New Roman" w:cs="Times New Roman"/>
          <w:i/>
          <w:iCs/>
          <w:sz w:val="24"/>
          <w:szCs w:val="24"/>
        </w:rPr>
        <w:t>2009</w:t>
      </w:r>
      <w:r w:rsidRPr="00744EA4">
        <w:rPr>
          <w:rFonts w:ascii="Times New Roman" w:eastAsia="Times New Roman" w:hAnsi="Times New Roman" w:cs="Times New Roman"/>
          <w:sz w:val="24"/>
          <w:szCs w:val="24"/>
        </w:rPr>
        <w:t xml:space="preserve">, was negative and significant, suggesting that risk oversight by the regulators was successful, especially when the CRO was female. </w:t>
      </w:r>
    </w:p>
    <w:p w14:paraId="639F8D4C" w14:textId="6D74DD39" w:rsidR="005B1257" w:rsidRDefault="00744EA4" w:rsidP="00197BB6">
      <w:pPr>
        <w:spacing w:line="480" w:lineRule="auto"/>
        <w:jc w:val="center"/>
        <w:rPr>
          <w:rFonts w:ascii="Times New Roman" w:eastAsia="Times New Roman" w:hAnsi="Times New Roman" w:cs="Times New Roman"/>
          <w:b/>
          <w:bCs/>
          <w:i/>
          <w:iCs/>
          <w:smallCaps/>
          <w:sz w:val="24"/>
          <w:szCs w:val="24"/>
        </w:rPr>
      </w:pPr>
      <w:r w:rsidRPr="00744EA4">
        <w:rPr>
          <w:rFonts w:ascii="Times New Roman" w:eastAsia="Times New Roman" w:hAnsi="Times New Roman" w:cs="Times New Roman"/>
          <w:b/>
          <w:bCs/>
          <w:i/>
          <w:iCs/>
          <w:smallCaps/>
          <w:sz w:val="24"/>
          <w:szCs w:val="24"/>
        </w:rPr>
        <w:t>[</w:t>
      </w:r>
      <w:r w:rsidRPr="00744EA4">
        <w:rPr>
          <w:rFonts w:ascii="Times New Roman" w:eastAsia="Times New Roman" w:hAnsi="Times New Roman" w:cs="Times New Roman"/>
          <w:i/>
          <w:iCs/>
          <w:sz w:val="24"/>
          <w:szCs w:val="24"/>
        </w:rPr>
        <w:t xml:space="preserve">Insert Table </w:t>
      </w:r>
      <w:r w:rsidR="009A01D0">
        <w:rPr>
          <w:rFonts w:ascii="Times New Roman" w:eastAsia="Times New Roman" w:hAnsi="Times New Roman" w:cs="Times New Roman"/>
          <w:i/>
          <w:iCs/>
          <w:sz w:val="24"/>
          <w:szCs w:val="24"/>
        </w:rPr>
        <w:t>3.</w:t>
      </w:r>
      <w:r w:rsidRPr="00744EA4">
        <w:rPr>
          <w:rFonts w:ascii="Times New Roman" w:eastAsia="Times New Roman" w:hAnsi="Times New Roman" w:cs="Times New Roman"/>
          <w:i/>
          <w:iCs/>
          <w:sz w:val="24"/>
          <w:szCs w:val="24"/>
        </w:rPr>
        <w:t>10 here</w:t>
      </w:r>
      <w:r w:rsidRPr="00744EA4">
        <w:rPr>
          <w:rFonts w:ascii="Times New Roman" w:eastAsia="Times New Roman" w:hAnsi="Times New Roman" w:cs="Times New Roman"/>
          <w:b/>
          <w:bCs/>
          <w:i/>
          <w:iCs/>
          <w:smallCaps/>
          <w:sz w:val="24"/>
          <w:szCs w:val="24"/>
        </w:rPr>
        <w:t>]</w:t>
      </w:r>
    </w:p>
    <w:p w14:paraId="3757B6C3" w14:textId="77777777" w:rsidR="005B1257" w:rsidRDefault="005B1257">
      <w:pPr>
        <w:rPr>
          <w:rFonts w:ascii="Times New Roman" w:eastAsia="Times New Roman" w:hAnsi="Times New Roman" w:cs="Times New Roman"/>
          <w:b/>
          <w:bCs/>
          <w:i/>
          <w:iCs/>
          <w:smallCaps/>
          <w:sz w:val="24"/>
          <w:szCs w:val="24"/>
        </w:rPr>
      </w:pPr>
      <w:r>
        <w:rPr>
          <w:rFonts w:ascii="Times New Roman" w:eastAsia="Times New Roman" w:hAnsi="Times New Roman" w:cs="Times New Roman"/>
          <w:b/>
          <w:bCs/>
          <w:i/>
          <w:iCs/>
          <w:smallCaps/>
          <w:sz w:val="24"/>
          <w:szCs w:val="24"/>
        </w:rPr>
        <w:br w:type="page"/>
      </w:r>
    </w:p>
    <w:p w14:paraId="459B2F5D" w14:textId="77777777" w:rsidR="00744EA4" w:rsidRPr="00744EA4" w:rsidRDefault="00744EA4" w:rsidP="00197BB6">
      <w:pPr>
        <w:spacing w:line="480" w:lineRule="auto"/>
        <w:jc w:val="center"/>
        <w:rPr>
          <w:rFonts w:ascii="Times New Roman" w:eastAsia="Times New Roman" w:hAnsi="Times New Roman" w:cs="Times New Roman"/>
          <w:b/>
          <w:bCs/>
          <w:i/>
          <w:iCs/>
          <w:smallCaps/>
          <w:sz w:val="24"/>
          <w:szCs w:val="24"/>
        </w:rPr>
      </w:pPr>
    </w:p>
    <w:p w14:paraId="43A37C94" w14:textId="6A4B1092" w:rsidR="00744EA4" w:rsidRPr="004D34A5" w:rsidRDefault="0037662B" w:rsidP="003C7034">
      <w:pPr>
        <w:pStyle w:val="Heading2"/>
        <w:rPr>
          <w:sz w:val="32"/>
          <w:szCs w:val="32"/>
        </w:rPr>
      </w:pPr>
      <w:bookmarkStart w:id="47" w:name="_Toc145616188"/>
      <w:r w:rsidRPr="004D34A5">
        <w:rPr>
          <w:sz w:val="32"/>
          <w:szCs w:val="32"/>
        </w:rPr>
        <w:t>3.</w:t>
      </w:r>
      <w:r w:rsidR="00744EA4" w:rsidRPr="004D34A5">
        <w:rPr>
          <w:sz w:val="32"/>
          <w:szCs w:val="32"/>
        </w:rPr>
        <w:t>7. Summary and Conclusion</w:t>
      </w:r>
      <w:bookmarkEnd w:id="47"/>
    </w:p>
    <w:p w14:paraId="71EF05AA" w14:textId="569DB04A"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In recent years, policymakers, academicians, and media have given great attention to </w:t>
      </w:r>
      <w:r w:rsidR="00567377">
        <w:rPr>
          <w:rFonts w:ascii="Times New Roman" w:eastAsia="Times New Roman" w:hAnsi="Times New Roman" w:cs="Times New Roman"/>
          <w:sz w:val="24"/>
          <w:szCs w:val="24"/>
        </w:rPr>
        <w:t>female presenc</w:t>
      </w:r>
      <w:r w:rsidRPr="00744EA4">
        <w:rPr>
          <w:rFonts w:ascii="Times New Roman" w:eastAsia="Times New Roman" w:hAnsi="Times New Roman" w:cs="Times New Roman"/>
          <w:sz w:val="24"/>
          <w:szCs w:val="24"/>
        </w:rPr>
        <w:t xml:space="preserve">e </w:t>
      </w:r>
      <w:r w:rsidR="00E85C49">
        <w:rPr>
          <w:rFonts w:ascii="Times New Roman" w:eastAsia="Times New Roman" w:hAnsi="Times New Roman" w:cs="Times New Roman"/>
          <w:sz w:val="24"/>
          <w:szCs w:val="24"/>
        </w:rPr>
        <w:t xml:space="preserve">at </w:t>
      </w:r>
      <w:r w:rsidRPr="00744EA4">
        <w:rPr>
          <w:rFonts w:ascii="Times New Roman" w:eastAsia="Times New Roman" w:hAnsi="Times New Roman" w:cs="Times New Roman"/>
          <w:sz w:val="24"/>
          <w:szCs w:val="24"/>
        </w:rPr>
        <w:t xml:space="preserve">CEOs </w:t>
      </w:r>
      <w:r w:rsidR="00E85C49">
        <w:rPr>
          <w:rFonts w:ascii="Times New Roman" w:eastAsia="Times New Roman" w:hAnsi="Times New Roman" w:cs="Times New Roman"/>
          <w:sz w:val="24"/>
          <w:szCs w:val="24"/>
        </w:rPr>
        <w:t>and board level</w:t>
      </w:r>
      <w:r w:rsidRPr="00744EA4">
        <w:rPr>
          <w:rFonts w:ascii="Times New Roman" w:eastAsia="Times New Roman" w:hAnsi="Times New Roman" w:cs="Times New Roman"/>
          <w:sz w:val="24"/>
          <w:szCs w:val="24"/>
        </w:rPr>
        <w:t xml:space="preserve">. However, there </w:t>
      </w:r>
      <w:r w:rsidR="00E85C49">
        <w:rPr>
          <w:rFonts w:ascii="Times New Roman" w:eastAsia="Times New Roman" w:hAnsi="Times New Roman" w:cs="Times New Roman"/>
          <w:sz w:val="24"/>
          <w:szCs w:val="24"/>
        </w:rPr>
        <w:t>is</w:t>
      </w:r>
      <w:r w:rsidRPr="00744EA4">
        <w:rPr>
          <w:rFonts w:ascii="Times New Roman" w:eastAsia="Times New Roman" w:hAnsi="Times New Roman" w:cs="Times New Roman"/>
          <w:sz w:val="24"/>
          <w:szCs w:val="24"/>
        </w:rPr>
        <w:t xml:space="preserve"> less focus on the </w:t>
      </w:r>
      <w:r w:rsidR="00E85C49" w:rsidRPr="00744EA4">
        <w:rPr>
          <w:rFonts w:ascii="Times New Roman" w:eastAsia="Times New Roman" w:hAnsi="Times New Roman" w:cs="Times New Roman"/>
          <w:sz w:val="24"/>
          <w:szCs w:val="24"/>
        </w:rPr>
        <w:t>effect</w:t>
      </w:r>
      <w:r w:rsidRPr="00744EA4">
        <w:rPr>
          <w:rFonts w:ascii="Times New Roman" w:eastAsia="Times New Roman" w:hAnsi="Times New Roman" w:cs="Times New Roman"/>
          <w:sz w:val="24"/>
          <w:szCs w:val="24"/>
        </w:rPr>
        <w:t xml:space="preserve"> of gender on other crucial </w:t>
      </w:r>
      <w:r w:rsidR="00E85C49" w:rsidRPr="00744EA4">
        <w:rPr>
          <w:rFonts w:ascii="Times New Roman" w:eastAsia="Times New Roman" w:hAnsi="Times New Roman" w:cs="Times New Roman"/>
          <w:sz w:val="24"/>
          <w:szCs w:val="24"/>
        </w:rPr>
        <w:t>company</w:t>
      </w:r>
      <w:r w:rsidRPr="00744EA4">
        <w:rPr>
          <w:rFonts w:ascii="Times New Roman" w:eastAsia="Times New Roman" w:hAnsi="Times New Roman" w:cs="Times New Roman"/>
          <w:sz w:val="24"/>
          <w:szCs w:val="24"/>
        </w:rPr>
        <w:t xml:space="preserve"> financial decision-making </w:t>
      </w:r>
      <w:r w:rsidR="00E85C49" w:rsidRPr="00744EA4">
        <w:rPr>
          <w:rFonts w:ascii="Times New Roman" w:eastAsia="Times New Roman" w:hAnsi="Times New Roman" w:cs="Times New Roman"/>
          <w:sz w:val="24"/>
          <w:szCs w:val="24"/>
        </w:rPr>
        <w:t>positions</w:t>
      </w:r>
      <w:r w:rsidRPr="00744EA4">
        <w:rPr>
          <w:rFonts w:ascii="Times New Roman" w:eastAsia="Times New Roman" w:hAnsi="Times New Roman" w:cs="Times New Roman"/>
          <w:sz w:val="24"/>
          <w:szCs w:val="24"/>
        </w:rPr>
        <w:t xml:space="preserve">. CRO is an important designation, and since the financial crisis of 2007–2008, multiple regulations have encouraged </w:t>
      </w:r>
      <w:r w:rsidR="00567377">
        <w:rPr>
          <w:rFonts w:ascii="Times New Roman" w:eastAsia="Times New Roman" w:hAnsi="Times New Roman" w:cs="Times New Roman"/>
          <w:sz w:val="24"/>
          <w:szCs w:val="24"/>
        </w:rPr>
        <w:t>appointing a special officer responsible for risk-taking and reporting</w:t>
      </w:r>
      <w:r w:rsidRPr="00744EA4">
        <w:rPr>
          <w:rFonts w:ascii="Times New Roman" w:eastAsia="Times New Roman" w:hAnsi="Times New Roman" w:cs="Times New Roman"/>
          <w:sz w:val="24"/>
          <w:szCs w:val="24"/>
        </w:rPr>
        <w:t xml:space="preserve"> directly to the board. There is also a substantial body of literature on gender differences and their impact on financial decision-making and risk-taking, suggesting that women are generally more risk-averse than men. This study contributes to the literature by using a sample of U</w:t>
      </w:r>
      <w:r w:rsidR="00197BB6" w:rsidRPr="00880312">
        <w:rPr>
          <w:rFonts w:ascii="Times New Roman" w:eastAsia="Times New Roman" w:hAnsi="Times New Roman" w:cs="Times New Roman"/>
          <w:sz w:val="24"/>
          <w:szCs w:val="24"/>
        </w:rPr>
        <w:t>.S.</w:t>
      </w:r>
      <w:r w:rsidRPr="00744EA4">
        <w:rPr>
          <w:rFonts w:ascii="Times New Roman" w:eastAsia="Times New Roman" w:hAnsi="Times New Roman" w:cs="Times New Roman"/>
          <w:sz w:val="24"/>
          <w:szCs w:val="24"/>
        </w:rPr>
        <w:t xml:space="preserve"> banks to </w:t>
      </w:r>
      <w:r w:rsidR="003C7034" w:rsidRPr="00744EA4">
        <w:rPr>
          <w:rFonts w:ascii="Times New Roman" w:eastAsia="Times New Roman" w:hAnsi="Times New Roman" w:cs="Times New Roman"/>
          <w:sz w:val="24"/>
          <w:szCs w:val="24"/>
        </w:rPr>
        <w:t>analy</w:t>
      </w:r>
      <w:r w:rsidR="003C7034" w:rsidRPr="00880312">
        <w:rPr>
          <w:rFonts w:ascii="Times New Roman" w:eastAsia="Times New Roman" w:hAnsi="Times New Roman" w:cs="Times New Roman"/>
          <w:sz w:val="24"/>
          <w:szCs w:val="24"/>
        </w:rPr>
        <w:t>s</w:t>
      </w:r>
      <w:r w:rsidR="003C7034" w:rsidRPr="00744EA4">
        <w:rPr>
          <w:rFonts w:ascii="Times New Roman" w:eastAsia="Times New Roman" w:hAnsi="Times New Roman" w:cs="Times New Roman"/>
          <w:sz w:val="24"/>
          <w:szCs w:val="24"/>
        </w:rPr>
        <w:t>e</w:t>
      </w:r>
      <w:r w:rsidRPr="00744EA4">
        <w:rPr>
          <w:rFonts w:ascii="Times New Roman" w:eastAsia="Times New Roman" w:hAnsi="Times New Roman" w:cs="Times New Roman"/>
          <w:sz w:val="24"/>
          <w:szCs w:val="24"/>
        </w:rPr>
        <w:t xml:space="preserve"> the relationship between the appointment of female CROs and bank risk-taking.</w:t>
      </w:r>
    </w:p>
    <w:p w14:paraId="79B94B08" w14:textId="18CE00E9"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Our data show that banks with female CROs take on substantially more risk than </w:t>
      </w:r>
      <w:r w:rsidR="00567377">
        <w:rPr>
          <w:rFonts w:ascii="Times New Roman" w:eastAsia="Times New Roman" w:hAnsi="Times New Roman" w:cs="Times New Roman"/>
          <w:sz w:val="24"/>
          <w:szCs w:val="24"/>
        </w:rPr>
        <w:t>those with</w:t>
      </w:r>
      <w:r w:rsidRPr="00744EA4">
        <w:rPr>
          <w:rFonts w:ascii="Times New Roman" w:eastAsia="Times New Roman" w:hAnsi="Times New Roman" w:cs="Times New Roman"/>
          <w:sz w:val="24"/>
          <w:szCs w:val="24"/>
        </w:rPr>
        <w:t xml:space="preserve"> male CROs. The result aligns with the literature showing increased executive risk-taking due to conflicts of interest between executives (risk managers) and stakeholders. The result also provides support for the literature showing that women take more risks once they have broken through the glass ceiling: specifically, as women move up to more senior levels, their behaviours and decisions become less likely to comply with traditional female stereotypes.</w:t>
      </w:r>
    </w:p>
    <w:p w14:paraId="548070E9" w14:textId="0588F092" w:rsidR="00744EA4" w:rsidRPr="00744EA4" w:rsidRDefault="00E85C49"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Furthermore</w:t>
      </w:r>
      <w:r w:rsidR="00744EA4" w:rsidRPr="00744E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study</w:t>
      </w:r>
      <w:r w:rsidR="00744EA4" w:rsidRPr="00744EA4">
        <w:rPr>
          <w:rFonts w:ascii="Times New Roman" w:eastAsia="Times New Roman" w:hAnsi="Times New Roman" w:cs="Times New Roman"/>
          <w:sz w:val="24"/>
          <w:szCs w:val="24"/>
        </w:rPr>
        <w:t xml:space="preserve"> also </w:t>
      </w:r>
      <w:r w:rsidRPr="00744EA4">
        <w:rPr>
          <w:rFonts w:ascii="Times New Roman" w:eastAsia="Times New Roman" w:hAnsi="Times New Roman" w:cs="Times New Roman"/>
          <w:sz w:val="24"/>
          <w:szCs w:val="24"/>
        </w:rPr>
        <w:t>stress</w:t>
      </w:r>
      <w:r>
        <w:rPr>
          <w:rFonts w:ascii="Times New Roman" w:eastAsia="Times New Roman" w:hAnsi="Times New Roman" w:cs="Times New Roman"/>
          <w:sz w:val="24"/>
          <w:szCs w:val="24"/>
        </w:rPr>
        <w:t>es</w:t>
      </w:r>
      <w:r w:rsidR="00744EA4" w:rsidRPr="00744EA4">
        <w:rPr>
          <w:rFonts w:ascii="Times New Roman" w:eastAsia="Times New Roman" w:hAnsi="Times New Roman" w:cs="Times New Roman"/>
          <w:sz w:val="24"/>
          <w:szCs w:val="24"/>
        </w:rPr>
        <w:t xml:space="preserve"> the influence of the decision-making environment on the CRO</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 xml:space="preserve">s decisions. It appears that banks with gender-diverse boards are associated with significantly improved managerial discretion amongst their risk officers. This finding </w:t>
      </w:r>
      <w:r w:rsidR="00567377">
        <w:rPr>
          <w:rFonts w:ascii="Times New Roman" w:eastAsia="Times New Roman" w:hAnsi="Times New Roman" w:cs="Times New Roman"/>
          <w:sz w:val="24"/>
          <w:szCs w:val="24"/>
        </w:rPr>
        <w:t>supports gender-socialization theory and the ethical literature, which indicates that female directors with soft skills (being honest, caring, nurturing, sympathetic, friendly) create a comfortable environment where</w:t>
      </w:r>
      <w:r w:rsidR="00744EA4" w:rsidRPr="00744EA4">
        <w:rPr>
          <w:rFonts w:ascii="Times New Roman" w:eastAsia="Times New Roman" w:hAnsi="Times New Roman" w:cs="Times New Roman"/>
          <w:sz w:val="24"/>
          <w:szCs w:val="24"/>
        </w:rPr>
        <w:t xml:space="preserve"> executives are happier to share information. The finding also aligns with the agency theory that proposes the presence of women on the board reduces information asymmetry, which leads to lower risk-</w:t>
      </w:r>
      <w:r w:rsidR="000B3888" w:rsidRPr="00744EA4">
        <w:rPr>
          <w:rFonts w:ascii="Times New Roman" w:eastAsia="Times New Roman" w:hAnsi="Times New Roman" w:cs="Times New Roman"/>
          <w:sz w:val="24"/>
          <w:szCs w:val="24"/>
        </w:rPr>
        <w:t>taking. Our</w:t>
      </w:r>
      <w:r w:rsidR="00744EA4" w:rsidRPr="00744EA4">
        <w:rPr>
          <w:rFonts w:ascii="Times New Roman" w:eastAsia="Times New Roman" w:hAnsi="Times New Roman" w:cs="Times New Roman"/>
          <w:sz w:val="24"/>
          <w:szCs w:val="24"/>
        </w:rPr>
        <w:t xml:space="preserve"> study also suggests that female presence at the committee level serves as a mechanism to limit managerial risk-taking. In this regard, our results support the agency theory proposing that independent board committees increase a board</w:t>
      </w:r>
      <w:r w:rsidR="00197BB6" w:rsidRPr="00880312">
        <w:rPr>
          <w:rFonts w:ascii="Times New Roman" w:eastAsia="Times New Roman" w:hAnsi="Times New Roman" w:cs="Times New Roman"/>
          <w:sz w:val="24"/>
          <w:szCs w:val="24"/>
        </w:rPr>
        <w:t>'</w:t>
      </w:r>
      <w:r w:rsidR="00744EA4" w:rsidRPr="00744EA4">
        <w:rPr>
          <w:rFonts w:ascii="Times New Roman" w:eastAsia="Times New Roman" w:hAnsi="Times New Roman" w:cs="Times New Roman"/>
          <w:sz w:val="24"/>
          <w:szCs w:val="24"/>
        </w:rPr>
        <w:t>s effectiveness by advising, monitoring, and disciplining executives (Zalaata et al., 2019). Finally, we conclude that</w:t>
      </w:r>
      <w:r w:rsidR="00567377">
        <w:rPr>
          <w:rFonts w:ascii="Times New Roman" w:eastAsia="Times New Roman" w:hAnsi="Times New Roman" w:cs="Times New Roman"/>
          <w:sz w:val="24"/>
          <w:szCs w:val="24"/>
        </w:rPr>
        <w:t xml:space="preserve"> a reporting line direct to the board is vital for risk officers to improve risk-taking practices</w:t>
      </w:r>
      <w:r w:rsidR="00744EA4" w:rsidRPr="00744EA4">
        <w:rPr>
          <w:rFonts w:ascii="Times New Roman" w:eastAsia="Times New Roman" w:hAnsi="Times New Roman" w:cs="Times New Roman"/>
          <w:sz w:val="24"/>
          <w:szCs w:val="24"/>
        </w:rPr>
        <w:t>.</w:t>
      </w:r>
    </w:p>
    <w:p w14:paraId="5E786FFC" w14:textId="490CE5FA" w:rsidR="00744EA4" w:rsidRPr="00744EA4"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Our results have important policy implications for regulators in various jurisdictions. First, the mere appointment of a risk officer is not sufficient for the success of the risk-management function. However, governance arrangements can be an important tool for any risk-management function to succeed. Thus, it is beneficial to be mindful of board composition – for example, appointing a more gender-diverse board. Our findings confirm that banks with female monitoring</w:t>
      </w:r>
      <w:r w:rsidR="00567377">
        <w:rPr>
          <w:rFonts w:ascii="Times New Roman" w:eastAsia="Times New Roman" w:hAnsi="Times New Roman" w:cs="Times New Roman"/>
          <w:sz w:val="24"/>
          <w:szCs w:val="24"/>
        </w:rPr>
        <w:t xml:space="preserve"> </w:t>
      </w:r>
      <w:r w:rsidRPr="00744EA4">
        <w:rPr>
          <w:rFonts w:ascii="Times New Roman" w:eastAsia="Times New Roman" w:hAnsi="Times New Roman" w:cs="Times New Roman"/>
          <w:sz w:val="24"/>
          <w:szCs w:val="24"/>
        </w:rPr>
        <w:t>directors engage in better risk-taking practice. However, recent legislative efforts regarding gender quotas should extend beyond the board level. We suggest that for female directors to add value to corporate boardrooms, there is a need for more female representation on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s. Moreover, our study suggests that</w:t>
      </w:r>
      <w:r w:rsidR="00567377">
        <w:rPr>
          <w:rFonts w:ascii="Times New Roman" w:eastAsia="Times New Roman" w:hAnsi="Times New Roman" w:cs="Times New Roman"/>
          <w:sz w:val="24"/>
          <w:szCs w:val="24"/>
        </w:rPr>
        <w:t xml:space="preserve"> regulators should ensure that CROs are reporting directly to the board to reduce risk-taking and improve the risk-management function</w:t>
      </w:r>
      <w:r w:rsidRPr="00744EA4">
        <w:rPr>
          <w:rFonts w:ascii="Times New Roman" w:eastAsia="Times New Roman" w:hAnsi="Times New Roman" w:cs="Times New Roman"/>
          <w:sz w:val="24"/>
          <w:szCs w:val="24"/>
        </w:rPr>
        <w:t>.</w:t>
      </w:r>
    </w:p>
    <w:p w14:paraId="4D6D127A" w14:textId="17658AE3" w:rsidR="00197BB6" w:rsidRPr="00880312" w:rsidRDefault="00744EA4" w:rsidP="00744EA4">
      <w:pPr>
        <w:spacing w:line="480" w:lineRule="auto"/>
        <w:jc w:val="both"/>
        <w:rPr>
          <w:rFonts w:ascii="Times New Roman" w:eastAsia="Times New Roman" w:hAnsi="Times New Roman" w:cs="Times New Roman"/>
          <w:sz w:val="24"/>
          <w:szCs w:val="24"/>
        </w:rPr>
      </w:pPr>
      <w:r w:rsidRPr="00744EA4">
        <w:rPr>
          <w:rFonts w:ascii="Times New Roman" w:eastAsia="Times New Roman" w:hAnsi="Times New Roman" w:cs="Times New Roman"/>
          <w:sz w:val="24"/>
          <w:szCs w:val="24"/>
        </w:rPr>
        <w:t xml:space="preserve">Our </w:t>
      </w:r>
      <w:r w:rsidR="00E85C49">
        <w:rPr>
          <w:rFonts w:ascii="Times New Roman" w:eastAsia="Times New Roman" w:hAnsi="Times New Roman" w:cs="Times New Roman"/>
          <w:sz w:val="24"/>
          <w:szCs w:val="24"/>
        </w:rPr>
        <w:t xml:space="preserve">findings </w:t>
      </w:r>
      <w:r w:rsidRPr="00744EA4">
        <w:rPr>
          <w:rFonts w:ascii="Times New Roman" w:eastAsia="Times New Roman" w:hAnsi="Times New Roman" w:cs="Times New Roman"/>
          <w:sz w:val="24"/>
          <w:szCs w:val="24"/>
        </w:rPr>
        <w:t xml:space="preserve">have </w:t>
      </w:r>
      <w:r w:rsidR="00E85C49" w:rsidRPr="00744EA4">
        <w:rPr>
          <w:rFonts w:ascii="Times New Roman" w:eastAsia="Times New Roman" w:hAnsi="Times New Roman" w:cs="Times New Roman"/>
          <w:sz w:val="24"/>
          <w:szCs w:val="24"/>
        </w:rPr>
        <w:t>valuable</w:t>
      </w:r>
      <w:r w:rsidRPr="00744EA4">
        <w:rPr>
          <w:rFonts w:ascii="Times New Roman" w:eastAsia="Times New Roman" w:hAnsi="Times New Roman" w:cs="Times New Roman"/>
          <w:sz w:val="24"/>
          <w:szCs w:val="24"/>
        </w:rPr>
        <w:t xml:space="preserve"> </w:t>
      </w:r>
      <w:r w:rsidR="00E85C49" w:rsidRPr="00744EA4">
        <w:rPr>
          <w:rFonts w:ascii="Times New Roman" w:eastAsia="Times New Roman" w:hAnsi="Times New Roman" w:cs="Times New Roman"/>
          <w:sz w:val="24"/>
          <w:szCs w:val="24"/>
        </w:rPr>
        <w:t>suggestions</w:t>
      </w:r>
      <w:r w:rsidRPr="00744EA4">
        <w:rPr>
          <w:rFonts w:ascii="Times New Roman" w:eastAsia="Times New Roman" w:hAnsi="Times New Roman" w:cs="Times New Roman"/>
          <w:sz w:val="24"/>
          <w:szCs w:val="24"/>
        </w:rPr>
        <w:t xml:space="preserve"> for </w:t>
      </w:r>
      <w:r w:rsidR="00E85C49" w:rsidRPr="00744EA4">
        <w:rPr>
          <w:rFonts w:ascii="Times New Roman" w:eastAsia="Times New Roman" w:hAnsi="Times New Roman" w:cs="Times New Roman"/>
          <w:sz w:val="24"/>
          <w:szCs w:val="24"/>
        </w:rPr>
        <w:t>company</w:t>
      </w:r>
      <w:r w:rsidRPr="00744EA4">
        <w:rPr>
          <w:rFonts w:ascii="Times New Roman" w:eastAsia="Times New Roman" w:hAnsi="Times New Roman" w:cs="Times New Roman"/>
          <w:sz w:val="24"/>
          <w:szCs w:val="24"/>
        </w:rPr>
        <w:t xml:space="preserve"> boards of directors, the broader gender-diversity debate, and the policy reforms gaining momentum worldwide. The findings show that female directors have an influential role in corporate boardrooms. Moreover, to improve risk management in banks and protect stakeholder interests, corporate boards need separate R</w:t>
      </w:r>
      <w:r w:rsidR="00197BB6" w:rsidRPr="00880312">
        <w:rPr>
          <w:rFonts w:ascii="Times New Roman" w:eastAsia="Times New Roman" w:hAnsi="Times New Roman" w:cs="Times New Roman"/>
          <w:sz w:val="24"/>
          <w:szCs w:val="24"/>
        </w:rPr>
        <w:t>.C.</w:t>
      </w:r>
      <w:r w:rsidRPr="00744EA4">
        <w:rPr>
          <w:rFonts w:ascii="Times New Roman" w:eastAsia="Times New Roman" w:hAnsi="Times New Roman" w:cs="Times New Roman"/>
          <w:sz w:val="24"/>
          <w:szCs w:val="24"/>
        </w:rPr>
        <w:t>s and should consider appointing female directors to risk-monitoring roles.</w:t>
      </w:r>
    </w:p>
    <w:p w14:paraId="10E446FB" w14:textId="7F5F2F80" w:rsidR="00197BB6" w:rsidRPr="003C7034" w:rsidRDefault="00197BB6" w:rsidP="00CC629E">
      <w:pPr>
        <w:jc w:val="center"/>
        <w:rPr>
          <w:rFonts w:ascii="Times New Roman" w:eastAsia="Times New Roman" w:hAnsi="Times New Roman" w:cs="Times New Roman"/>
          <w:b/>
          <w:bCs/>
          <w:sz w:val="36"/>
          <w:szCs w:val="36"/>
          <w:lang w:val="es-ES_tradnl"/>
        </w:rPr>
      </w:pPr>
      <w:r w:rsidRPr="00880312">
        <w:rPr>
          <w:rFonts w:ascii="Times New Roman" w:eastAsia="Times New Roman" w:hAnsi="Times New Roman" w:cs="Times New Roman"/>
          <w:sz w:val="24"/>
          <w:szCs w:val="24"/>
        </w:rPr>
        <w:br w:type="page"/>
      </w:r>
      <w:r w:rsidRPr="003C7034">
        <w:rPr>
          <w:rFonts w:ascii="Times New Roman" w:eastAsia="Times New Roman" w:hAnsi="Times New Roman" w:cs="Times New Roman"/>
          <w:b/>
          <w:bCs/>
          <w:sz w:val="36"/>
          <w:szCs w:val="36"/>
          <w:lang w:val="es-ES_tradnl"/>
        </w:rPr>
        <w:t>References</w:t>
      </w:r>
    </w:p>
    <w:p w14:paraId="2083B6D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lang w:val="es-ES_tradnl"/>
        </w:rPr>
        <w:t xml:space="preserve">Abernathy, J. L., Beyer, B., &amp; Rapley, E. T. (2014). </w:t>
      </w:r>
      <w:r w:rsidRPr="00197BB6">
        <w:rPr>
          <w:rFonts w:ascii="Times New Roman" w:eastAsia="Times New Roman" w:hAnsi="Times New Roman" w:cs="Times New Roman"/>
          <w:sz w:val="24"/>
          <w:szCs w:val="24"/>
        </w:rPr>
        <w:t xml:space="preserve">Earnings management constraints and classification shifting. </w:t>
      </w:r>
      <w:r w:rsidRPr="00197BB6">
        <w:rPr>
          <w:rFonts w:ascii="Times New Roman" w:eastAsia="Times New Roman" w:hAnsi="Times New Roman" w:cs="Times New Roman"/>
          <w:i/>
          <w:iCs/>
          <w:sz w:val="24"/>
          <w:szCs w:val="24"/>
        </w:rPr>
        <w:t>Journal of Business Finance and Accounting</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41</w:t>
      </w:r>
      <w:r w:rsidRPr="00197BB6">
        <w:rPr>
          <w:rFonts w:ascii="Times New Roman" w:eastAsia="Times New Roman" w:hAnsi="Times New Roman" w:cs="Times New Roman"/>
          <w:sz w:val="24"/>
          <w:szCs w:val="24"/>
        </w:rPr>
        <w:t xml:space="preserve">(5), 600–626. </w:t>
      </w:r>
    </w:p>
    <w:p w14:paraId="780B388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Abou-El-Sood, H. (2021). Board gender diversity, power, and bank risk taking. </w:t>
      </w:r>
      <w:r w:rsidRPr="00197BB6">
        <w:rPr>
          <w:rFonts w:ascii="Times New Roman" w:eastAsia="Times New Roman" w:hAnsi="Times New Roman" w:cs="Times New Roman"/>
          <w:i/>
          <w:iCs/>
          <w:sz w:val="24"/>
          <w:szCs w:val="24"/>
        </w:rPr>
        <w:t>International Review of Financial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75</w:t>
      </w:r>
      <w:r w:rsidRPr="00197BB6">
        <w:rPr>
          <w:rFonts w:ascii="Times New Roman" w:eastAsia="Times New Roman" w:hAnsi="Times New Roman" w:cs="Times New Roman"/>
          <w:sz w:val="24"/>
          <w:szCs w:val="24"/>
        </w:rPr>
        <w:t>,2-12.</w:t>
      </w:r>
    </w:p>
    <w:p w14:paraId="6183FFE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B., &amp; Ferreira, D. (2007). A theory of friendly boards. </w:t>
      </w:r>
      <w:r w:rsidRPr="00197BB6">
        <w:rPr>
          <w:rFonts w:ascii="Times New Roman" w:eastAsia="Times New Roman" w:hAnsi="Times New Roman" w:cs="Times New Roman"/>
          <w:i/>
          <w:iCs/>
          <w:sz w:val="24"/>
          <w:szCs w:val="24"/>
        </w:rPr>
        <w:t>Journal of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62</w:t>
      </w:r>
      <w:r w:rsidRPr="00197BB6">
        <w:rPr>
          <w:rFonts w:ascii="Times New Roman" w:eastAsia="Times New Roman" w:hAnsi="Times New Roman" w:cs="Times New Roman"/>
          <w:sz w:val="24"/>
          <w:szCs w:val="24"/>
        </w:rPr>
        <w:t xml:space="preserve">(1), 217–250. </w:t>
      </w:r>
    </w:p>
    <w:p w14:paraId="1FFE67E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B., &amp; Ferreira, D. (2009). Women in the boardroom and their impact on governance and performance.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94</w:t>
      </w:r>
      <w:r w:rsidRPr="00197BB6">
        <w:rPr>
          <w:rFonts w:ascii="Times New Roman" w:eastAsia="Times New Roman" w:hAnsi="Times New Roman" w:cs="Times New Roman"/>
          <w:sz w:val="24"/>
          <w:szCs w:val="24"/>
        </w:rPr>
        <w:t xml:space="preserve">(2), 291–309. </w:t>
      </w:r>
    </w:p>
    <w:p w14:paraId="7DE4572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B., &amp; Funk, P. (2012). Beyond the glass ceiling: Does gender matter? </w:t>
      </w:r>
      <w:r w:rsidRPr="00197BB6">
        <w:rPr>
          <w:rFonts w:ascii="Times New Roman" w:eastAsia="Times New Roman" w:hAnsi="Times New Roman" w:cs="Times New Roman"/>
          <w:i/>
          <w:iCs/>
          <w:sz w:val="24"/>
          <w:szCs w:val="24"/>
        </w:rPr>
        <w:t>Management Science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58</w:t>
      </w:r>
      <w:r w:rsidRPr="00197BB6">
        <w:rPr>
          <w:rFonts w:ascii="Times New Roman" w:eastAsia="Times New Roman" w:hAnsi="Times New Roman" w:cs="Times New Roman"/>
          <w:sz w:val="24"/>
          <w:szCs w:val="24"/>
        </w:rPr>
        <w:t xml:space="preserve">(2), 219–235. </w:t>
      </w:r>
    </w:p>
    <w:p w14:paraId="3BF0CF1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B., &amp; Mehran, H. (2012). Bank board structure and performance: Evidence for large bank holding companies. </w:t>
      </w:r>
      <w:r w:rsidRPr="00197BB6">
        <w:rPr>
          <w:rFonts w:ascii="Times New Roman" w:eastAsia="Times New Roman" w:hAnsi="Times New Roman" w:cs="Times New Roman"/>
          <w:i/>
          <w:iCs/>
          <w:sz w:val="24"/>
          <w:szCs w:val="24"/>
        </w:rPr>
        <w:t>Journal of Financial Intermediation</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21</w:t>
      </w:r>
      <w:r w:rsidRPr="00197BB6">
        <w:rPr>
          <w:rFonts w:ascii="Times New Roman" w:eastAsia="Times New Roman" w:hAnsi="Times New Roman" w:cs="Times New Roman"/>
          <w:sz w:val="24"/>
          <w:szCs w:val="24"/>
        </w:rPr>
        <w:t xml:space="preserve">(2), 243–267. </w:t>
      </w:r>
    </w:p>
    <w:p w14:paraId="204536F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B., &amp; Ragunathan, V. (2017). Lehman Sisters. </w:t>
      </w:r>
      <w:r w:rsidRPr="00197BB6">
        <w:rPr>
          <w:rFonts w:ascii="Times New Roman" w:eastAsia="Times New Roman" w:hAnsi="Times New Roman" w:cs="Times New Roman"/>
          <w:i/>
          <w:iCs/>
          <w:sz w:val="24"/>
          <w:szCs w:val="24"/>
        </w:rPr>
        <w:t>SSRN Electronic Journal</w:t>
      </w:r>
      <w:r w:rsidRPr="00197BB6">
        <w:rPr>
          <w:rFonts w:ascii="Times New Roman" w:eastAsia="Times New Roman" w:hAnsi="Times New Roman" w:cs="Times New Roman"/>
          <w:sz w:val="24"/>
          <w:szCs w:val="24"/>
        </w:rPr>
        <w:t>. https://doi.org/10.2139/ssrn.3046451</w:t>
      </w:r>
    </w:p>
    <w:p w14:paraId="1A5A6F82"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Adams, R., &amp; Funk, P. (2011). </w:t>
      </w:r>
      <w:r w:rsidRPr="00197BB6">
        <w:rPr>
          <w:rFonts w:ascii="Times New Roman" w:eastAsia="Times New Roman" w:hAnsi="Times New Roman" w:cs="Times New Roman"/>
          <w:i/>
          <w:iCs/>
          <w:sz w:val="24"/>
          <w:szCs w:val="24"/>
        </w:rPr>
        <w:t>Beyond the Glass Ceiling: Does Gender Matter?</w:t>
      </w:r>
      <w:r w:rsidRPr="00197BB6">
        <w:rPr>
          <w:rFonts w:ascii="Times New Roman" w:eastAsia="Times New Roman" w:hAnsi="Times New Roman" w:cs="Times New Roman"/>
          <w:sz w:val="24"/>
          <w:szCs w:val="24"/>
        </w:rPr>
        <w:t xml:space="preserve"> http://ssrn.com/abstract_id=1475152www.ecgi.org/wp</w:t>
      </w:r>
    </w:p>
    <w:p w14:paraId="1A749689"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lang w:val="it-IT"/>
        </w:rPr>
        <w:t xml:space="preserve">Aebi, V., Sabato, G., &amp; Schmid, M. (2012). </w:t>
      </w:r>
      <w:r w:rsidRPr="00197BB6">
        <w:rPr>
          <w:rFonts w:ascii="Times New Roman" w:eastAsia="Times New Roman" w:hAnsi="Times New Roman" w:cs="Times New Roman"/>
          <w:sz w:val="24"/>
          <w:szCs w:val="24"/>
        </w:rPr>
        <w:t xml:space="preserve">Risk management, corporate governance, and bank performance in the financial crisis. </w:t>
      </w:r>
      <w:r w:rsidRPr="00197BB6">
        <w:rPr>
          <w:rFonts w:ascii="Times New Roman" w:eastAsia="Times New Roman" w:hAnsi="Times New Roman" w:cs="Times New Roman"/>
          <w:i/>
          <w:iCs/>
          <w:sz w:val="24"/>
          <w:szCs w:val="24"/>
        </w:rPr>
        <w:t>Journal of Banking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36</w:t>
      </w:r>
      <w:r w:rsidRPr="00197BB6">
        <w:rPr>
          <w:rFonts w:ascii="Times New Roman" w:eastAsia="Times New Roman" w:hAnsi="Times New Roman" w:cs="Times New Roman"/>
          <w:sz w:val="24"/>
          <w:szCs w:val="24"/>
        </w:rPr>
        <w:t xml:space="preserve">(12), 3213–3226. </w:t>
      </w:r>
    </w:p>
    <w:p w14:paraId="05BFC41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Agarwal, S., Wang, F. H., &amp; Wang, F. (2009). </w:t>
      </w:r>
      <w:r w:rsidRPr="00197BB6">
        <w:rPr>
          <w:rFonts w:ascii="Times New Roman" w:eastAsia="Times New Roman" w:hAnsi="Times New Roman" w:cs="Times New Roman"/>
          <w:i/>
          <w:iCs/>
          <w:sz w:val="24"/>
          <w:szCs w:val="24"/>
        </w:rPr>
        <w:t>Perverse Incentives at the Banks? Evidence from a Natural Experiment</w:t>
      </w:r>
      <w:r w:rsidRPr="00197BB6">
        <w:rPr>
          <w:rFonts w:ascii="Times New Roman" w:eastAsia="Times New Roman" w:hAnsi="Times New Roman" w:cs="Times New Roman"/>
          <w:sz w:val="24"/>
          <w:szCs w:val="24"/>
        </w:rPr>
        <w:t>.</w:t>
      </w:r>
    </w:p>
    <w:p w14:paraId="28D344C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Ahern, K. R., &amp; Dittmar, A. K. (2012). The changing of the boards: The impact on firm valuation of mandated female board representation. </w:t>
      </w:r>
      <w:r w:rsidRPr="00197BB6">
        <w:rPr>
          <w:rFonts w:ascii="Times New Roman" w:eastAsia="Times New Roman" w:hAnsi="Times New Roman" w:cs="Times New Roman"/>
          <w:i/>
          <w:iCs/>
          <w:sz w:val="24"/>
          <w:szCs w:val="24"/>
        </w:rPr>
        <w:t>Quarterly Journal of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127</w:t>
      </w:r>
      <w:r w:rsidRPr="00197BB6">
        <w:rPr>
          <w:rFonts w:ascii="Times New Roman" w:eastAsia="Times New Roman" w:hAnsi="Times New Roman" w:cs="Times New Roman"/>
          <w:sz w:val="24"/>
          <w:szCs w:val="24"/>
        </w:rPr>
        <w:t xml:space="preserve">(1), 137–197. </w:t>
      </w:r>
    </w:p>
    <w:p w14:paraId="4C037C7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Almazan, A., &amp; Suarez, J. (2003). Entrenchment and Severance Pay in Optimal Governance Structures. In </w:t>
      </w:r>
      <w:r w:rsidRPr="00197BB6">
        <w:rPr>
          <w:rFonts w:ascii="Times New Roman" w:eastAsia="Times New Roman" w:hAnsi="Times New Roman" w:cs="Times New Roman"/>
          <w:i/>
          <w:iCs/>
          <w:sz w:val="24"/>
          <w:szCs w:val="24"/>
        </w:rPr>
        <w:t>Journal of Finance</w:t>
      </w:r>
      <w:r w:rsidRPr="00197BB6">
        <w:rPr>
          <w:rFonts w:ascii="Times New Roman" w:eastAsia="Times New Roman" w:hAnsi="Times New Roman" w:cs="Times New Roman"/>
          <w:sz w:val="24"/>
          <w:szCs w:val="24"/>
        </w:rPr>
        <w:t xml:space="preserve">, 58(2), 519–548. </w:t>
      </w:r>
    </w:p>
    <w:p w14:paraId="3CCB7F3B"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Ames, D. A., Hines, C. S., &amp; Sankara, J. (2018). Board risk committees: Insurer financial strength ratings and performance. </w:t>
      </w:r>
      <w:r w:rsidRPr="00197BB6">
        <w:rPr>
          <w:rFonts w:ascii="Times New Roman" w:eastAsia="Times New Roman" w:hAnsi="Times New Roman" w:cs="Times New Roman"/>
          <w:i/>
          <w:iCs/>
          <w:sz w:val="24"/>
          <w:szCs w:val="24"/>
        </w:rPr>
        <w:t>Journal of Accounting and Public Policy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37</w:t>
      </w:r>
      <w:r w:rsidRPr="00197BB6">
        <w:rPr>
          <w:rFonts w:ascii="Times New Roman" w:eastAsia="Times New Roman" w:hAnsi="Times New Roman" w:cs="Times New Roman"/>
          <w:sz w:val="24"/>
          <w:szCs w:val="24"/>
        </w:rPr>
        <w:t xml:space="preserve">(2), 130–145. </w:t>
      </w:r>
    </w:p>
    <w:p w14:paraId="65DCE0A2"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Annette, M. (2011). From Counting Risk to Making Risk Count: Boundary-Work in Risk Managment. </w:t>
      </w:r>
      <w:r w:rsidRPr="00197BB6">
        <w:rPr>
          <w:rFonts w:ascii="Times New Roman" w:eastAsia="Times New Roman" w:hAnsi="Times New Roman" w:cs="Times New Roman"/>
          <w:i/>
          <w:iCs/>
          <w:sz w:val="24"/>
          <w:szCs w:val="24"/>
        </w:rPr>
        <w:t>Harvard Business School</w:t>
      </w:r>
      <w:r w:rsidRPr="00197BB6">
        <w:rPr>
          <w:rFonts w:ascii="Times New Roman" w:eastAsia="Times New Roman" w:hAnsi="Times New Roman" w:cs="Times New Roman"/>
          <w:sz w:val="24"/>
          <w:szCs w:val="24"/>
        </w:rPr>
        <w:t>.</w:t>
      </w:r>
    </w:p>
    <w:p w14:paraId="65A29DC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Arena, M. P., &amp; Braga-Alves, M. V. (2013). The discretionary effect of CEOs and board chairs on corporate governance structures. </w:t>
      </w:r>
      <w:r w:rsidRPr="00197BB6">
        <w:rPr>
          <w:rFonts w:ascii="Times New Roman" w:eastAsia="Times New Roman" w:hAnsi="Times New Roman" w:cs="Times New Roman"/>
          <w:i/>
          <w:iCs/>
          <w:sz w:val="24"/>
          <w:szCs w:val="24"/>
        </w:rPr>
        <w:t>Journal of Empirical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21</w:t>
      </w:r>
      <w:r w:rsidRPr="00197BB6">
        <w:rPr>
          <w:rFonts w:ascii="Times New Roman" w:eastAsia="Times New Roman" w:hAnsi="Times New Roman" w:cs="Times New Roman"/>
          <w:sz w:val="24"/>
          <w:szCs w:val="24"/>
        </w:rPr>
        <w:t xml:space="preserve">(1), 121–131. </w:t>
      </w:r>
    </w:p>
    <w:p w14:paraId="2A8B25C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Arnaboldi, F., Casu, B., Gallo, A., Kalotychou, E., &amp; Sarkisyan, A. (2021). Gender diversity and bank misconduct.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71,</w:t>
      </w:r>
      <w:r w:rsidRPr="00197BB6">
        <w:rPr>
          <w:rFonts w:ascii="Times New Roman" w:eastAsia="Times New Roman" w:hAnsi="Times New Roman" w:cs="Times New Roman"/>
          <w:sz w:val="24"/>
          <w:szCs w:val="24"/>
        </w:rPr>
        <w:t>2-30.</w:t>
      </w:r>
    </w:p>
    <w:p w14:paraId="3735C26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Atif, M., Hossain, M., Alam, M. S., &amp; Goergen, M. (2021). Does board gender diversity affect renewable energy consumption?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66</w:t>
      </w:r>
      <w:r w:rsidRPr="00197BB6">
        <w:rPr>
          <w:rFonts w:ascii="Times New Roman" w:eastAsia="Times New Roman" w:hAnsi="Times New Roman" w:cs="Times New Roman"/>
          <w:sz w:val="24"/>
          <w:szCs w:val="24"/>
        </w:rPr>
        <w:t>,2-29.</w:t>
      </w:r>
    </w:p>
    <w:p w14:paraId="247095B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Atkinson, S. M., Baird, S. B., &amp; Frye, M. B. (2004). Do female mutual fund managers manage differently? </w:t>
      </w:r>
      <w:r w:rsidRPr="00197BB6">
        <w:rPr>
          <w:rFonts w:ascii="Times New Roman" w:eastAsia="Times New Roman" w:hAnsi="Times New Roman" w:cs="Times New Roman"/>
          <w:i/>
          <w:iCs/>
          <w:sz w:val="24"/>
          <w:szCs w:val="24"/>
        </w:rPr>
        <w:t>Oxford Bulletin of Economics and Statistics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66</w:t>
      </w:r>
      <w:r w:rsidRPr="00197BB6">
        <w:rPr>
          <w:rFonts w:ascii="Times New Roman" w:eastAsia="Times New Roman" w:hAnsi="Times New Roman" w:cs="Times New Roman"/>
          <w:sz w:val="24"/>
          <w:szCs w:val="24"/>
        </w:rPr>
        <w:t>(5),1-18</w:t>
      </w:r>
    </w:p>
    <w:p w14:paraId="0E2D016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Balasubramanyan, L., Daniel, N. D., Haubrich, J. G., &amp; Naveen, L. (2019). </w:t>
      </w:r>
      <w:r w:rsidRPr="00197BB6">
        <w:rPr>
          <w:rFonts w:ascii="Times New Roman" w:eastAsia="Times New Roman" w:hAnsi="Times New Roman" w:cs="Times New Roman"/>
          <w:i/>
          <w:iCs/>
          <w:sz w:val="24"/>
          <w:szCs w:val="24"/>
        </w:rPr>
        <w:t>Causal Impact of Risk Oversight Functions on Bank Risk: Evidence from a Natural Experiment</w:t>
      </w:r>
      <w:r w:rsidRPr="00197BB6">
        <w:rPr>
          <w:rFonts w:ascii="Times New Roman" w:eastAsia="Times New Roman" w:hAnsi="Times New Roman" w:cs="Times New Roman"/>
          <w:sz w:val="24"/>
          <w:szCs w:val="24"/>
        </w:rPr>
        <w:t xml:space="preserve">. </w:t>
      </w:r>
    </w:p>
    <w:p w14:paraId="6F9A7C9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lang w:val="de-DE"/>
        </w:rPr>
        <w:t xml:space="preserve">Barber, B. M., &amp; Odean, T. (2001). </w:t>
      </w:r>
      <w:r w:rsidRPr="00197BB6">
        <w:rPr>
          <w:rFonts w:ascii="Times New Roman" w:eastAsia="Times New Roman" w:hAnsi="Times New Roman" w:cs="Times New Roman"/>
          <w:sz w:val="24"/>
          <w:szCs w:val="24"/>
        </w:rPr>
        <w:t xml:space="preserve">Boys will be boys: Gender, overconfidence, and common stock investment. </w:t>
      </w:r>
      <w:r w:rsidRPr="00197BB6">
        <w:rPr>
          <w:rFonts w:ascii="Times New Roman" w:eastAsia="Times New Roman" w:hAnsi="Times New Roman" w:cs="Times New Roman"/>
          <w:i/>
          <w:iCs/>
          <w:sz w:val="24"/>
          <w:szCs w:val="24"/>
        </w:rPr>
        <w:t>Quarterly Journal of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116</w:t>
      </w:r>
      <w:r w:rsidRPr="00197BB6">
        <w:rPr>
          <w:rFonts w:ascii="Times New Roman" w:eastAsia="Times New Roman" w:hAnsi="Times New Roman" w:cs="Times New Roman"/>
          <w:sz w:val="24"/>
          <w:szCs w:val="24"/>
        </w:rPr>
        <w:t xml:space="preserve">(1), 261–292. </w:t>
      </w:r>
    </w:p>
    <w:p w14:paraId="14A9A57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Barker, V. L., &amp; Barr, P. S. (2002). Linking top manager attributions to strategic reorientation in declining firms attempting turnarounds. </w:t>
      </w:r>
      <w:r w:rsidRPr="00197BB6">
        <w:rPr>
          <w:rFonts w:ascii="Times New Roman" w:eastAsia="Times New Roman" w:hAnsi="Times New Roman" w:cs="Times New Roman"/>
          <w:i/>
          <w:iCs/>
          <w:sz w:val="24"/>
          <w:szCs w:val="24"/>
        </w:rPr>
        <w:t>Journal of Business Research</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55</w:t>
      </w:r>
      <w:r w:rsidRPr="00197BB6">
        <w:rPr>
          <w:rFonts w:ascii="Times New Roman" w:eastAsia="Times New Roman" w:hAnsi="Times New Roman" w:cs="Times New Roman"/>
          <w:sz w:val="24"/>
          <w:szCs w:val="24"/>
        </w:rPr>
        <w:t xml:space="preserve">(12), 963–979. </w:t>
      </w:r>
    </w:p>
    <w:p w14:paraId="4B3D712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Basle Committee on Banking Supervision., &amp; Bank for International Settlements. (2010). </w:t>
      </w:r>
      <w:r w:rsidRPr="00197BB6">
        <w:rPr>
          <w:rFonts w:ascii="Times New Roman" w:eastAsia="Times New Roman" w:hAnsi="Times New Roman" w:cs="Times New Roman"/>
          <w:i/>
          <w:iCs/>
          <w:sz w:val="24"/>
          <w:szCs w:val="24"/>
        </w:rPr>
        <w:t>The Basel Committee's response to the financial crisis : Report to the G20</w:t>
      </w:r>
      <w:r w:rsidRPr="00197BB6">
        <w:rPr>
          <w:rFonts w:ascii="Times New Roman" w:eastAsia="Times New Roman" w:hAnsi="Times New Roman" w:cs="Times New Roman"/>
          <w:sz w:val="24"/>
          <w:szCs w:val="24"/>
        </w:rPr>
        <w:t xml:space="preserve">. Bank for International Settlements, 1–15. </w:t>
      </w:r>
    </w:p>
    <w:p w14:paraId="0F2B352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Beasley, M. S., Clune, R., &amp; Hermanson, D. R. (2005). Enterprise risk management: An empirical analysis of factors associated with the extent of implementation. </w:t>
      </w:r>
      <w:r w:rsidRPr="00197BB6">
        <w:rPr>
          <w:rFonts w:ascii="Times New Roman" w:eastAsia="Times New Roman" w:hAnsi="Times New Roman" w:cs="Times New Roman"/>
          <w:i/>
          <w:iCs/>
          <w:sz w:val="24"/>
          <w:szCs w:val="24"/>
        </w:rPr>
        <w:t>Journal of Accounting and Public Policy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24</w:t>
      </w:r>
      <w:r w:rsidRPr="00197BB6">
        <w:rPr>
          <w:rFonts w:ascii="Times New Roman" w:eastAsia="Times New Roman" w:hAnsi="Times New Roman" w:cs="Times New Roman"/>
          <w:sz w:val="24"/>
          <w:szCs w:val="24"/>
        </w:rPr>
        <w:t xml:space="preserve">(6), 521–531. </w:t>
      </w:r>
    </w:p>
    <w:p w14:paraId="07A3957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Beasley, M., &amp; Warr, R. (2007). </w:t>
      </w:r>
      <w:r w:rsidRPr="00197BB6">
        <w:rPr>
          <w:rFonts w:ascii="Times New Roman" w:eastAsia="Times New Roman" w:hAnsi="Times New Roman" w:cs="Times New Roman"/>
          <w:i/>
          <w:iCs/>
          <w:sz w:val="24"/>
          <w:szCs w:val="24"/>
        </w:rPr>
        <w:t>Information Conveyed in Hiring Announcements of Senior Executives Overseeing Enterprise-Wide Risk Management Processes</w:t>
      </w:r>
      <w:r w:rsidRPr="00197BB6">
        <w:rPr>
          <w:rFonts w:ascii="Times New Roman" w:eastAsia="Times New Roman" w:hAnsi="Times New Roman" w:cs="Times New Roman"/>
          <w:sz w:val="24"/>
          <w:szCs w:val="24"/>
        </w:rPr>
        <w:t>.</w:t>
      </w:r>
    </w:p>
    <w:p w14:paraId="29A94D06"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Beasley, M., Pagach, D., &amp; Warr, R. (2008). Information conveyed in hiring announcements of senior executives overseeing enterprise-wide risk management processes. </w:t>
      </w:r>
      <w:r w:rsidRPr="00197BB6">
        <w:rPr>
          <w:rFonts w:ascii="Times New Roman" w:eastAsia="Times New Roman" w:hAnsi="Times New Roman" w:cs="Times New Roman"/>
          <w:i/>
          <w:iCs/>
          <w:sz w:val="24"/>
          <w:szCs w:val="24"/>
        </w:rPr>
        <w:t>Journal of Accounting, Auditing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23</w:t>
      </w:r>
      <w:r w:rsidRPr="00197BB6">
        <w:rPr>
          <w:rFonts w:ascii="Times New Roman" w:eastAsia="Times New Roman" w:hAnsi="Times New Roman" w:cs="Times New Roman"/>
          <w:sz w:val="24"/>
          <w:szCs w:val="24"/>
        </w:rPr>
        <w:t xml:space="preserve">(3), 311–332. </w:t>
      </w:r>
    </w:p>
    <w:p w14:paraId="5EFC9666"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Beck, T., Behr, P., &amp; Guettler, A. (2013). Gender and banking: Are women better loan officers? </w:t>
      </w:r>
      <w:r w:rsidRPr="00197BB6">
        <w:rPr>
          <w:rFonts w:ascii="Times New Roman" w:eastAsia="Times New Roman" w:hAnsi="Times New Roman" w:cs="Times New Roman"/>
          <w:i/>
          <w:iCs/>
          <w:sz w:val="24"/>
          <w:szCs w:val="24"/>
        </w:rPr>
        <w:t>Review of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17</w:t>
      </w:r>
      <w:r w:rsidRPr="00197BB6">
        <w:rPr>
          <w:rFonts w:ascii="Times New Roman" w:eastAsia="Times New Roman" w:hAnsi="Times New Roman" w:cs="Times New Roman"/>
          <w:sz w:val="24"/>
          <w:szCs w:val="24"/>
        </w:rPr>
        <w:t xml:space="preserve">(4), 1279–1321. </w:t>
      </w:r>
    </w:p>
    <w:p w14:paraId="1B22C23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Bellucci, A., Borisov, A., &amp; Zazzaro, A. (2010). Does gender matter in bank-firm relationships? Evidence from small business lending. </w:t>
      </w:r>
      <w:r w:rsidRPr="00197BB6">
        <w:rPr>
          <w:rFonts w:ascii="Times New Roman" w:eastAsia="Times New Roman" w:hAnsi="Times New Roman" w:cs="Times New Roman"/>
          <w:i/>
          <w:iCs/>
          <w:sz w:val="24"/>
          <w:szCs w:val="24"/>
        </w:rPr>
        <w:t>Journal of Banking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(12), 2968–2984. </w:t>
      </w:r>
    </w:p>
    <w:p w14:paraId="1F826951"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Benmelech, E., &amp; Frydman, C. (2015). Military CEOs.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117</w:t>
      </w:r>
      <w:r w:rsidRPr="00197BB6">
        <w:rPr>
          <w:rFonts w:ascii="Times New Roman" w:eastAsia="Times New Roman" w:hAnsi="Times New Roman" w:cs="Times New Roman"/>
          <w:sz w:val="24"/>
          <w:szCs w:val="24"/>
        </w:rPr>
        <w:t>(1), 43–59.</w:t>
      </w:r>
    </w:p>
    <w:p w14:paraId="690F030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Berger, A. N., Kick, T., &amp; Schaeck, K. (2014). Executive board composition and bank risk taking.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28</w:t>
      </w:r>
      <w:r w:rsidRPr="00197BB6">
        <w:rPr>
          <w:rFonts w:ascii="Times New Roman" w:eastAsia="Times New Roman" w:hAnsi="Times New Roman" w:cs="Times New Roman"/>
          <w:sz w:val="24"/>
          <w:szCs w:val="24"/>
        </w:rPr>
        <w:t xml:space="preserve">, 48–65. </w:t>
      </w:r>
    </w:p>
    <w:p w14:paraId="7FF3B24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9E69CE">
        <w:rPr>
          <w:rFonts w:ascii="Times New Roman" w:eastAsia="Times New Roman" w:hAnsi="Times New Roman" w:cs="Times New Roman"/>
          <w:sz w:val="24"/>
          <w:szCs w:val="24"/>
          <w:lang w:val="de-DE"/>
        </w:rPr>
        <w:t xml:space="preserve">Bertrand, M. ;Schoar A. (2003). </w:t>
      </w:r>
      <w:r w:rsidRPr="00197BB6">
        <w:rPr>
          <w:rFonts w:ascii="Times New Roman" w:eastAsia="Times New Roman" w:hAnsi="Times New Roman" w:cs="Times New Roman"/>
          <w:sz w:val="24"/>
          <w:szCs w:val="24"/>
        </w:rPr>
        <w:t xml:space="preserve">Managing with style: The effects of managers on firm policies. </w:t>
      </w:r>
      <w:r w:rsidRPr="00197BB6">
        <w:rPr>
          <w:rFonts w:ascii="Times New Roman" w:eastAsia="Times New Roman" w:hAnsi="Times New Roman" w:cs="Times New Roman"/>
          <w:i/>
          <w:iCs/>
          <w:sz w:val="24"/>
          <w:szCs w:val="24"/>
        </w:rPr>
        <w:t>The Quarterly Journal of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CXVIII</w:t>
      </w:r>
      <w:r w:rsidRPr="00197BB6">
        <w:rPr>
          <w:rFonts w:ascii="Times New Roman" w:eastAsia="Times New Roman" w:hAnsi="Times New Roman" w:cs="Times New Roman"/>
          <w:sz w:val="24"/>
          <w:szCs w:val="24"/>
        </w:rPr>
        <w:t>(4), 1169–1208.</w:t>
      </w:r>
    </w:p>
    <w:p w14:paraId="430C2BD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Bliss, Richard T;Potter, M. E. (2002). Bliss n Potter_2002. </w:t>
      </w:r>
      <w:r w:rsidRPr="00197BB6">
        <w:rPr>
          <w:rFonts w:ascii="Times New Roman" w:eastAsia="Times New Roman" w:hAnsi="Times New Roman" w:cs="Times New Roman"/>
          <w:i/>
          <w:iCs/>
          <w:sz w:val="24"/>
          <w:szCs w:val="24"/>
        </w:rPr>
        <w:t>Journal of Business and Economic Studies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8</w:t>
      </w:r>
      <w:r w:rsidRPr="00197BB6">
        <w:rPr>
          <w:rFonts w:ascii="Times New Roman" w:eastAsia="Times New Roman" w:hAnsi="Times New Roman" w:cs="Times New Roman"/>
          <w:sz w:val="24"/>
          <w:szCs w:val="24"/>
        </w:rPr>
        <w:t>(1), 1–15.</w:t>
      </w:r>
    </w:p>
    <w:p w14:paraId="44FB626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lang w:val="fr-FR"/>
        </w:rPr>
        <w:t xml:space="preserve">Cain, M. D., &amp; McKeon, S. B. (2016). </w:t>
      </w:r>
      <w:r w:rsidRPr="00197BB6">
        <w:rPr>
          <w:rFonts w:ascii="Times New Roman" w:eastAsia="Times New Roman" w:hAnsi="Times New Roman" w:cs="Times New Roman"/>
          <w:sz w:val="24"/>
          <w:szCs w:val="24"/>
        </w:rPr>
        <w:t xml:space="preserve">CEO Personal Risk-Taking and Corporate Policies. </w:t>
      </w:r>
      <w:r w:rsidRPr="00197BB6">
        <w:rPr>
          <w:rFonts w:ascii="Times New Roman" w:eastAsia="Times New Roman" w:hAnsi="Times New Roman" w:cs="Times New Roman"/>
          <w:i/>
          <w:iCs/>
          <w:sz w:val="24"/>
          <w:szCs w:val="24"/>
        </w:rPr>
        <w:t>Journal of Financial and Quantitative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51</w:t>
      </w:r>
      <w:r w:rsidRPr="00197BB6">
        <w:rPr>
          <w:rFonts w:ascii="Times New Roman" w:eastAsia="Times New Roman" w:hAnsi="Times New Roman" w:cs="Times New Roman"/>
          <w:sz w:val="24"/>
          <w:szCs w:val="24"/>
        </w:rPr>
        <w:t xml:space="preserve">(1), 139–164. </w:t>
      </w:r>
    </w:p>
    <w:p w14:paraId="7AF9D35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Campbell, J. T., Campbell, T. C., Sirmon, D. G., Bierman, L., &amp; Tuggle, C. S. (2012). Shareholder influence over director nomination via proxy access: Implications for agency conflict and stakeholder value. </w:t>
      </w:r>
      <w:r w:rsidRPr="00197BB6">
        <w:rPr>
          <w:rFonts w:ascii="Times New Roman" w:eastAsia="Times New Roman" w:hAnsi="Times New Roman" w:cs="Times New Roman"/>
          <w:i/>
          <w:iCs/>
          <w:sz w:val="24"/>
          <w:szCs w:val="24"/>
        </w:rPr>
        <w:t>Strategic Management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33</w:t>
      </w:r>
      <w:r w:rsidRPr="00197BB6">
        <w:rPr>
          <w:rFonts w:ascii="Times New Roman" w:eastAsia="Times New Roman" w:hAnsi="Times New Roman" w:cs="Times New Roman"/>
          <w:sz w:val="24"/>
          <w:szCs w:val="24"/>
        </w:rPr>
        <w:t xml:space="preserve">(12), 1431–1451. </w:t>
      </w:r>
    </w:p>
    <w:p w14:paraId="5D2DA1F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Caprio, G., Laeven, L., &amp; Levine, R. (2007). Governance and bank valuation. </w:t>
      </w:r>
      <w:r w:rsidRPr="00197BB6">
        <w:rPr>
          <w:rFonts w:ascii="Times New Roman" w:eastAsia="Times New Roman" w:hAnsi="Times New Roman" w:cs="Times New Roman"/>
          <w:i/>
          <w:iCs/>
          <w:sz w:val="24"/>
          <w:szCs w:val="24"/>
        </w:rPr>
        <w:t>Journal of Financial Intermediation</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16</w:t>
      </w:r>
      <w:r w:rsidRPr="00197BB6">
        <w:rPr>
          <w:rFonts w:ascii="Times New Roman" w:eastAsia="Times New Roman" w:hAnsi="Times New Roman" w:cs="Times New Roman"/>
          <w:sz w:val="24"/>
          <w:szCs w:val="24"/>
        </w:rPr>
        <w:t xml:space="preserve">(4), 584–617. </w:t>
      </w:r>
    </w:p>
    <w:p w14:paraId="3AABA08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Carter, M. E., Franco, F., &amp; Gine, M. (2017). Executive Gender Pay Gaps: The Roles of Female Risk Aversion and Board Representation. </w:t>
      </w:r>
      <w:r w:rsidRPr="00197BB6">
        <w:rPr>
          <w:rFonts w:ascii="Times New Roman" w:eastAsia="Times New Roman" w:hAnsi="Times New Roman" w:cs="Times New Roman"/>
          <w:i/>
          <w:iCs/>
          <w:sz w:val="24"/>
          <w:szCs w:val="24"/>
        </w:rPr>
        <w:t>Contemporary Accounting Research</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(2), 1232–1264. </w:t>
      </w:r>
    </w:p>
    <w:p w14:paraId="653B2BEB"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Charness, G., &amp; Gneezy, U. (2012). Strong Evidence for Gender Differences in Risk Taking. </w:t>
      </w:r>
      <w:r w:rsidRPr="00197BB6">
        <w:rPr>
          <w:rFonts w:ascii="Times New Roman" w:eastAsia="Times New Roman" w:hAnsi="Times New Roman" w:cs="Times New Roman"/>
          <w:i/>
          <w:iCs/>
          <w:sz w:val="24"/>
          <w:szCs w:val="24"/>
        </w:rPr>
        <w:t>Journal of Economic Behavior and Organization</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83</w:t>
      </w:r>
      <w:r w:rsidRPr="00197BB6">
        <w:rPr>
          <w:rFonts w:ascii="Times New Roman" w:eastAsia="Times New Roman" w:hAnsi="Times New Roman" w:cs="Times New Roman"/>
          <w:sz w:val="24"/>
          <w:szCs w:val="24"/>
        </w:rPr>
        <w:t xml:space="preserve">(1), 50–58. </w:t>
      </w:r>
    </w:p>
    <w:p w14:paraId="2A10C96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Chen, J., Leung, W. S., &amp; Goergen, M. (2017). The impact of board gender composition on dividend pay-outs.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43</w:t>
      </w:r>
      <w:r w:rsidRPr="00197BB6">
        <w:rPr>
          <w:rFonts w:ascii="Times New Roman" w:eastAsia="Times New Roman" w:hAnsi="Times New Roman" w:cs="Times New Roman"/>
          <w:sz w:val="24"/>
          <w:szCs w:val="24"/>
        </w:rPr>
        <w:t xml:space="preserve">, 86–105. </w:t>
      </w:r>
    </w:p>
    <w:p w14:paraId="610AADD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Chizema, A., Kamuriwo, D. S., &amp; Shinozawa, Y. (2015). Women on corporate boards around the world: Triggers and barriers. </w:t>
      </w:r>
      <w:r w:rsidRPr="00197BB6">
        <w:rPr>
          <w:rFonts w:ascii="Times New Roman" w:eastAsia="Times New Roman" w:hAnsi="Times New Roman" w:cs="Times New Roman"/>
          <w:i/>
          <w:iCs/>
          <w:sz w:val="24"/>
          <w:szCs w:val="24"/>
        </w:rPr>
        <w:t>Leadership Quarterly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26</w:t>
      </w:r>
      <w:r w:rsidRPr="00197BB6">
        <w:rPr>
          <w:rFonts w:ascii="Times New Roman" w:eastAsia="Times New Roman" w:hAnsi="Times New Roman" w:cs="Times New Roman"/>
          <w:sz w:val="24"/>
          <w:szCs w:val="24"/>
        </w:rPr>
        <w:t xml:space="preserve">(6), 1051–1065. </w:t>
      </w:r>
    </w:p>
    <w:p w14:paraId="71BBC08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Cline, B. N., Walkling, R. A., &amp; Yore, A. S. (2018). The consequences of managerial indiscretions: Sex, lies, and firm value.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127</w:t>
      </w:r>
      <w:r w:rsidRPr="00197BB6">
        <w:rPr>
          <w:rFonts w:ascii="Times New Roman" w:eastAsia="Times New Roman" w:hAnsi="Times New Roman" w:cs="Times New Roman"/>
          <w:sz w:val="24"/>
          <w:szCs w:val="24"/>
        </w:rPr>
        <w:t xml:space="preserve">(2), 389–415. </w:t>
      </w:r>
    </w:p>
    <w:p w14:paraId="4AD620C9"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Cronqvist, H., Makhija, A. K., &amp; Yonker, S. E. (2012). Behavioral consistency in corporate finance: CEO personal and corporate leverage.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103</w:t>
      </w:r>
      <w:r w:rsidRPr="00197BB6">
        <w:rPr>
          <w:rFonts w:ascii="Times New Roman" w:eastAsia="Times New Roman" w:hAnsi="Times New Roman" w:cs="Times New Roman"/>
          <w:sz w:val="24"/>
          <w:szCs w:val="24"/>
        </w:rPr>
        <w:t xml:space="preserve">(1), 20–40. </w:t>
      </w:r>
    </w:p>
    <w:p w14:paraId="13B490C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Croson, R., &amp; Gneezy, U. (2009). Gender differences in preferences. </w:t>
      </w:r>
      <w:r w:rsidRPr="00197BB6">
        <w:rPr>
          <w:rFonts w:ascii="Times New Roman" w:eastAsia="Times New Roman" w:hAnsi="Times New Roman" w:cs="Times New Roman"/>
          <w:i/>
          <w:iCs/>
          <w:sz w:val="24"/>
          <w:szCs w:val="24"/>
        </w:rPr>
        <w:t>Journal of Economic Literature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47</w:t>
      </w:r>
      <w:r w:rsidRPr="00197BB6">
        <w:rPr>
          <w:rFonts w:ascii="Times New Roman" w:eastAsia="Times New Roman" w:hAnsi="Times New Roman" w:cs="Times New Roman"/>
          <w:sz w:val="24"/>
          <w:szCs w:val="24"/>
        </w:rPr>
        <w:t xml:space="preserve">(2), 448–474. </w:t>
      </w:r>
    </w:p>
    <w:p w14:paraId="11228F9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Cumming, D., Leung, T. Y., &amp; Rui, O. (2015). Gender diversity and securities fraud. </w:t>
      </w:r>
      <w:r w:rsidRPr="00197BB6">
        <w:rPr>
          <w:rFonts w:ascii="Times New Roman" w:eastAsia="Times New Roman" w:hAnsi="Times New Roman" w:cs="Times New Roman"/>
          <w:i/>
          <w:iCs/>
          <w:sz w:val="24"/>
          <w:szCs w:val="24"/>
        </w:rPr>
        <w:t>Academy of Management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58</w:t>
      </w:r>
      <w:r w:rsidRPr="00197BB6">
        <w:rPr>
          <w:rFonts w:ascii="Times New Roman" w:eastAsia="Times New Roman" w:hAnsi="Times New Roman" w:cs="Times New Roman"/>
          <w:sz w:val="24"/>
          <w:szCs w:val="24"/>
        </w:rPr>
        <w:t xml:space="preserve">(5), 1572–1593. </w:t>
      </w:r>
    </w:p>
    <w:p w14:paraId="75EA516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Eckles, D. L., Hoyt, R. E., &amp; Miller, S. M. (2014). The impact of enterprise risk management on the marginal cost of reducing risk: Evidence from the insurance industry. </w:t>
      </w:r>
      <w:r w:rsidRPr="00197BB6">
        <w:rPr>
          <w:rFonts w:ascii="Times New Roman" w:eastAsia="Times New Roman" w:hAnsi="Times New Roman" w:cs="Times New Roman"/>
          <w:i/>
          <w:iCs/>
          <w:sz w:val="24"/>
          <w:szCs w:val="24"/>
        </w:rPr>
        <w:t>Journal of Banking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43</w:t>
      </w:r>
      <w:r w:rsidRPr="00197BB6">
        <w:rPr>
          <w:rFonts w:ascii="Times New Roman" w:eastAsia="Times New Roman" w:hAnsi="Times New Roman" w:cs="Times New Roman"/>
          <w:sz w:val="24"/>
          <w:szCs w:val="24"/>
        </w:rPr>
        <w:t xml:space="preserve">(1), 247–261. </w:t>
      </w:r>
    </w:p>
    <w:p w14:paraId="3942420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Ellul, A., &amp; Yerramilli, V. (2013). Stronger risk controls, lower risk: Evidence from U.S. bank holding companies. </w:t>
      </w:r>
      <w:r w:rsidRPr="00197BB6">
        <w:rPr>
          <w:rFonts w:ascii="Times New Roman" w:eastAsia="Times New Roman" w:hAnsi="Times New Roman" w:cs="Times New Roman"/>
          <w:i/>
          <w:iCs/>
          <w:sz w:val="24"/>
          <w:szCs w:val="24"/>
        </w:rPr>
        <w:t>Journal of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68</w:t>
      </w:r>
      <w:r w:rsidRPr="00197BB6">
        <w:rPr>
          <w:rFonts w:ascii="Times New Roman" w:eastAsia="Times New Roman" w:hAnsi="Times New Roman" w:cs="Times New Roman"/>
          <w:sz w:val="24"/>
          <w:szCs w:val="24"/>
        </w:rPr>
        <w:t xml:space="preserve">(5), 1757–1803. </w:t>
      </w:r>
    </w:p>
    <w:p w14:paraId="3DEAC27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Faccio, M., Marchica, M. T., &amp; Mura, R. (2016). CEO gender, corporate risk-taking, and the efficiency of capital allocation.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39</w:t>
      </w:r>
      <w:r w:rsidRPr="00197BB6">
        <w:rPr>
          <w:rFonts w:ascii="Times New Roman" w:eastAsia="Times New Roman" w:hAnsi="Times New Roman" w:cs="Times New Roman"/>
          <w:sz w:val="24"/>
          <w:szCs w:val="24"/>
        </w:rPr>
        <w:t xml:space="preserve">, 193–209. </w:t>
      </w:r>
    </w:p>
    <w:p w14:paraId="7232CEC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Fahlenbrach, R., Low, A., &amp; Stulz, R. M. (2010). Why do firms appoint CEOs as outside directors?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97</w:t>
      </w:r>
      <w:r w:rsidRPr="00197BB6">
        <w:rPr>
          <w:rFonts w:ascii="Times New Roman" w:eastAsia="Times New Roman" w:hAnsi="Times New Roman" w:cs="Times New Roman"/>
          <w:sz w:val="24"/>
          <w:szCs w:val="24"/>
        </w:rPr>
        <w:t xml:space="preserve">(1), 12–32. </w:t>
      </w:r>
    </w:p>
    <w:p w14:paraId="2233A50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Fahlenbrach, R., Prilmeier, R., &amp; Stulz, R. M. (2012). This time Is the Same: Using Bank Performance in 1998 to Explain Bank Performance during the Recent Financial Crisis. </w:t>
      </w:r>
      <w:r w:rsidRPr="00197BB6">
        <w:rPr>
          <w:rFonts w:ascii="Times New Roman" w:eastAsia="Times New Roman" w:hAnsi="Times New Roman" w:cs="Times New Roman"/>
          <w:i/>
          <w:iCs/>
          <w:sz w:val="24"/>
          <w:szCs w:val="24"/>
        </w:rPr>
        <w:t>Journal of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67</w:t>
      </w:r>
      <w:r w:rsidRPr="00197BB6">
        <w:rPr>
          <w:rFonts w:ascii="Times New Roman" w:eastAsia="Times New Roman" w:hAnsi="Times New Roman" w:cs="Times New Roman"/>
          <w:sz w:val="24"/>
          <w:szCs w:val="24"/>
        </w:rPr>
        <w:t>(6), 2139–2185.</w:t>
      </w:r>
    </w:p>
    <w:p w14:paraId="324FA7D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Fama, E. F., &amp; Jensen, M. C. (1983). Agency Problems and Residual Claims. In </w:t>
      </w:r>
      <w:r w:rsidRPr="00197BB6">
        <w:rPr>
          <w:rFonts w:ascii="Times New Roman" w:eastAsia="Times New Roman" w:hAnsi="Times New Roman" w:cs="Times New Roman"/>
          <w:i/>
          <w:iCs/>
          <w:sz w:val="24"/>
          <w:szCs w:val="24"/>
        </w:rPr>
        <w:t>Source: The Journal of Law &amp; Economics,26(</w:t>
      </w:r>
      <w:r w:rsidRPr="00197BB6">
        <w:rPr>
          <w:rFonts w:ascii="Times New Roman" w:eastAsia="Times New Roman" w:hAnsi="Times New Roman" w:cs="Times New Roman"/>
          <w:sz w:val="24"/>
          <w:szCs w:val="24"/>
        </w:rPr>
        <w:t>2</w:t>
      </w:r>
      <w:r w:rsidRPr="00197BB6">
        <w:rPr>
          <w:rFonts w:ascii="Times New Roman" w:eastAsia="Times New Roman" w:hAnsi="Times New Roman" w:cs="Times New Roman"/>
          <w:i/>
          <w:iCs/>
          <w:sz w:val="24"/>
          <w:szCs w:val="24"/>
        </w:rPr>
        <w:t>)</w:t>
      </w:r>
      <w:r w:rsidRPr="00197BB6">
        <w:rPr>
          <w:rFonts w:ascii="Times New Roman" w:eastAsia="Times New Roman" w:hAnsi="Times New Roman" w:cs="Times New Roman"/>
          <w:sz w:val="24"/>
          <w:szCs w:val="24"/>
        </w:rPr>
        <w:t>, 327-349.</w:t>
      </w:r>
    </w:p>
    <w:p w14:paraId="34E6747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Farag, H., &amp; Mallin, C. (2017). Board diversity and financial fragility: Evidence from European banks. </w:t>
      </w:r>
      <w:r w:rsidRPr="00197BB6">
        <w:rPr>
          <w:rFonts w:ascii="Times New Roman" w:eastAsia="Times New Roman" w:hAnsi="Times New Roman" w:cs="Times New Roman"/>
          <w:i/>
          <w:iCs/>
          <w:sz w:val="24"/>
          <w:szCs w:val="24"/>
        </w:rPr>
        <w:t>International Review of Financial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49</w:t>
      </w:r>
      <w:r w:rsidRPr="00197BB6">
        <w:rPr>
          <w:rFonts w:ascii="Times New Roman" w:eastAsia="Times New Roman" w:hAnsi="Times New Roman" w:cs="Times New Roman"/>
          <w:sz w:val="24"/>
          <w:szCs w:val="24"/>
        </w:rPr>
        <w:t xml:space="preserve">, 98–112. </w:t>
      </w:r>
    </w:p>
    <w:p w14:paraId="080FBEA6"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Farrell, K. A., &amp; Hersch, P. L. (2005). Additions to corporate boards: The effect of gender.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11</w:t>
      </w:r>
      <w:r w:rsidRPr="00197BB6">
        <w:rPr>
          <w:rFonts w:ascii="Times New Roman" w:eastAsia="Times New Roman" w:hAnsi="Times New Roman" w:cs="Times New Roman"/>
          <w:sz w:val="24"/>
          <w:szCs w:val="24"/>
        </w:rPr>
        <w:t xml:space="preserve">, 85–106. </w:t>
      </w:r>
    </w:p>
    <w:p w14:paraId="5F11949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i/>
          <w:iCs/>
          <w:sz w:val="24"/>
          <w:szCs w:val="24"/>
        </w:rPr>
        <w:t xml:space="preserve">Federal Reserve System 12 CFR Part 252 Enhanced Prudential Standards for Bank Holding Companies and Foreign Banking Organizations </w:t>
      </w:r>
      <w:r w:rsidRPr="00197BB6">
        <w:rPr>
          <w:rFonts w:ascii="Times New Roman" w:eastAsia="Times New Roman" w:hAnsi="Times New Roman" w:cs="Times New Roman"/>
          <w:sz w:val="24"/>
          <w:szCs w:val="24"/>
        </w:rPr>
        <w:t>(2010). www.federalreserve.gov.</w:t>
      </w:r>
    </w:p>
    <w:p w14:paraId="407F084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Francis, B., Hasan, I., Park, J. C., &amp; Wu, Q. (2015). Gender Differences in Financial Reporting Decision Making: Evidence from Accounting Conservatism. </w:t>
      </w:r>
      <w:r w:rsidRPr="00197BB6">
        <w:rPr>
          <w:rFonts w:ascii="Times New Roman" w:eastAsia="Times New Roman" w:hAnsi="Times New Roman" w:cs="Times New Roman"/>
          <w:i/>
          <w:iCs/>
          <w:sz w:val="24"/>
          <w:szCs w:val="24"/>
        </w:rPr>
        <w:t>Contemporary Accounting Research</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32</w:t>
      </w:r>
      <w:r w:rsidRPr="00197BB6">
        <w:rPr>
          <w:rFonts w:ascii="Times New Roman" w:eastAsia="Times New Roman" w:hAnsi="Times New Roman" w:cs="Times New Roman"/>
          <w:sz w:val="24"/>
          <w:szCs w:val="24"/>
        </w:rPr>
        <w:t xml:space="preserve">(3), 1285–1318. </w:t>
      </w:r>
    </w:p>
    <w:p w14:paraId="646C687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García Lara, J. M., García Osma, B., Mora, A., &amp; Scapin, M. (2017). The monitoring role of female directors over accounting quality.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45</w:t>
      </w:r>
      <w:r w:rsidRPr="00197BB6">
        <w:rPr>
          <w:rFonts w:ascii="Times New Roman" w:eastAsia="Times New Roman" w:hAnsi="Times New Roman" w:cs="Times New Roman"/>
          <w:sz w:val="24"/>
          <w:szCs w:val="24"/>
        </w:rPr>
        <w:t xml:space="preserve">, 651–668. </w:t>
      </w:r>
    </w:p>
    <w:p w14:paraId="2DEFDE8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Girardone, C., Kokas, S., &amp; Wood, G. (2021). Diversity and women in finance: Challenges and future perspectives.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71</w:t>
      </w:r>
      <w:r w:rsidRPr="00197BB6">
        <w:rPr>
          <w:rFonts w:ascii="Times New Roman" w:eastAsia="Times New Roman" w:hAnsi="Times New Roman" w:cs="Times New Roman"/>
          <w:sz w:val="24"/>
          <w:szCs w:val="24"/>
        </w:rPr>
        <w:t>, 2-35</w:t>
      </w:r>
    </w:p>
    <w:p w14:paraId="6638468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Goergen, M., &amp; Renneboog, L. (2014). Inside the board room.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28</w:t>
      </w:r>
      <w:r w:rsidRPr="00197BB6">
        <w:rPr>
          <w:rFonts w:ascii="Times New Roman" w:eastAsia="Times New Roman" w:hAnsi="Times New Roman" w:cs="Times New Roman"/>
          <w:sz w:val="24"/>
          <w:szCs w:val="24"/>
        </w:rPr>
        <w:t xml:space="preserve">, 1–5. </w:t>
      </w:r>
    </w:p>
    <w:p w14:paraId="17F62A9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Gontarek, W., &amp; Belghitar, Y. (2018). Risk governance: Examining its impact upon bank performance and risk-taking. </w:t>
      </w:r>
      <w:r w:rsidRPr="00197BB6">
        <w:rPr>
          <w:rFonts w:ascii="Times New Roman" w:eastAsia="Times New Roman" w:hAnsi="Times New Roman" w:cs="Times New Roman"/>
          <w:i/>
          <w:iCs/>
          <w:sz w:val="24"/>
          <w:szCs w:val="24"/>
        </w:rPr>
        <w:t>Financial Markets, Institutions, and Instruments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27</w:t>
      </w:r>
      <w:r w:rsidRPr="00197BB6">
        <w:rPr>
          <w:rFonts w:ascii="Times New Roman" w:eastAsia="Times New Roman" w:hAnsi="Times New Roman" w:cs="Times New Roman"/>
          <w:sz w:val="24"/>
          <w:szCs w:val="24"/>
        </w:rPr>
        <w:t xml:space="preserve">(5), 187–224. </w:t>
      </w:r>
    </w:p>
    <w:p w14:paraId="59CDC21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Gormley, T. A., Gupta, V. K., Matsa, D. A., Mortal, S., &amp; Yang, L. (2020). The Big Three and Board Gender Diversity: The Effectiveness of Shareholder Voice. </w:t>
      </w:r>
      <w:r w:rsidRPr="00197BB6">
        <w:rPr>
          <w:rFonts w:ascii="Times New Roman" w:eastAsia="Times New Roman" w:hAnsi="Times New Roman" w:cs="Times New Roman"/>
          <w:i/>
          <w:iCs/>
          <w:sz w:val="24"/>
          <w:szCs w:val="24"/>
        </w:rPr>
        <w:t>SSRN Electronic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February</w:t>
      </w:r>
      <w:r w:rsidRPr="00197BB6">
        <w:rPr>
          <w:rFonts w:ascii="Times New Roman" w:eastAsia="Times New Roman" w:hAnsi="Times New Roman" w:cs="Times New Roman"/>
          <w:sz w:val="24"/>
          <w:szCs w:val="24"/>
        </w:rPr>
        <w:t xml:space="preserve">. </w:t>
      </w:r>
    </w:p>
    <w:p w14:paraId="459CE71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Graham, J. R., Harvey, C. R., &amp; Puri, M. (2013). Managerial attitudes and corporate actions. </w:t>
      </w:r>
      <w:r w:rsidRPr="00197BB6">
        <w:rPr>
          <w:rFonts w:ascii="Times New Roman" w:eastAsia="Times New Roman" w:hAnsi="Times New Roman" w:cs="Times New Roman"/>
          <w:i/>
          <w:iCs/>
          <w:sz w:val="24"/>
          <w:szCs w:val="24"/>
        </w:rPr>
        <w:t>Journal of Financial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109</w:t>
      </w:r>
      <w:r w:rsidRPr="00197BB6">
        <w:rPr>
          <w:rFonts w:ascii="Times New Roman" w:eastAsia="Times New Roman" w:hAnsi="Times New Roman" w:cs="Times New Roman"/>
          <w:sz w:val="24"/>
          <w:szCs w:val="24"/>
        </w:rPr>
        <w:t xml:space="preserve">(1), 103–121. </w:t>
      </w:r>
    </w:p>
    <w:p w14:paraId="2F5B4B2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Hambrick, D. C. (2007). Upper Echelons Theory: An Update. In </w:t>
      </w:r>
      <w:r w:rsidRPr="00197BB6">
        <w:rPr>
          <w:rFonts w:ascii="Times New Roman" w:eastAsia="Times New Roman" w:hAnsi="Times New Roman" w:cs="Times New Roman"/>
          <w:i/>
          <w:iCs/>
          <w:sz w:val="24"/>
          <w:szCs w:val="24"/>
        </w:rPr>
        <w:t>Source: The Academy of Management Review</w:t>
      </w:r>
      <w:r w:rsidRPr="00197BB6">
        <w:rPr>
          <w:rFonts w:ascii="Times New Roman" w:eastAsia="Times New Roman" w:hAnsi="Times New Roman" w:cs="Times New Roman"/>
          <w:sz w:val="24"/>
          <w:szCs w:val="24"/>
        </w:rPr>
        <w:t>,32, (2). 334-343.</w:t>
      </w:r>
    </w:p>
    <w:p w14:paraId="5C5F0E8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Hambrick, D. C., &amp; Abrahamson, E. (1995). Assessing Managerial Discretion across Industries: A Multimethod Approach. </w:t>
      </w:r>
      <w:r w:rsidRPr="00197BB6">
        <w:rPr>
          <w:rFonts w:ascii="Times New Roman" w:eastAsia="Times New Roman" w:hAnsi="Times New Roman" w:cs="Times New Roman"/>
          <w:i/>
          <w:iCs/>
          <w:sz w:val="24"/>
          <w:szCs w:val="24"/>
        </w:rPr>
        <w:t>The Academy of Management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38</w:t>
      </w:r>
      <w:r w:rsidRPr="00197BB6">
        <w:rPr>
          <w:rFonts w:ascii="Times New Roman" w:eastAsia="Times New Roman" w:hAnsi="Times New Roman" w:cs="Times New Roman"/>
          <w:sz w:val="24"/>
          <w:szCs w:val="24"/>
        </w:rPr>
        <w:t>(5),1427-1441.</w:t>
      </w:r>
    </w:p>
    <w:p w14:paraId="45BD3872"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Hines, C. S., &amp; Peters, G. F. (2015). Voluntary risk management committee formation: Determinants and short-term outcomes. </w:t>
      </w:r>
      <w:r w:rsidRPr="00197BB6">
        <w:rPr>
          <w:rFonts w:ascii="Times New Roman" w:eastAsia="Times New Roman" w:hAnsi="Times New Roman" w:cs="Times New Roman"/>
          <w:i/>
          <w:iCs/>
          <w:sz w:val="24"/>
          <w:szCs w:val="24"/>
        </w:rPr>
        <w:t>Journal of Accounting and Public Policy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(3), 267–290. </w:t>
      </w:r>
    </w:p>
    <w:p w14:paraId="072B3A5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9E69CE">
        <w:rPr>
          <w:rFonts w:ascii="Times New Roman" w:eastAsia="Times New Roman" w:hAnsi="Times New Roman" w:cs="Times New Roman"/>
          <w:sz w:val="24"/>
          <w:szCs w:val="24"/>
          <w:lang w:val="de-DE"/>
        </w:rPr>
        <w:t xml:space="preserve">Hines, C. S., Masli, A., Mauldin, E. G., &amp; Peters, G. F. (2015). </w:t>
      </w:r>
      <w:r w:rsidRPr="00197BB6">
        <w:rPr>
          <w:rFonts w:ascii="Times New Roman" w:eastAsia="Times New Roman" w:hAnsi="Times New Roman" w:cs="Times New Roman"/>
          <w:sz w:val="24"/>
          <w:szCs w:val="24"/>
        </w:rPr>
        <w:t xml:space="preserve">Board risk committees and audit pricing. </w:t>
      </w:r>
      <w:r w:rsidRPr="00197BB6">
        <w:rPr>
          <w:rFonts w:ascii="Times New Roman" w:eastAsia="Times New Roman" w:hAnsi="Times New Roman" w:cs="Times New Roman"/>
          <w:i/>
          <w:iCs/>
          <w:sz w:val="24"/>
          <w:szCs w:val="24"/>
        </w:rPr>
        <w:t>Auditing:A Journal of practice and theory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(4), 59–84. </w:t>
      </w:r>
    </w:p>
    <w:p w14:paraId="206AF08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Hoyt, R. E. (2003). The determinants of enterprise risk management: Evidence from the appointment of chief risk officer. </w:t>
      </w:r>
      <w:r w:rsidRPr="00197BB6">
        <w:rPr>
          <w:rFonts w:ascii="Times New Roman" w:eastAsia="Times New Roman" w:hAnsi="Times New Roman" w:cs="Times New Roman"/>
          <w:i/>
          <w:iCs/>
          <w:sz w:val="24"/>
          <w:szCs w:val="24"/>
        </w:rPr>
        <w:t>Risk Management and Insurance Review</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w:t>
      </w:r>
      <w:r w:rsidRPr="00197BB6">
        <w:rPr>
          <w:rFonts w:ascii="Times New Roman" w:eastAsia="Times New Roman" w:hAnsi="Times New Roman" w:cs="Times New Roman"/>
          <w:sz w:val="24"/>
          <w:szCs w:val="24"/>
        </w:rPr>
        <w:t>(1), 37–52.</w:t>
      </w:r>
    </w:p>
    <w:p w14:paraId="419A56B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Iqbal, Z., O, S., &amp; Baek, H. Y. (2006). Are female executives more risk-averse than male executives? </w:t>
      </w:r>
      <w:r w:rsidRPr="00197BB6">
        <w:rPr>
          <w:rFonts w:ascii="Times New Roman" w:eastAsia="Times New Roman" w:hAnsi="Times New Roman" w:cs="Times New Roman"/>
          <w:i/>
          <w:iCs/>
          <w:sz w:val="24"/>
          <w:szCs w:val="24"/>
        </w:rPr>
        <w:t>Atlantic Economic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(1), 63–74.</w:t>
      </w:r>
    </w:p>
    <w:p w14:paraId="58FD84F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Jensen, M. C. (1993). The Modern Industrial Revolution, Exit, and the Failure of Internal Control Systems. </w:t>
      </w:r>
      <w:r w:rsidRPr="00197BB6">
        <w:rPr>
          <w:rFonts w:ascii="Times New Roman" w:eastAsia="Times New Roman" w:hAnsi="Times New Roman" w:cs="Times New Roman"/>
          <w:i/>
          <w:iCs/>
          <w:sz w:val="24"/>
          <w:szCs w:val="24"/>
        </w:rPr>
        <w:t>The Journal of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48</w:t>
      </w:r>
      <w:r w:rsidRPr="00197BB6">
        <w:rPr>
          <w:rFonts w:ascii="Times New Roman" w:eastAsia="Times New Roman" w:hAnsi="Times New Roman" w:cs="Times New Roman"/>
          <w:sz w:val="24"/>
          <w:szCs w:val="24"/>
        </w:rPr>
        <w:t>(3), 831–880.</w:t>
      </w:r>
    </w:p>
    <w:p w14:paraId="10E3EE4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Jia, J. (2019). Does risk management committee gender diversity matter? A financial distress perspective. </w:t>
      </w:r>
      <w:r w:rsidRPr="00197BB6">
        <w:rPr>
          <w:rFonts w:ascii="Times New Roman" w:eastAsia="Times New Roman" w:hAnsi="Times New Roman" w:cs="Times New Roman"/>
          <w:i/>
          <w:iCs/>
          <w:sz w:val="24"/>
          <w:szCs w:val="24"/>
        </w:rPr>
        <w:t>Managerial Auditing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(8), 1050–1072. </w:t>
      </w:r>
    </w:p>
    <w:p w14:paraId="1339B44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Karavitis, P., Kokas, S., &amp; Tsoukas, S. (2021). Gender board diversity and the cost of bank loans.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 1-11</w:t>
      </w:r>
      <w:r w:rsidRPr="00197BB6">
        <w:rPr>
          <w:rFonts w:ascii="Times New Roman" w:eastAsia="Times New Roman" w:hAnsi="Times New Roman" w:cs="Times New Roman"/>
          <w:sz w:val="24"/>
          <w:szCs w:val="24"/>
        </w:rPr>
        <w:t xml:space="preserve">. </w:t>
      </w:r>
    </w:p>
    <w:p w14:paraId="27C5B30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Kesner, I. F. (1988). Directors' Characteristics and Committee Membership: An Investigation of Type, Occupation, Tenure, and Gender. </w:t>
      </w:r>
      <w:r w:rsidRPr="00197BB6">
        <w:rPr>
          <w:rFonts w:ascii="Times New Roman" w:eastAsia="Times New Roman" w:hAnsi="Times New Roman" w:cs="Times New Roman"/>
          <w:i/>
          <w:iCs/>
          <w:sz w:val="24"/>
          <w:szCs w:val="24"/>
        </w:rPr>
        <w:t>Academy of Management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31</w:t>
      </w:r>
      <w:r w:rsidRPr="00197BB6">
        <w:rPr>
          <w:rFonts w:ascii="Times New Roman" w:eastAsia="Times New Roman" w:hAnsi="Times New Roman" w:cs="Times New Roman"/>
          <w:sz w:val="24"/>
          <w:szCs w:val="24"/>
        </w:rPr>
        <w:t xml:space="preserve">(1), 66–84. </w:t>
      </w:r>
    </w:p>
    <w:p w14:paraId="6671E5F6"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Khlif, H., &amp; Achek, I. (2017). Gender in accounting research: a review. </w:t>
      </w:r>
      <w:r w:rsidRPr="00197BB6">
        <w:rPr>
          <w:rFonts w:ascii="Times New Roman" w:eastAsia="Times New Roman" w:hAnsi="Times New Roman" w:cs="Times New Roman"/>
          <w:i/>
          <w:iCs/>
          <w:sz w:val="24"/>
          <w:szCs w:val="24"/>
        </w:rPr>
        <w:t>Managerial Auditing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32</w:t>
      </w:r>
      <w:r w:rsidRPr="00197BB6">
        <w:rPr>
          <w:rFonts w:ascii="Times New Roman" w:eastAsia="Times New Roman" w:hAnsi="Times New Roman" w:cs="Times New Roman"/>
          <w:sz w:val="24"/>
          <w:szCs w:val="24"/>
        </w:rPr>
        <w:t xml:space="preserve">(6), 627–655. </w:t>
      </w:r>
    </w:p>
    <w:p w14:paraId="3A90071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Kumar, A. (2010). Self-Selection and the Forecasting Abilities of Female Equity Analysts.</w:t>
      </w:r>
      <w:r w:rsidRPr="00197BB6">
        <w:rPr>
          <w:rFonts w:ascii="Times New Roman" w:eastAsia="Times New Roman" w:hAnsi="Times New Roman" w:cs="Times New Roman"/>
          <w:i/>
          <w:iCs/>
          <w:sz w:val="24"/>
          <w:szCs w:val="24"/>
        </w:rPr>
        <w:t xml:space="preserve"> Journal of Accounting Research</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48</w:t>
      </w:r>
      <w:r w:rsidRPr="00197BB6">
        <w:rPr>
          <w:rFonts w:ascii="Times New Roman" w:eastAsia="Times New Roman" w:hAnsi="Times New Roman" w:cs="Times New Roman"/>
          <w:sz w:val="24"/>
          <w:szCs w:val="24"/>
        </w:rPr>
        <w:t>(2),393-435.</w:t>
      </w:r>
    </w:p>
    <w:p w14:paraId="426C55A5"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Levi, M., Li, K., &amp; Zhang, F. (2014). Director gender and mergers and acquisitions.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28</w:t>
      </w:r>
      <w:r w:rsidRPr="00197BB6">
        <w:rPr>
          <w:rFonts w:ascii="Times New Roman" w:eastAsia="Times New Roman" w:hAnsi="Times New Roman" w:cs="Times New Roman"/>
          <w:sz w:val="24"/>
          <w:szCs w:val="24"/>
        </w:rPr>
        <w:t xml:space="preserve">, 185–200. </w:t>
      </w:r>
    </w:p>
    <w:p w14:paraId="511E6A71"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Li, Y., &amp; Zeng, Y. (2019). The impact of top executive gender on asset prices: Evidence from stock price crash risk.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58</w:t>
      </w:r>
      <w:r w:rsidRPr="00197BB6">
        <w:rPr>
          <w:rFonts w:ascii="Times New Roman" w:eastAsia="Times New Roman" w:hAnsi="Times New Roman" w:cs="Times New Roman"/>
          <w:sz w:val="24"/>
          <w:szCs w:val="24"/>
        </w:rPr>
        <w:t xml:space="preserve">, 528–550. </w:t>
      </w:r>
    </w:p>
    <w:p w14:paraId="16E6402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Liebenberg, A. P., &amp; Hoyt, R. E. (2003). The determinants of enterprise risk management: Evidence from the appointment of chief risk officer. Risk</w:t>
      </w:r>
      <w:r w:rsidRPr="00197BB6">
        <w:rPr>
          <w:rFonts w:ascii="Times New Roman" w:eastAsia="Times New Roman" w:hAnsi="Times New Roman" w:cs="Times New Roman"/>
          <w:i/>
          <w:iCs/>
          <w:sz w:val="24"/>
          <w:szCs w:val="24"/>
        </w:rPr>
        <w:t xml:space="preserve"> Management and Insurance Review</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w:t>
      </w:r>
      <w:r w:rsidRPr="00197BB6">
        <w:rPr>
          <w:rFonts w:ascii="Times New Roman" w:eastAsia="Times New Roman" w:hAnsi="Times New Roman" w:cs="Times New Roman"/>
          <w:sz w:val="24"/>
          <w:szCs w:val="24"/>
        </w:rPr>
        <w:t xml:space="preserve"> (1),36-52.</w:t>
      </w:r>
    </w:p>
    <w:p w14:paraId="1A38D0F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Lieberson, S., &amp; Connor, J. F. O. (1972). Leadership and Organizational Performance: A Study of Large Corporations. </w:t>
      </w:r>
      <w:r w:rsidRPr="00197BB6">
        <w:rPr>
          <w:rFonts w:ascii="Times New Roman" w:eastAsia="Times New Roman" w:hAnsi="Times New Roman" w:cs="Times New Roman"/>
          <w:i/>
          <w:iCs/>
          <w:sz w:val="24"/>
          <w:szCs w:val="24"/>
        </w:rPr>
        <w:t>American Sociological Review</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37</w:t>
      </w:r>
      <w:r w:rsidRPr="00197BB6">
        <w:rPr>
          <w:rFonts w:ascii="Times New Roman" w:eastAsia="Times New Roman" w:hAnsi="Times New Roman" w:cs="Times New Roman"/>
          <w:sz w:val="24"/>
          <w:szCs w:val="24"/>
        </w:rPr>
        <w:t>(2), 117–130.</w:t>
      </w:r>
    </w:p>
    <w:p w14:paraId="10B6878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Lingel, A., &amp; Sheedy, E. A. (2012). The Influence of Risk Governance on Risk Outcomes - International Evidence. </w:t>
      </w:r>
      <w:r w:rsidRPr="00197BB6">
        <w:rPr>
          <w:rFonts w:ascii="Times New Roman" w:eastAsia="Times New Roman" w:hAnsi="Times New Roman" w:cs="Times New Roman"/>
          <w:i/>
          <w:iCs/>
          <w:sz w:val="24"/>
          <w:szCs w:val="24"/>
        </w:rPr>
        <w:t>SSRN Electronic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37</w:t>
      </w:r>
      <w:r w:rsidRPr="00197BB6">
        <w:rPr>
          <w:rFonts w:ascii="Times New Roman" w:eastAsia="Times New Roman" w:hAnsi="Times New Roman" w:cs="Times New Roman"/>
          <w:sz w:val="24"/>
          <w:szCs w:val="24"/>
        </w:rPr>
        <w:t xml:space="preserve">, 1–53. </w:t>
      </w:r>
    </w:p>
    <w:p w14:paraId="457A050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Litov, L. P., Sepe, S. M., Bates, T., Bernhardt, D., Bhagat, S., Blair, M., Crémer, J., Coles, J., Dhaliwal, D., Ghent, A., Gordon, J., John, K., Lamoreux, C., Masconale, S., Pagano, M., &amp; Sias, R. (2013). </w:t>
      </w:r>
      <w:r w:rsidRPr="00197BB6">
        <w:rPr>
          <w:rFonts w:ascii="Times New Roman" w:eastAsia="Times New Roman" w:hAnsi="Times New Roman" w:cs="Times New Roman"/>
          <w:i/>
          <w:iCs/>
          <w:sz w:val="24"/>
          <w:szCs w:val="24"/>
        </w:rPr>
        <w:t>Non-Executive Incentives and Bank Risk-Taking</w:t>
      </w:r>
      <w:r w:rsidRPr="00197BB6">
        <w:rPr>
          <w:rFonts w:ascii="Times New Roman" w:eastAsia="Times New Roman" w:hAnsi="Times New Roman" w:cs="Times New Roman"/>
          <w:sz w:val="24"/>
          <w:szCs w:val="24"/>
        </w:rPr>
        <w:t>.</w:t>
      </w:r>
    </w:p>
    <w:p w14:paraId="7520E112"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Magee, S., Schilling, C., &amp; Sheedy, E. (2019). Risk Governance in the Insurance Sector—Determinants and Consequences in an International Sample. </w:t>
      </w:r>
      <w:r w:rsidRPr="00197BB6">
        <w:rPr>
          <w:rFonts w:ascii="Times New Roman" w:eastAsia="Times New Roman" w:hAnsi="Times New Roman" w:cs="Times New Roman"/>
          <w:i/>
          <w:iCs/>
          <w:sz w:val="24"/>
          <w:szCs w:val="24"/>
        </w:rPr>
        <w:t>Journal of Risk and Insurance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86</w:t>
      </w:r>
      <w:r w:rsidRPr="00197BB6">
        <w:rPr>
          <w:rFonts w:ascii="Times New Roman" w:eastAsia="Times New Roman" w:hAnsi="Times New Roman" w:cs="Times New Roman"/>
          <w:sz w:val="24"/>
          <w:szCs w:val="24"/>
        </w:rPr>
        <w:t xml:space="preserve">(2), 381–413. </w:t>
      </w:r>
    </w:p>
    <w:p w14:paraId="09675A7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Malik, M. F., Nowland, J., &amp; Buckby, S. (2021). Voluntary adoption of board risk committees and financial constraints risk. </w:t>
      </w:r>
      <w:r w:rsidRPr="00197BB6">
        <w:rPr>
          <w:rFonts w:ascii="Times New Roman" w:eastAsia="Times New Roman" w:hAnsi="Times New Roman" w:cs="Times New Roman"/>
          <w:i/>
          <w:iCs/>
          <w:sz w:val="24"/>
          <w:szCs w:val="24"/>
        </w:rPr>
        <w:t>International Review of Financial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73</w:t>
      </w:r>
      <w:r w:rsidRPr="00197BB6">
        <w:rPr>
          <w:rFonts w:ascii="Times New Roman" w:eastAsia="Times New Roman" w:hAnsi="Times New Roman" w:cs="Times New Roman"/>
          <w:sz w:val="24"/>
          <w:szCs w:val="24"/>
        </w:rPr>
        <w:t>, 2-17.</w:t>
      </w:r>
    </w:p>
    <w:p w14:paraId="5D06427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Malmendier, U., Tate, G., Yan, J., Faulkender, M., Frank, M., Hackbarth, D., Jenter, D., Stein, J., Strebu-Laev;, I., Subrahmanyam, A., &amp; Wurgler, J. (2011). Overconfidence and Early-Life Experiences: The Effect of Managerial Traits on Corporate Financial Policies. </w:t>
      </w:r>
      <w:r w:rsidRPr="00197BB6">
        <w:rPr>
          <w:rFonts w:ascii="Times New Roman" w:eastAsia="Times New Roman" w:hAnsi="Times New Roman" w:cs="Times New Roman"/>
          <w:i/>
          <w:iCs/>
          <w:sz w:val="24"/>
          <w:szCs w:val="24"/>
        </w:rPr>
        <w:t>The Journal of Finance</w:t>
      </w:r>
      <w:r w:rsidRPr="00197BB6">
        <w:rPr>
          <w:rFonts w:ascii="Times New Roman" w:eastAsia="Times New Roman" w:hAnsi="Times New Roman" w:cs="Times New Roman"/>
          <w:sz w:val="24"/>
          <w:szCs w:val="24"/>
        </w:rPr>
        <w:t>,</w:t>
      </w:r>
      <w:r w:rsidRPr="00197BB6">
        <w:rPr>
          <w:rFonts w:ascii="Times New Roman" w:eastAsia="Times New Roman" w:hAnsi="Times New Roman" w:cs="Times New Roman"/>
          <w:i/>
          <w:iCs/>
          <w:sz w:val="24"/>
          <w:szCs w:val="24"/>
        </w:rPr>
        <w:t xml:space="preserve"> LXVI</w:t>
      </w:r>
      <w:r w:rsidRPr="00197BB6">
        <w:rPr>
          <w:rFonts w:ascii="Times New Roman" w:eastAsia="Times New Roman" w:hAnsi="Times New Roman" w:cs="Times New Roman"/>
          <w:sz w:val="24"/>
          <w:szCs w:val="24"/>
        </w:rPr>
        <w:t xml:space="preserve"> (5), 1687-1732.</w:t>
      </w:r>
    </w:p>
    <w:p w14:paraId="5431F5F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9E69CE">
        <w:rPr>
          <w:rFonts w:ascii="Times New Roman" w:eastAsia="Times New Roman" w:hAnsi="Times New Roman" w:cs="Times New Roman"/>
          <w:sz w:val="24"/>
          <w:szCs w:val="24"/>
          <w:lang w:val="fr-FR"/>
        </w:rPr>
        <w:t xml:space="preserve">Marques, Luis Brandao;Erik, O. et al. </w:t>
      </w:r>
      <w:r w:rsidRPr="00197BB6">
        <w:rPr>
          <w:rFonts w:ascii="Times New Roman" w:eastAsia="Times New Roman" w:hAnsi="Times New Roman" w:cs="Times New Roman"/>
          <w:sz w:val="24"/>
          <w:szCs w:val="24"/>
        </w:rPr>
        <w:t xml:space="preserve">(2014). </w:t>
      </w:r>
      <w:r w:rsidRPr="00197BB6">
        <w:rPr>
          <w:rFonts w:ascii="Times New Roman" w:eastAsia="Times New Roman" w:hAnsi="Times New Roman" w:cs="Times New Roman"/>
          <w:i/>
          <w:iCs/>
          <w:sz w:val="24"/>
          <w:szCs w:val="24"/>
        </w:rPr>
        <w:t>International Monetary Fund</w:t>
      </w:r>
      <w:r w:rsidRPr="00197BB6">
        <w:rPr>
          <w:rFonts w:ascii="Times New Roman" w:eastAsia="Times New Roman" w:hAnsi="Times New Roman" w:cs="Times New Roman"/>
          <w:sz w:val="24"/>
          <w:szCs w:val="24"/>
        </w:rPr>
        <w:t>.</w:t>
      </w:r>
    </w:p>
    <w:p w14:paraId="1BB64A9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Matsa, D. A., &amp; Miller, A. R. (2013). A female style in corporate leadership? Evidence from quotas. </w:t>
      </w:r>
      <w:r w:rsidRPr="00197BB6">
        <w:rPr>
          <w:rFonts w:ascii="Times New Roman" w:eastAsia="Times New Roman" w:hAnsi="Times New Roman" w:cs="Times New Roman"/>
          <w:i/>
          <w:iCs/>
          <w:sz w:val="24"/>
          <w:szCs w:val="24"/>
        </w:rPr>
        <w:t>American Economic Journal: Applied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w:t>
      </w:r>
      <w:r w:rsidRPr="00197BB6">
        <w:rPr>
          <w:rFonts w:ascii="Times New Roman" w:eastAsia="Times New Roman" w:hAnsi="Times New Roman" w:cs="Times New Roman"/>
          <w:sz w:val="24"/>
          <w:szCs w:val="24"/>
        </w:rPr>
        <w:t xml:space="preserve">(3), 136–169. </w:t>
      </w:r>
    </w:p>
    <w:p w14:paraId="3B595E39"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Mikes, A. (2011). From counting risk to making risk count: Boundary-work in risk management. </w:t>
      </w:r>
      <w:r w:rsidRPr="00197BB6">
        <w:rPr>
          <w:rFonts w:ascii="Times New Roman" w:eastAsia="Times New Roman" w:hAnsi="Times New Roman" w:cs="Times New Roman"/>
          <w:i/>
          <w:iCs/>
          <w:sz w:val="24"/>
          <w:szCs w:val="24"/>
        </w:rPr>
        <w:t>Accounting, Organizations and Society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36</w:t>
      </w:r>
      <w:r w:rsidRPr="00197BB6">
        <w:rPr>
          <w:rFonts w:ascii="Times New Roman" w:eastAsia="Times New Roman" w:hAnsi="Times New Roman" w:cs="Times New Roman"/>
          <w:sz w:val="24"/>
          <w:szCs w:val="24"/>
        </w:rPr>
        <w:t xml:space="preserve">(4–5), 226–245. </w:t>
      </w:r>
    </w:p>
    <w:p w14:paraId="6E808DD7" w14:textId="77777777" w:rsid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Mikes, A. (2011). Risk Management at Crunch Time: Are Chief Risk Officers Compliance Champions or Business Partners? </w:t>
      </w:r>
      <w:r w:rsidRPr="00197BB6">
        <w:rPr>
          <w:rFonts w:ascii="Times New Roman" w:eastAsia="Times New Roman" w:hAnsi="Times New Roman" w:cs="Times New Roman"/>
          <w:i/>
          <w:iCs/>
          <w:sz w:val="24"/>
          <w:szCs w:val="24"/>
        </w:rPr>
        <w:t>SSRN Electronic Journal</w:t>
      </w:r>
      <w:r w:rsidRPr="00197BB6">
        <w:rPr>
          <w:rFonts w:ascii="Times New Roman" w:eastAsia="Times New Roman" w:hAnsi="Times New Roman" w:cs="Times New Roman"/>
          <w:sz w:val="24"/>
          <w:szCs w:val="24"/>
        </w:rPr>
        <w:t xml:space="preserve">, 1–19. </w:t>
      </w:r>
    </w:p>
    <w:p w14:paraId="54CE68D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Minton, B. A., &amp; Williamson, R. (2012). Financial Expertise of the Board, Risk Taking, and Performance. </w:t>
      </w:r>
      <w:r w:rsidRPr="00197BB6">
        <w:rPr>
          <w:rFonts w:ascii="Times New Roman" w:eastAsia="Times New Roman" w:hAnsi="Times New Roman" w:cs="Times New Roman"/>
          <w:i/>
          <w:iCs/>
          <w:sz w:val="24"/>
          <w:szCs w:val="24"/>
        </w:rPr>
        <w:t>Journal of Financial and Quantitative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49</w:t>
      </w:r>
      <w:r w:rsidRPr="00197BB6">
        <w:rPr>
          <w:rFonts w:ascii="Times New Roman" w:eastAsia="Times New Roman" w:hAnsi="Times New Roman" w:cs="Times New Roman"/>
          <w:sz w:val="24"/>
          <w:szCs w:val="24"/>
        </w:rPr>
        <w:t>(351–380).</w:t>
      </w:r>
    </w:p>
    <w:p w14:paraId="0D98E42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Murphy, B. Y. M. E. (2011). Assuring Responsible Risk Management in Banking: the Corporate Governance Dimension. </w:t>
      </w:r>
      <w:r w:rsidRPr="00197BB6">
        <w:rPr>
          <w:rFonts w:ascii="Times New Roman" w:eastAsia="Times New Roman" w:hAnsi="Times New Roman" w:cs="Times New Roman"/>
          <w:i/>
          <w:iCs/>
          <w:sz w:val="24"/>
          <w:szCs w:val="24"/>
        </w:rPr>
        <w:t>Delaware Journal of Corporate Law</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36</w:t>
      </w:r>
      <w:r w:rsidRPr="00197BB6">
        <w:rPr>
          <w:rFonts w:ascii="Times New Roman" w:eastAsia="Times New Roman" w:hAnsi="Times New Roman" w:cs="Times New Roman"/>
          <w:sz w:val="24"/>
          <w:szCs w:val="24"/>
        </w:rPr>
        <w:t>, 121–162.</w:t>
      </w:r>
    </w:p>
    <w:p w14:paraId="3D74D90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Murphy', M. E. (1987). Corporate governance and the financial crisis: Key findings and main message. http://economix.blogs.nytimes.com/2010/03/25</w:t>
      </w:r>
    </w:p>
    <w:p w14:paraId="46B5970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Niederle, M., Segal, C., &amp; Vesterlund, L. (2013). How costly is diversity? Affirmative action in light of gender differences in competitiveness. </w:t>
      </w:r>
      <w:r w:rsidRPr="00197BB6">
        <w:rPr>
          <w:rFonts w:ascii="Times New Roman" w:eastAsia="Times New Roman" w:hAnsi="Times New Roman" w:cs="Times New Roman"/>
          <w:i/>
          <w:iCs/>
          <w:sz w:val="24"/>
          <w:szCs w:val="24"/>
        </w:rPr>
        <w:t>Management Science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59</w:t>
      </w:r>
      <w:r w:rsidRPr="00197BB6">
        <w:rPr>
          <w:rFonts w:ascii="Times New Roman" w:eastAsia="Times New Roman" w:hAnsi="Times New Roman" w:cs="Times New Roman"/>
          <w:sz w:val="24"/>
          <w:szCs w:val="24"/>
        </w:rPr>
        <w:t xml:space="preserve">(1), 1–16. </w:t>
      </w:r>
    </w:p>
    <w:p w14:paraId="3F6F28E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Pagach, D., &amp; Warr, R. (2011). The Characteristics of Firms That Hire Chief Risk Officers. </w:t>
      </w:r>
      <w:r w:rsidRPr="00197BB6">
        <w:rPr>
          <w:rFonts w:ascii="Times New Roman" w:eastAsia="Times New Roman" w:hAnsi="Times New Roman" w:cs="Times New Roman"/>
          <w:i/>
          <w:iCs/>
          <w:sz w:val="24"/>
          <w:szCs w:val="24"/>
        </w:rPr>
        <w:t>Journal of Risk and Insurance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78</w:t>
      </w:r>
      <w:r w:rsidRPr="00197BB6">
        <w:rPr>
          <w:rFonts w:ascii="Times New Roman" w:eastAsia="Times New Roman" w:hAnsi="Times New Roman" w:cs="Times New Roman"/>
          <w:sz w:val="24"/>
          <w:szCs w:val="24"/>
        </w:rPr>
        <w:t xml:space="preserve">(1), 185–211. </w:t>
      </w:r>
    </w:p>
    <w:p w14:paraId="2681057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Palvia, A., Vähämaa, E., &amp; Vähämaa, S. (2020). Female leadership and bank risk-taking: Evidence from the effects of real estate shocks on bank lending performance and default risk. </w:t>
      </w:r>
      <w:r w:rsidRPr="00197BB6">
        <w:rPr>
          <w:rFonts w:ascii="Times New Roman" w:eastAsia="Times New Roman" w:hAnsi="Times New Roman" w:cs="Times New Roman"/>
          <w:i/>
          <w:iCs/>
          <w:sz w:val="24"/>
          <w:szCs w:val="24"/>
        </w:rPr>
        <w:t>Journal of Business Research</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117</w:t>
      </w:r>
      <w:r w:rsidRPr="00197BB6">
        <w:rPr>
          <w:rFonts w:ascii="Times New Roman" w:eastAsia="Times New Roman" w:hAnsi="Times New Roman" w:cs="Times New Roman"/>
          <w:sz w:val="24"/>
          <w:szCs w:val="24"/>
        </w:rPr>
        <w:t xml:space="preserve">, 897–909. </w:t>
      </w:r>
    </w:p>
    <w:p w14:paraId="3EBAFD52"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Pathan, S., &amp; Skully, M. (2010). Endogenously structured boards of directors in banks. </w:t>
      </w:r>
      <w:r w:rsidRPr="00197BB6">
        <w:rPr>
          <w:rFonts w:ascii="Times New Roman" w:eastAsia="Times New Roman" w:hAnsi="Times New Roman" w:cs="Times New Roman"/>
          <w:i/>
          <w:iCs/>
          <w:sz w:val="24"/>
          <w:szCs w:val="24"/>
        </w:rPr>
        <w:t>Journal of Banking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34</w:t>
      </w:r>
      <w:r w:rsidRPr="00197BB6">
        <w:rPr>
          <w:rFonts w:ascii="Times New Roman" w:eastAsia="Times New Roman" w:hAnsi="Times New Roman" w:cs="Times New Roman"/>
          <w:sz w:val="24"/>
          <w:szCs w:val="24"/>
        </w:rPr>
        <w:t xml:space="preserve">(7), 1590–1606. </w:t>
      </w:r>
    </w:p>
    <w:p w14:paraId="269505E3"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Pernell, K., Jung, J., &amp; Dobbin, F. (2017). The Hazards of Expert Control: Chief Risk Officers and Risky Derivatives. </w:t>
      </w:r>
      <w:r w:rsidRPr="00197BB6">
        <w:rPr>
          <w:rFonts w:ascii="Times New Roman" w:eastAsia="Times New Roman" w:hAnsi="Times New Roman" w:cs="Times New Roman"/>
          <w:i/>
          <w:iCs/>
          <w:sz w:val="24"/>
          <w:szCs w:val="24"/>
        </w:rPr>
        <w:t>American Sociological Review</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82</w:t>
      </w:r>
      <w:r w:rsidRPr="00197BB6">
        <w:rPr>
          <w:rFonts w:ascii="Times New Roman" w:eastAsia="Times New Roman" w:hAnsi="Times New Roman" w:cs="Times New Roman"/>
          <w:sz w:val="24"/>
          <w:szCs w:val="24"/>
        </w:rPr>
        <w:t xml:space="preserve">(3), 511–541. </w:t>
      </w:r>
    </w:p>
    <w:p w14:paraId="3E0F99C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Radu, C., &amp; Smaili, N. (2021). Board Gender Diversity and Corporate Response to Cyber Risk: Evidence from Cybersecurity Related Disclosure. </w:t>
      </w:r>
      <w:r w:rsidRPr="00197BB6">
        <w:rPr>
          <w:rFonts w:ascii="Times New Roman" w:eastAsia="Times New Roman" w:hAnsi="Times New Roman" w:cs="Times New Roman"/>
          <w:i/>
          <w:iCs/>
          <w:sz w:val="24"/>
          <w:szCs w:val="24"/>
        </w:rPr>
        <w:t>Journal of Business Ethics</w:t>
      </w:r>
      <w:r w:rsidRPr="00197BB6">
        <w:rPr>
          <w:rFonts w:ascii="Times New Roman" w:eastAsia="Times New Roman" w:hAnsi="Times New Roman" w:cs="Times New Roman"/>
          <w:sz w:val="24"/>
          <w:szCs w:val="24"/>
        </w:rPr>
        <w:t>, 2-26.</w:t>
      </w:r>
    </w:p>
    <w:p w14:paraId="778C1A1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Rosenbaum, P. R., &amp; Rubin, D. B. (1983). The Central Role of the Propensity Score in Observational Studies for Causal Effects. </w:t>
      </w:r>
      <w:r w:rsidRPr="00197BB6">
        <w:rPr>
          <w:rFonts w:ascii="Times New Roman" w:eastAsia="Times New Roman" w:hAnsi="Times New Roman" w:cs="Times New Roman"/>
          <w:i/>
          <w:iCs/>
          <w:sz w:val="24"/>
          <w:szCs w:val="24"/>
        </w:rPr>
        <w:t>Oxford Journals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70</w:t>
      </w:r>
      <w:r w:rsidRPr="00197BB6">
        <w:rPr>
          <w:rFonts w:ascii="Times New Roman" w:eastAsia="Times New Roman" w:hAnsi="Times New Roman" w:cs="Times New Roman"/>
          <w:sz w:val="24"/>
          <w:szCs w:val="24"/>
        </w:rPr>
        <w:t xml:space="preserve">(1), 41–55. </w:t>
      </w:r>
    </w:p>
    <w:p w14:paraId="54D3107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Sabato, G. (2010). Financial Crisis: Where Did Risk Management Fail? </w:t>
      </w:r>
      <w:r w:rsidRPr="00197BB6">
        <w:rPr>
          <w:rFonts w:ascii="Times New Roman" w:eastAsia="Times New Roman" w:hAnsi="Times New Roman" w:cs="Times New Roman"/>
          <w:i/>
          <w:iCs/>
          <w:sz w:val="24"/>
          <w:szCs w:val="24"/>
        </w:rPr>
        <w:t>International Review of Applied Financial Issues and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w:t>
      </w:r>
      <w:r w:rsidRPr="00197BB6">
        <w:rPr>
          <w:rFonts w:ascii="Times New Roman" w:eastAsia="Times New Roman" w:hAnsi="Times New Roman" w:cs="Times New Roman"/>
          <w:sz w:val="24"/>
          <w:szCs w:val="24"/>
        </w:rPr>
        <w:t xml:space="preserve"> (2), 315-326.</w:t>
      </w:r>
    </w:p>
    <w:p w14:paraId="402CAE14"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Schopohl, L., Urquhart, A., &amp; Zhang, H. (2021). Female CFOs, leverage and the moderating role of board diversity and CEO power.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71</w:t>
      </w:r>
      <w:r w:rsidRPr="00197BB6">
        <w:rPr>
          <w:rFonts w:ascii="Times New Roman" w:eastAsia="Times New Roman" w:hAnsi="Times New Roman" w:cs="Times New Roman"/>
          <w:sz w:val="24"/>
          <w:szCs w:val="24"/>
        </w:rPr>
        <w:t>,2-26.</w:t>
      </w:r>
    </w:p>
    <w:p w14:paraId="0D1F1C3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Sheedy, E., &amp; Lubojanski, M. (2018). Risk management behaviour in banking. </w:t>
      </w:r>
      <w:r w:rsidRPr="00197BB6">
        <w:rPr>
          <w:rFonts w:ascii="Times New Roman" w:eastAsia="Times New Roman" w:hAnsi="Times New Roman" w:cs="Times New Roman"/>
          <w:i/>
          <w:iCs/>
          <w:sz w:val="24"/>
          <w:szCs w:val="24"/>
        </w:rPr>
        <w:t>Managerial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44</w:t>
      </w:r>
      <w:r w:rsidRPr="00197BB6">
        <w:rPr>
          <w:rFonts w:ascii="Times New Roman" w:eastAsia="Times New Roman" w:hAnsi="Times New Roman" w:cs="Times New Roman"/>
          <w:sz w:val="24"/>
          <w:szCs w:val="24"/>
        </w:rPr>
        <w:t xml:space="preserve">(7), 902–918. </w:t>
      </w:r>
    </w:p>
    <w:p w14:paraId="7D8A59D8"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Sheedy, E., &amp; Lubojanski, M. (2017.). </w:t>
      </w:r>
      <w:r w:rsidRPr="00197BB6">
        <w:rPr>
          <w:rFonts w:ascii="Times New Roman" w:eastAsia="Times New Roman" w:hAnsi="Times New Roman" w:cs="Times New Roman"/>
          <w:i/>
          <w:iCs/>
          <w:sz w:val="24"/>
          <w:szCs w:val="24"/>
        </w:rPr>
        <w:t>Diversity in Financial Risk Management: Revisiting the Lehman Sisters Hypothesis</w:t>
      </w:r>
      <w:r w:rsidRPr="00197BB6">
        <w:rPr>
          <w:rFonts w:ascii="Times New Roman" w:eastAsia="Times New Roman" w:hAnsi="Times New Roman" w:cs="Times New Roman"/>
          <w:sz w:val="24"/>
          <w:szCs w:val="24"/>
        </w:rPr>
        <w:t>. https://ssrn.com/abstract=2965850.</w:t>
      </w:r>
    </w:p>
    <w:p w14:paraId="3FA5BAF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Shoham, A., Lee, S. M., Khan, Z., Tarba, S. Y., &amp; Ahammad, M. F. (2020). The effect of board gender diversity on cross-listing.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65</w:t>
      </w:r>
      <w:r w:rsidRPr="00197BB6">
        <w:rPr>
          <w:rFonts w:ascii="Times New Roman" w:eastAsia="Times New Roman" w:hAnsi="Times New Roman" w:cs="Times New Roman"/>
          <w:sz w:val="24"/>
          <w:szCs w:val="24"/>
        </w:rPr>
        <w:t xml:space="preserve">,2-31. </w:t>
      </w:r>
    </w:p>
    <w:p w14:paraId="5401729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lang w:val="es-ES_tradnl"/>
        </w:rPr>
        <w:t xml:space="preserve">Sila, V., Gonzalez, A., &amp; Hagendorff, J. (2016). </w:t>
      </w:r>
      <w:r w:rsidRPr="00197BB6">
        <w:rPr>
          <w:rFonts w:ascii="Times New Roman" w:eastAsia="Times New Roman" w:hAnsi="Times New Roman" w:cs="Times New Roman"/>
          <w:sz w:val="24"/>
          <w:szCs w:val="24"/>
        </w:rPr>
        <w:t xml:space="preserve">Women on board: Does boardroom gender diversity affect firm risk?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36</w:t>
      </w:r>
      <w:r w:rsidRPr="00197BB6">
        <w:rPr>
          <w:rFonts w:ascii="Times New Roman" w:eastAsia="Times New Roman" w:hAnsi="Times New Roman" w:cs="Times New Roman"/>
          <w:sz w:val="24"/>
          <w:szCs w:val="24"/>
        </w:rPr>
        <w:t xml:space="preserve">, 26–53. </w:t>
      </w:r>
    </w:p>
    <w:p w14:paraId="5696BA5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9E69CE">
        <w:rPr>
          <w:rFonts w:ascii="Times New Roman" w:eastAsia="Times New Roman" w:hAnsi="Times New Roman" w:cs="Times New Roman"/>
          <w:sz w:val="24"/>
          <w:szCs w:val="24"/>
          <w:lang w:val="sv-SE"/>
        </w:rPr>
        <w:t xml:space="preserve">Singh, V., Terjesen, S., &amp; Vinnicombe, S. (2008). </w:t>
      </w:r>
      <w:r w:rsidRPr="00197BB6">
        <w:rPr>
          <w:rFonts w:ascii="Times New Roman" w:eastAsia="Times New Roman" w:hAnsi="Times New Roman" w:cs="Times New Roman"/>
          <w:sz w:val="24"/>
          <w:szCs w:val="24"/>
        </w:rPr>
        <w:t xml:space="preserve">Newly appointed directors in the boardroom:. How do women and men differ? </w:t>
      </w:r>
      <w:r w:rsidRPr="00197BB6">
        <w:rPr>
          <w:rFonts w:ascii="Times New Roman" w:eastAsia="Times New Roman" w:hAnsi="Times New Roman" w:cs="Times New Roman"/>
          <w:i/>
          <w:iCs/>
          <w:sz w:val="24"/>
          <w:szCs w:val="24"/>
        </w:rPr>
        <w:t>European Management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26</w:t>
      </w:r>
      <w:r w:rsidRPr="00197BB6">
        <w:rPr>
          <w:rFonts w:ascii="Times New Roman" w:eastAsia="Times New Roman" w:hAnsi="Times New Roman" w:cs="Times New Roman"/>
          <w:sz w:val="24"/>
          <w:szCs w:val="24"/>
        </w:rPr>
        <w:t xml:space="preserve">(1), 48–58. </w:t>
      </w:r>
    </w:p>
    <w:p w14:paraId="6F7681A0"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Srivastav, A., Keasey, K., Mollah, S., &amp; Vallascas, F. (2017). CEO turnover in large banks: Does tail risk matter? </w:t>
      </w:r>
      <w:r w:rsidRPr="00197BB6">
        <w:rPr>
          <w:rFonts w:ascii="Times New Roman" w:eastAsia="Times New Roman" w:hAnsi="Times New Roman" w:cs="Times New Roman"/>
          <w:i/>
          <w:iCs/>
          <w:sz w:val="24"/>
          <w:szCs w:val="24"/>
        </w:rPr>
        <w:t>Journal of Accounting and Economics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64</w:t>
      </w:r>
      <w:r w:rsidRPr="00197BB6">
        <w:rPr>
          <w:rFonts w:ascii="Times New Roman" w:eastAsia="Times New Roman" w:hAnsi="Times New Roman" w:cs="Times New Roman"/>
          <w:sz w:val="24"/>
          <w:szCs w:val="24"/>
        </w:rPr>
        <w:t xml:space="preserve">(1), 37–55. </w:t>
      </w:r>
    </w:p>
    <w:p w14:paraId="3057CCE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Stiles, P. (2001). The impact of the board on strategy: An empirical examination. </w:t>
      </w:r>
      <w:r w:rsidRPr="00197BB6">
        <w:rPr>
          <w:rFonts w:ascii="Times New Roman" w:eastAsia="Times New Roman" w:hAnsi="Times New Roman" w:cs="Times New Roman"/>
          <w:i/>
          <w:iCs/>
          <w:sz w:val="24"/>
          <w:szCs w:val="24"/>
        </w:rPr>
        <w:t>Journal of Management Studies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38</w:t>
      </w:r>
      <w:r w:rsidRPr="00197BB6">
        <w:rPr>
          <w:rFonts w:ascii="Times New Roman" w:eastAsia="Times New Roman" w:hAnsi="Times New Roman" w:cs="Times New Roman"/>
          <w:sz w:val="24"/>
          <w:szCs w:val="24"/>
        </w:rPr>
        <w:t>(5), 627–650.</w:t>
      </w:r>
    </w:p>
    <w:p w14:paraId="335CF52A"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Stultz, R. M. (2008). Risk management failures: What are they and when do they happen? </w:t>
      </w:r>
      <w:r w:rsidRPr="00197BB6">
        <w:rPr>
          <w:rFonts w:ascii="Times New Roman" w:eastAsia="Times New Roman" w:hAnsi="Times New Roman" w:cs="Times New Roman"/>
          <w:i/>
          <w:iCs/>
          <w:sz w:val="24"/>
          <w:szCs w:val="24"/>
        </w:rPr>
        <w:t>Journal of Applied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204</w:t>
      </w:r>
      <w:r w:rsidRPr="00197BB6">
        <w:rPr>
          <w:rFonts w:ascii="Times New Roman" w:eastAsia="Times New Roman" w:hAnsi="Times New Roman" w:cs="Times New Roman"/>
          <w:sz w:val="24"/>
          <w:szCs w:val="24"/>
        </w:rPr>
        <w:t>(4), 2–13.</w:t>
      </w:r>
    </w:p>
    <w:p w14:paraId="1036230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Sun, J., &amp; Liu, G. (2014). Audit committees' oversight of bank risk-taking. </w:t>
      </w:r>
      <w:r w:rsidRPr="00197BB6">
        <w:rPr>
          <w:rFonts w:ascii="Times New Roman" w:eastAsia="Times New Roman" w:hAnsi="Times New Roman" w:cs="Times New Roman"/>
          <w:i/>
          <w:iCs/>
          <w:sz w:val="24"/>
          <w:szCs w:val="24"/>
        </w:rPr>
        <w:t>Journal of Banking and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40</w:t>
      </w:r>
      <w:r w:rsidRPr="00197BB6">
        <w:rPr>
          <w:rFonts w:ascii="Times New Roman" w:eastAsia="Times New Roman" w:hAnsi="Times New Roman" w:cs="Times New Roman"/>
          <w:sz w:val="24"/>
          <w:szCs w:val="24"/>
        </w:rPr>
        <w:t xml:space="preserve">(1), 376–387. </w:t>
      </w:r>
    </w:p>
    <w:p w14:paraId="07EA840F"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Talavera, O., Yin, S., &amp; Zhang, M. (2018). Age diversity, directors′ personal values, and bank performance. </w:t>
      </w:r>
      <w:r w:rsidRPr="00197BB6">
        <w:rPr>
          <w:rFonts w:ascii="Times New Roman" w:eastAsia="Times New Roman" w:hAnsi="Times New Roman" w:cs="Times New Roman"/>
          <w:i/>
          <w:iCs/>
          <w:sz w:val="24"/>
          <w:szCs w:val="24"/>
        </w:rPr>
        <w:t>International Review of Financial Analysis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55</w:t>
      </w:r>
      <w:r w:rsidRPr="00197BB6">
        <w:rPr>
          <w:rFonts w:ascii="Times New Roman" w:eastAsia="Times New Roman" w:hAnsi="Times New Roman" w:cs="Times New Roman"/>
          <w:sz w:val="24"/>
          <w:szCs w:val="24"/>
        </w:rPr>
        <w:t xml:space="preserve">, 60–79. </w:t>
      </w:r>
    </w:p>
    <w:p w14:paraId="4AD8F5FC"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Thiruvadi, S., &amp; Huang, H. W. (2011). Audit committee gender differences and earnings management. </w:t>
      </w:r>
      <w:r w:rsidRPr="00197BB6">
        <w:rPr>
          <w:rFonts w:ascii="Times New Roman" w:eastAsia="Times New Roman" w:hAnsi="Times New Roman" w:cs="Times New Roman"/>
          <w:i/>
          <w:iCs/>
          <w:sz w:val="24"/>
          <w:szCs w:val="24"/>
        </w:rPr>
        <w:t>Gender in Management</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26</w:t>
      </w:r>
      <w:r w:rsidRPr="00197BB6">
        <w:rPr>
          <w:rFonts w:ascii="Times New Roman" w:eastAsia="Times New Roman" w:hAnsi="Times New Roman" w:cs="Times New Roman"/>
          <w:sz w:val="24"/>
          <w:szCs w:val="24"/>
        </w:rPr>
        <w:t xml:space="preserve">(7), 483–498. </w:t>
      </w:r>
    </w:p>
    <w:p w14:paraId="0061A9C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Paul R. Rosenbaum and Donald B. (1983). The Central Role of the Propensity Score in Observational Studies for Causal Effects. </w:t>
      </w:r>
      <w:r w:rsidRPr="00197BB6">
        <w:rPr>
          <w:rFonts w:ascii="Times New Roman" w:eastAsia="Times New Roman" w:hAnsi="Times New Roman" w:cs="Times New Roman"/>
          <w:i/>
          <w:iCs/>
          <w:sz w:val="24"/>
          <w:szCs w:val="24"/>
        </w:rPr>
        <w:t>Oxford Journals</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70</w:t>
      </w:r>
      <w:r w:rsidRPr="00197BB6">
        <w:rPr>
          <w:rFonts w:ascii="Times New Roman" w:eastAsia="Times New Roman" w:hAnsi="Times New Roman" w:cs="Times New Roman"/>
          <w:sz w:val="24"/>
          <w:szCs w:val="24"/>
        </w:rPr>
        <w:t>(1), 41–55.</w:t>
      </w:r>
    </w:p>
    <w:p w14:paraId="3DBAF9FB"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Vallascas, F., Mollah, S., &amp; Keasey, K. (2017). Does the impact of board independence on large bank risks change after the global financial crisis? </w:t>
      </w:r>
      <w:r w:rsidRPr="00197BB6">
        <w:rPr>
          <w:rFonts w:ascii="Times New Roman" w:eastAsia="Times New Roman" w:hAnsi="Times New Roman" w:cs="Times New Roman"/>
          <w:i/>
          <w:iCs/>
          <w:sz w:val="24"/>
          <w:szCs w:val="24"/>
        </w:rPr>
        <w:t>Journal of Corporate Finance</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44</w:t>
      </w:r>
      <w:r w:rsidRPr="00197BB6">
        <w:rPr>
          <w:rFonts w:ascii="Times New Roman" w:eastAsia="Times New Roman" w:hAnsi="Times New Roman" w:cs="Times New Roman"/>
          <w:sz w:val="24"/>
          <w:szCs w:val="24"/>
        </w:rPr>
        <w:t xml:space="preserve">, 149–166. </w:t>
      </w:r>
    </w:p>
    <w:p w14:paraId="4914DEFD"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W., Sultan, F., Urban, G. L., Shankar, V., Bart, I. Y., Sultan, F., Urban, G. L., Shankar, V., Bart, I. Y., Sultan, F., &amp; Urban, G. L. (2002). </w:t>
      </w:r>
      <w:r w:rsidRPr="00197BB6">
        <w:rPr>
          <w:rFonts w:ascii="Times New Roman" w:eastAsia="Times New Roman" w:hAnsi="Times New Roman" w:cs="Times New Roman"/>
          <w:i/>
          <w:iCs/>
          <w:sz w:val="24"/>
          <w:szCs w:val="24"/>
        </w:rPr>
        <w:t>Managing with style: The effect of managers on firm policies</w:t>
      </w:r>
      <w:r w:rsidRPr="00197BB6">
        <w:rPr>
          <w:rFonts w:ascii="Times New Roman" w:eastAsia="Times New Roman" w:hAnsi="Times New Roman" w:cs="Times New Roman"/>
          <w:sz w:val="24"/>
          <w:szCs w:val="24"/>
        </w:rPr>
        <w:t>.</w:t>
      </w:r>
    </w:p>
    <w:p w14:paraId="40BB58BE"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i/>
          <w:iCs/>
          <w:sz w:val="24"/>
          <w:szCs w:val="24"/>
        </w:rPr>
        <w:t>Walker Report: A review of corporate governance in U.K. banks and other financial industry entities: Final recommendations</w:t>
      </w:r>
      <w:r w:rsidRPr="00197BB6">
        <w:rPr>
          <w:rFonts w:ascii="Times New Roman" w:eastAsia="Times New Roman" w:hAnsi="Times New Roman" w:cs="Times New Roman"/>
          <w:sz w:val="24"/>
          <w:szCs w:val="24"/>
        </w:rPr>
        <w:t>. (2009).</w:t>
      </w:r>
    </w:p>
    <w:p w14:paraId="6E4839C7"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Wangrow, D. B., Schepker, D. J., &amp; Barker, V. L. (2015). Managerial Discretion: An Empirical Review and Focus on Future Research Directions. </w:t>
      </w:r>
      <w:r w:rsidRPr="00197BB6">
        <w:rPr>
          <w:rFonts w:ascii="Times New Roman" w:eastAsia="Times New Roman" w:hAnsi="Times New Roman" w:cs="Times New Roman"/>
          <w:i/>
          <w:iCs/>
          <w:sz w:val="24"/>
          <w:szCs w:val="24"/>
        </w:rPr>
        <w:t>Journal of Management</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41</w:t>
      </w:r>
      <w:r w:rsidRPr="00197BB6">
        <w:rPr>
          <w:rFonts w:ascii="Times New Roman" w:eastAsia="Times New Roman" w:hAnsi="Times New Roman" w:cs="Times New Roman"/>
          <w:sz w:val="24"/>
          <w:szCs w:val="24"/>
        </w:rPr>
        <w:t xml:space="preserve">(1), 99–135. </w:t>
      </w:r>
    </w:p>
    <w:p w14:paraId="63DD6F71" w14:textId="77777777" w:rsidR="00197BB6" w:rsidRPr="00197BB6"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Yu, B., College, M., Lenard, M. J., York, E. A., &amp; Wu, S. (2017). Female leadership in banking and bank risk. </w:t>
      </w:r>
      <w:r w:rsidRPr="00197BB6">
        <w:rPr>
          <w:rFonts w:ascii="Times New Roman" w:eastAsia="Times New Roman" w:hAnsi="Times New Roman" w:cs="Times New Roman"/>
          <w:i/>
          <w:iCs/>
          <w:sz w:val="24"/>
          <w:szCs w:val="24"/>
        </w:rPr>
        <w:t>Academy of Accounting and Financial Studies Journal</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21</w:t>
      </w:r>
      <w:r w:rsidRPr="00197BB6">
        <w:rPr>
          <w:rFonts w:ascii="Times New Roman" w:eastAsia="Times New Roman" w:hAnsi="Times New Roman" w:cs="Times New Roman"/>
          <w:sz w:val="24"/>
          <w:szCs w:val="24"/>
        </w:rPr>
        <w:t>(3),1-19.</w:t>
      </w:r>
    </w:p>
    <w:p w14:paraId="41092E79" w14:textId="671E37A5" w:rsidR="00197BB6" w:rsidRPr="00880312" w:rsidRDefault="00197BB6" w:rsidP="00197BB6">
      <w:pPr>
        <w:spacing w:line="480" w:lineRule="auto"/>
        <w:jc w:val="both"/>
        <w:rPr>
          <w:rFonts w:ascii="Times New Roman" w:eastAsia="Times New Roman" w:hAnsi="Times New Roman" w:cs="Times New Roman"/>
          <w:sz w:val="24"/>
          <w:szCs w:val="24"/>
        </w:rPr>
      </w:pPr>
      <w:r w:rsidRPr="00197BB6">
        <w:rPr>
          <w:rFonts w:ascii="Times New Roman" w:eastAsia="Times New Roman" w:hAnsi="Times New Roman" w:cs="Times New Roman"/>
          <w:sz w:val="24"/>
          <w:szCs w:val="24"/>
        </w:rPr>
        <w:t xml:space="preserve">Zalata, A. M., Ntim, C. G., Choudhry, T., Hassanein, A., &amp; Elzahar, H. (2019). Female directors and managerial opportunism: Monitoring versus advisory female directors. </w:t>
      </w:r>
      <w:r w:rsidRPr="00197BB6">
        <w:rPr>
          <w:rFonts w:ascii="Times New Roman" w:eastAsia="Times New Roman" w:hAnsi="Times New Roman" w:cs="Times New Roman"/>
          <w:i/>
          <w:iCs/>
          <w:sz w:val="24"/>
          <w:szCs w:val="24"/>
        </w:rPr>
        <w:t>Leadership Quarterly</w:t>
      </w:r>
      <w:r w:rsidRPr="00197BB6">
        <w:rPr>
          <w:rFonts w:ascii="Times New Roman" w:eastAsia="Times New Roman" w:hAnsi="Times New Roman" w:cs="Times New Roman"/>
          <w:sz w:val="24"/>
          <w:szCs w:val="24"/>
        </w:rPr>
        <w:t xml:space="preserve">, </w:t>
      </w:r>
      <w:r w:rsidRPr="00197BB6">
        <w:rPr>
          <w:rFonts w:ascii="Times New Roman" w:eastAsia="Times New Roman" w:hAnsi="Times New Roman" w:cs="Times New Roman"/>
          <w:i/>
          <w:iCs/>
          <w:sz w:val="24"/>
          <w:szCs w:val="24"/>
        </w:rPr>
        <w:t>30</w:t>
      </w:r>
      <w:r w:rsidRPr="00197BB6">
        <w:rPr>
          <w:rFonts w:ascii="Times New Roman" w:eastAsia="Times New Roman" w:hAnsi="Times New Roman" w:cs="Times New Roman"/>
          <w:sz w:val="24"/>
          <w:szCs w:val="24"/>
        </w:rPr>
        <w:t xml:space="preserve">(5). </w:t>
      </w:r>
    </w:p>
    <w:p w14:paraId="0D49AC15" w14:textId="77777777" w:rsidR="00197BB6" w:rsidRPr="00880312" w:rsidRDefault="00197BB6">
      <w:pPr>
        <w:rPr>
          <w:rFonts w:ascii="Times New Roman" w:eastAsia="Times New Roman" w:hAnsi="Times New Roman" w:cs="Times New Roman"/>
          <w:sz w:val="24"/>
          <w:szCs w:val="24"/>
        </w:rPr>
      </w:pPr>
      <w:r w:rsidRPr="00880312">
        <w:rPr>
          <w:rFonts w:ascii="Times New Roman" w:eastAsia="Times New Roman" w:hAnsi="Times New Roman" w:cs="Times New Roman"/>
          <w:sz w:val="24"/>
          <w:szCs w:val="24"/>
        </w:rPr>
        <w:br w:type="page"/>
      </w:r>
    </w:p>
    <w:p w14:paraId="5D9FDD47" w14:textId="2EE6E6FE" w:rsidR="00197BB6" w:rsidRPr="00E30E2D" w:rsidRDefault="00197BB6" w:rsidP="00197BB6">
      <w:pPr>
        <w:spacing w:line="480" w:lineRule="auto"/>
        <w:jc w:val="center"/>
        <w:rPr>
          <w:rFonts w:ascii="Times New Roman" w:eastAsia="Times New Roman" w:hAnsi="Times New Roman" w:cs="Times New Roman"/>
          <w:b/>
          <w:bCs/>
          <w:smallCaps/>
          <w:sz w:val="36"/>
          <w:szCs w:val="36"/>
          <w:u w:val="single"/>
        </w:rPr>
      </w:pPr>
      <w:r w:rsidRPr="00E30E2D">
        <w:rPr>
          <w:rFonts w:ascii="Times New Roman" w:eastAsia="Times New Roman" w:hAnsi="Times New Roman" w:cs="Times New Roman"/>
          <w:b/>
          <w:bCs/>
          <w:smallCaps/>
          <w:sz w:val="36"/>
          <w:szCs w:val="36"/>
          <w:u w:val="single"/>
        </w:rPr>
        <w:t>Tables and Figures</w:t>
      </w:r>
    </w:p>
    <w:p w14:paraId="6AAF7750" w14:textId="7B12A1F9" w:rsidR="000329D3" w:rsidRDefault="000329D3" w:rsidP="00E30E2D">
      <w:pPr>
        <w:pStyle w:val="Caption"/>
        <w:keepNext/>
        <w:jc w:val="center"/>
        <w:rPr>
          <w:rFonts w:ascii="Times New Roman" w:hAnsi="Times New Roman" w:cs="Times New Roman"/>
          <w:b/>
          <w:bCs/>
          <w:i w:val="0"/>
          <w:iCs w:val="0"/>
          <w:color w:val="000000" w:themeColor="text1"/>
          <w:sz w:val="24"/>
          <w:szCs w:val="24"/>
        </w:rPr>
      </w:pPr>
      <w:bookmarkStart w:id="48" w:name="_Toc132391461"/>
      <w:r w:rsidRPr="00E30E2D">
        <w:rPr>
          <w:rFonts w:ascii="Times New Roman" w:hAnsi="Times New Roman" w:cs="Times New Roman"/>
          <w:b/>
          <w:bCs/>
          <w:i w:val="0"/>
          <w:iCs w:val="0"/>
          <w:color w:val="000000" w:themeColor="text1"/>
          <w:sz w:val="24"/>
          <w:szCs w:val="24"/>
        </w:rPr>
        <w:t xml:space="preserve">Figure </w:t>
      </w:r>
      <w:r w:rsidR="009F2172">
        <w:rPr>
          <w:rFonts w:ascii="Times New Roman" w:hAnsi="Times New Roman" w:cs="Times New Roman"/>
          <w:b/>
          <w:bCs/>
          <w:i w:val="0"/>
          <w:iCs w:val="0"/>
          <w:color w:val="000000" w:themeColor="text1"/>
          <w:sz w:val="24"/>
          <w:szCs w:val="24"/>
        </w:rPr>
        <w:t>5</w:t>
      </w:r>
      <w:r w:rsidRPr="00E30E2D">
        <w:rPr>
          <w:rFonts w:ascii="Times New Roman" w:hAnsi="Times New Roman" w:cs="Times New Roman"/>
          <w:b/>
          <w:bCs/>
          <w:i w:val="0"/>
          <w:iCs w:val="0"/>
          <w:color w:val="000000" w:themeColor="text1"/>
          <w:sz w:val="24"/>
          <w:szCs w:val="24"/>
        </w:rPr>
        <w:t>. Female Representation in the U.S. Banking Industry</w:t>
      </w:r>
      <w:bookmarkEnd w:id="48"/>
    </w:p>
    <w:p w14:paraId="44F4FDBC" w14:textId="77777777" w:rsidR="00E30E2D" w:rsidRPr="00E30E2D" w:rsidRDefault="00E30E2D" w:rsidP="00E30E2D">
      <w:pPr>
        <w:jc w:val="both"/>
        <w:rPr>
          <w:rFonts w:ascii="Calibri" w:eastAsia="Times New Roman" w:hAnsi="Calibri" w:cs="Times New Roman"/>
          <w:sz w:val="24"/>
          <w:szCs w:val="24"/>
        </w:rPr>
      </w:pPr>
      <w:r w:rsidRPr="00197BB6">
        <w:rPr>
          <w:rFonts w:ascii="Times New Roman" w:eastAsia="DengXian" w:hAnsi="Times New Roman" w:cs="Times New Roman"/>
          <w:sz w:val="24"/>
          <w:szCs w:val="24"/>
        </w:rPr>
        <w:t xml:space="preserve">This figure shows the proportion of female CROs percentage of female representation at </w:t>
      </w:r>
      <w:r>
        <w:rPr>
          <w:rFonts w:ascii="Times New Roman" w:eastAsia="DengXian" w:hAnsi="Times New Roman" w:cs="Times New Roman"/>
          <w:sz w:val="24"/>
          <w:szCs w:val="24"/>
        </w:rPr>
        <w:t xml:space="preserve">the </w:t>
      </w:r>
      <w:r w:rsidRPr="00197BB6">
        <w:rPr>
          <w:rFonts w:ascii="Times New Roman" w:eastAsia="DengXian" w:hAnsi="Times New Roman" w:cs="Times New Roman"/>
          <w:sz w:val="24"/>
          <w:szCs w:val="24"/>
        </w:rPr>
        <w:t xml:space="preserve">committee and board level each year for </w:t>
      </w:r>
      <w:r>
        <w:rPr>
          <w:rFonts w:ascii="Times New Roman" w:eastAsia="DengXian" w:hAnsi="Times New Roman" w:cs="Times New Roman"/>
          <w:sz w:val="24"/>
          <w:szCs w:val="24"/>
        </w:rPr>
        <w:t xml:space="preserve">a </w:t>
      </w:r>
      <w:r w:rsidRPr="00197BB6">
        <w:rPr>
          <w:rFonts w:ascii="Times New Roman" w:eastAsia="DengXian" w:hAnsi="Times New Roman" w:cs="Times New Roman"/>
          <w:sz w:val="24"/>
          <w:szCs w:val="24"/>
        </w:rPr>
        <w:t xml:space="preserve">sample of 120 banks </w:t>
      </w:r>
      <w:r>
        <w:rPr>
          <w:rFonts w:ascii="Times New Roman" w:eastAsia="DengXian" w:hAnsi="Times New Roman" w:cs="Times New Roman"/>
          <w:sz w:val="24"/>
          <w:szCs w:val="24"/>
        </w:rPr>
        <w:t>from</w:t>
      </w:r>
      <w:r w:rsidRPr="00197BB6">
        <w:rPr>
          <w:rFonts w:ascii="Times New Roman" w:eastAsia="DengXian" w:hAnsi="Times New Roman" w:cs="Times New Roman"/>
          <w:sz w:val="24"/>
          <w:szCs w:val="24"/>
        </w:rPr>
        <w:t xml:space="preserve"> 2004-2018</w:t>
      </w:r>
      <w:r w:rsidRPr="00197BB6">
        <w:rPr>
          <w:rFonts w:ascii="Calibri" w:eastAsia="Times New Roman" w:hAnsi="Calibri" w:cs="Times New Roman"/>
          <w:sz w:val="24"/>
          <w:szCs w:val="24"/>
        </w:rPr>
        <w:t>.</w:t>
      </w:r>
    </w:p>
    <w:p w14:paraId="707EA10A" w14:textId="77777777" w:rsidR="00E30E2D" w:rsidRPr="00E30E2D" w:rsidRDefault="00E30E2D" w:rsidP="00E30E2D"/>
    <w:p w14:paraId="51F0056C" w14:textId="77777777" w:rsidR="00E30E2D" w:rsidRPr="00E30E2D" w:rsidRDefault="00E30E2D" w:rsidP="00E30E2D"/>
    <w:p w14:paraId="6AD26A81" w14:textId="790ECEF8" w:rsidR="00197BB6" w:rsidRPr="00197BB6" w:rsidRDefault="00197BB6" w:rsidP="00197BB6">
      <w:pPr>
        <w:rPr>
          <w:rFonts w:ascii="Calibri" w:eastAsia="Times New Roman" w:hAnsi="Calibri" w:cs="Times New Roman"/>
        </w:rPr>
      </w:pPr>
      <w:r w:rsidRPr="00197BB6">
        <w:rPr>
          <w:rFonts w:ascii="Calibri" w:eastAsia="Times New Roman" w:hAnsi="Calibri" w:cs="Times New Roman"/>
          <w:noProof/>
          <w:lang w:eastAsia="zh-CN"/>
        </w:rPr>
        <w:drawing>
          <wp:inline distT="0" distB="0" distL="0" distR="0" wp14:anchorId="16C7F5CD" wp14:editId="36586B07">
            <wp:extent cx="5731510" cy="2985135"/>
            <wp:effectExtent l="0" t="0" r="2540" b="5715"/>
            <wp:docPr id="1" name="Picture 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985135"/>
                    </a:xfrm>
                    <a:prstGeom prst="rect">
                      <a:avLst/>
                    </a:prstGeom>
                    <a:noFill/>
                    <a:ln>
                      <a:noFill/>
                    </a:ln>
                  </pic:spPr>
                </pic:pic>
              </a:graphicData>
            </a:graphic>
          </wp:inline>
        </w:drawing>
      </w:r>
      <w:r w:rsidRPr="00197BB6">
        <w:rPr>
          <w:rFonts w:ascii="Calibri" w:eastAsia="Times New Roman" w:hAnsi="Calibri" w:cs="Times New Roman"/>
        </w:rPr>
        <w:br w:type="page"/>
      </w:r>
    </w:p>
    <w:p w14:paraId="6B8A2F70" w14:textId="2CECA260" w:rsidR="00CC629E" w:rsidRPr="00E30E2D" w:rsidRDefault="00CC629E" w:rsidP="00CC629E">
      <w:pPr>
        <w:pStyle w:val="Caption"/>
        <w:keepNext/>
        <w:rPr>
          <w:rFonts w:ascii="Times New Roman" w:hAnsi="Times New Roman" w:cs="Times New Roman"/>
          <w:b/>
          <w:bCs/>
          <w:i w:val="0"/>
          <w:iCs w:val="0"/>
          <w:color w:val="000000" w:themeColor="text1"/>
          <w:sz w:val="28"/>
          <w:szCs w:val="28"/>
        </w:rPr>
      </w:pPr>
      <w:bookmarkStart w:id="49" w:name="_Toc132315928"/>
      <w:bookmarkStart w:id="50" w:name="_Toc132383478"/>
      <w:bookmarkStart w:id="51" w:name="_Toc132386092"/>
      <w:bookmarkStart w:id="52" w:name="_Toc132437284"/>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1</w:t>
      </w:r>
      <w:r w:rsidRPr="00E30E2D">
        <w:rPr>
          <w:rFonts w:ascii="Times New Roman" w:hAnsi="Times New Roman" w:cs="Times New Roman"/>
          <w:b/>
          <w:bCs/>
          <w:i w:val="0"/>
          <w:iCs w:val="0"/>
          <w:color w:val="000000" w:themeColor="text1"/>
          <w:sz w:val="28"/>
          <w:szCs w:val="28"/>
        </w:rPr>
        <w:t>. Descript</w:t>
      </w:r>
      <w:r w:rsidR="00DE7639" w:rsidRPr="00E30E2D">
        <w:rPr>
          <w:rFonts w:ascii="Times New Roman" w:hAnsi="Times New Roman" w:cs="Times New Roman"/>
          <w:b/>
          <w:bCs/>
          <w:i w:val="0"/>
          <w:iCs w:val="0"/>
          <w:color w:val="000000" w:themeColor="text1"/>
          <w:sz w:val="28"/>
          <w:szCs w:val="28"/>
        </w:rPr>
        <w:t>i</w:t>
      </w:r>
      <w:r w:rsidRPr="00E30E2D">
        <w:rPr>
          <w:rFonts w:ascii="Times New Roman" w:hAnsi="Times New Roman" w:cs="Times New Roman"/>
          <w:b/>
          <w:bCs/>
          <w:i w:val="0"/>
          <w:iCs w:val="0"/>
          <w:color w:val="000000" w:themeColor="text1"/>
          <w:sz w:val="28"/>
          <w:szCs w:val="28"/>
        </w:rPr>
        <w:t>ve Statistics</w:t>
      </w:r>
      <w:bookmarkEnd w:id="49"/>
      <w:bookmarkEnd w:id="50"/>
      <w:bookmarkEnd w:id="51"/>
      <w:bookmarkEnd w:id="52"/>
    </w:p>
    <w:tbl>
      <w:tblPr>
        <w:tblW w:w="9909" w:type="dxa"/>
        <w:tblInd w:w="-142" w:type="dxa"/>
        <w:tblLayout w:type="fixed"/>
        <w:tblLook w:val="04A0" w:firstRow="1" w:lastRow="0" w:firstColumn="1" w:lastColumn="0" w:noHBand="0" w:noVBand="1"/>
      </w:tblPr>
      <w:tblGrid>
        <w:gridCol w:w="1290"/>
        <w:gridCol w:w="2064"/>
        <w:gridCol w:w="644"/>
        <w:gridCol w:w="836"/>
        <w:gridCol w:w="801"/>
        <w:gridCol w:w="774"/>
        <w:gridCol w:w="826"/>
        <w:gridCol w:w="800"/>
        <w:gridCol w:w="773"/>
        <w:gridCol w:w="1101"/>
      </w:tblGrid>
      <w:tr w:rsidR="00197BB6" w:rsidRPr="001278ED" w14:paraId="7797B38F" w14:textId="77777777" w:rsidTr="00963CA8">
        <w:trPr>
          <w:trHeight w:val="224"/>
        </w:trPr>
        <w:tc>
          <w:tcPr>
            <w:tcW w:w="1290" w:type="dxa"/>
            <w:tcBorders>
              <w:top w:val="single" w:sz="4" w:space="0" w:color="auto"/>
              <w:left w:val="single" w:sz="4" w:space="0" w:color="auto"/>
            </w:tcBorders>
          </w:tcPr>
          <w:p w14:paraId="31FA7888"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2064" w:type="dxa"/>
            <w:tcBorders>
              <w:top w:val="single" w:sz="4" w:space="0" w:color="auto"/>
            </w:tcBorders>
          </w:tcPr>
          <w:p w14:paraId="70EECF59"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644" w:type="dxa"/>
            <w:tcBorders>
              <w:top w:val="single" w:sz="4" w:space="0" w:color="auto"/>
            </w:tcBorders>
          </w:tcPr>
          <w:p w14:paraId="14957049"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836" w:type="dxa"/>
            <w:tcBorders>
              <w:top w:val="single" w:sz="4" w:space="0" w:color="auto"/>
            </w:tcBorders>
          </w:tcPr>
          <w:p w14:paraId="44016A2D"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801" w:type="dxa"/>
            <w:tcBorders>
              <w:top w:val="single" w:sz="4" w:space="0" w:color="auto"/>
            </w:tcBorders>
          </w:tcPr>
          <w:p w14:paraId="05530908"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774" w:type="dxa"/>
            <w:tcBorders>
              <w:top w:val="single" w:sz="4" w:space="0" w:color="auto"/>
            </w:tcBorders>
          </w:tcPr>
          <w:p w14:paraId="5D8E32B9"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826" w:type="dxa"/>
            <w:tcBorders>
              <w:top w:val="single" w:sz="4" w:space="0" w:color="auto"/>
            </w:tcBorders>
          </w:tcPr>
          <w:p w14:paraId="333CD39A"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800" w:type="dxa"/>
            <w:tcBorders>
              <w:top w:val="single" w:sz="4" w:space="0" w:color="auto"/>
            </w:tcBorders>
          </w:tcPr>
          <w:p w14:paraId="3F8E801B"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773" w:type="dxa"/>
            <w:tcBorders>
              <w:top w:val="single" w:sz="4" w:space="0" w:color="auto"/>
            </w:tcBorders>
          </w:tcPr>
          <w:p w14:paraId="58D55862" w14:textId="77777777"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right w:val="single" w:sz="4" w:space="0" w:color="auto"/>
            </w:tcBorders>
          </w:tcPr>
          <w:p w14:paraId="0BAC99DF" w14:textId="77777777"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2986A992" w14:textId="77777777" w:rsidTr="00963CA8">
        <w:trPr>
          <w:trHeight w:val="915"/>
        </w:trPr>
        <w:tc>
          <w:tcPr>
            <w:tcW w:w="1290" w:type="dxa"/>
            <w:tcBorders>
              <w:left w:val="single" w:sz="4" w:space="0" w:color="auto"/>
              <w:bottom w:val="single" w:sz="4" w:space="0" w:color="auto"/>
            </w:tcBorders>
          </w:tcPr>
          <w:p w14:paraId="11D073F5"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z w:val="18"/>
                <w:szCs w:val="18"/>
              </w:rPr>
              <w:t xml:space="preserve">Name of the Variables </w:t>
            </w:r>
          </w:p>
        </w:tc>
        <w:tc>
          <w:tcPr>
            <w:tcW w:w="2064" w:type="dxa"/>
            <w:tcBorders>
              <w:bottom w:val="single" w:sz="4" w:space="0" w:color="auto"/>
            </w:tcBorders>
          </w:tcPr>
          <w:p w14:paraId="04FD2CFD"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z w:val="18"/>
                <w:szCs w:val="18"/>
              </w:rPr>
              <w:t>Definition of Variables</w:t>
            </w:r>
          </w:p>
        </w:tc>
        <w:tc>
          <w:tcPr>
            <w:tcW w:w="644" w:type="dxa"/>
            <w:tcBorders>
              <w:bottom w:val="single" w:sz="4" w:space="0" w:color="auto"/>
            </w:tcBorders>
          </w:tcPr>
          <w:p w14:paraId="7FB3951D"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N</w:t>
            </w:r>
          </w:p>
        </w:tc>
        <w:tc>
          <w:tcPr>
            <w:tcW w:w="836" w:type="dxa"/>
            <w:tcBorders>
              <w:bottom w:val="single" w:sz="4" w:space="0" w:color="auto"/>
            </w:tcBorders>
          </w:tcPr>
          <w:p w14:paraId="276C6403"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Mean</w:t>
            </w:r>
          </w:p>
        </w:tc>
        <w:tc>
          <w:tcPr>
            <w:tcW w:w="801" w:type="dxa"/>
            <w:tcBorders>
              <w:bottom w:val="single" w:sz="4" w:space="0" w:color="auto"/>
            </w:tcBorders>
          </w:tcPr>
          <w:p w14:paraId="04457EEA"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Std. Dev</w:t>
            </w:r>
          </w:p>
        </w:tc>
        <w:tc>
          <w:tcPr>
            <w:tcW w:w="774" w:type="dxa"/>
            <w:tcBorders>
              <w:bottom w:val="single" w:sz="4" w:space="0" w:color="auto"/>
            </w:tcBorders>
          </w:tcPr>
          <w:p w14:paraId="792296D8" w14:textId="35E040A0"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P50</w:t>
            </w:r>
          </w:p>
        </w:tc>
        <w:tc>
          <w:tcPr>
            <w:tcW w:w="826" w:type="dxa"/>
            <w:tcBorders>
              <w:bottom w:val="single" w:sz="4" w:space="0" w:color="auto"/>
            </w:tcBorders>
          </w:tcPr>
          <w:p w14:paraId="3F01D361" w14:textId="42709A14"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P25</w:t>
            </w:r>
          </w:p>
        </w:tc>
        <w:tc>
          <w:tcPr>
            <w:tcW w:w="800" w:type="dxa"/>
            <w:tcBorders>
              <w:bottom w:val="single" w:sz="4" w:space="0" w:color="auto"/>
            </w:tcBorders>
          </w:tcPr>
          <w:p w14:paraId="44171445" w14:textId="39A5AACC"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mallCaps/>
                <w:sz w:val="18"/>
                <w:szCs w:val="18"/>
              </w:rPr>
              <w:t>P75</w:t>
            </w:r>
          </w:p>
        </w:tc>
        <w:tc>
          <w:tcPr>
            <w:tcW w:w="773" w:type="dxa"/>
            <w:tcBorders>
              <w:bottom w:val="single" w:sz="4" w:space="0" w:color="auto"/>
            </w:tcBorders>
          </w:tcPr>
          <w:p w14:paraId="44716159" w14:textId="536AB514" w:rsidR="00197BB6" w:rsidRPr="001278ED" w:rsidRDefault="00197BB6" w:rsidP="00197BB6">
            <w:pPr>
              <w:spacing w:after="0" w:line="240" w:lineRule="auto"/>
              <w:rPr>
                <w:rFonts w:ascii="Times New Roman" w:eastAsia="DengXian" w:hAnsi="Times New Roman" w:cs="Times New Roman"/>
                <w:b/>
                <w:bCs/>
                <w:sz w:val="18"/>
                <w:szCs w:val="18"/>
              </w:rPr>
            </w:pPr>
          </w:p>
        </w:tc>
        <w:tc>
          <w:tcPr>
            <w:tcW w:w="1095" w:type="dxa"/>
            <w:tcBorders>
              <w:bottom w:val="single" w:sz="4" w:space="0" w:color="auto"/>
              <w:right w:val="single" w:sz="4" w:space="0" w:color="auto"/>
            </w:tcBorders>
          </w:tcPr>
          <w:p w14:paraId="4CB07BB5" w14:textId="23962DE0" w:rsidR="00197BB6" w:rsidRPr="001278ED" w:rsidRDefault="00197BB6" w:rsidP="00197BB6">
            <w:pPr>
              <w:spacing w:after="0" w:line="240" w:lineRule="auto"/>
              <w:rPr>
                <w:rFonts w:ascii="Times New Roman" w:eastAsia="DengXian" w:hAnsi="Times New Roman" w:cs="Times New Roman"/>
                <w:b/>
                <w:bCs/>
                <w:sz w:val="18"/>
                <w:szCs w:val="18"/>
              </w:rPr>
            </w:pPr>
          </w:p>
        </w:tc>
      </w:tr>
      <w:tr w:rsidR="00197BB6" w:rsidRPr="001278ED" w14:paraId="360284CC" w14:textId="77777777" w:rsidTr="00963CA8">
        <w:trPr>
          <w:trHeight w:val="232"/>
        </w:trPr>
        <w:tc>
          <w:tcPr>
            <w:tcW w:w="9909" w:type="dxa"/>
            <w:gridSpan w:val="10"/>
            <w:tcBorders>
              <w:top w:val="single" w:sz="4" w:space="0" w:color="auto"/>
              <w:left w:val="single" w:sz="4" w:space="0" w:color="auto"/>
              <w:right w:val="single" w:sz="4" w:space="0" w:color="auto"/>
            </w:tcBorders>
          </w:tcPr>
          <w:p w14:paraId="2E23FF36" w14:textId="589AE5FF"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z w:val="18"/>
                <w:szCs w:val="18"/>
              </w:rPr>
              <w:t>Bank Risk</w:t>
            </w:r>
          </w:p>
        </w:tc>
      </w:tr>
      <w:tr w:rsidR="00197BB6" w:rsidRPr="001278ED" w14:paraId="5F6013E5" w14:textId="77777777" w:rsidTr="00963CA8">
        <w:trPr>
          <w:trHeight w:val="915"/>
        </w:trPr>
        <w:tc>
          <w:tcPr>
            <w:tcW w:w="1290" w:type="dxa"/>
            <w:tcBorders>
              <w:left w:val="single" w:sz="4" w:space="0" w:color="auto"/>
              <w:bottom w:val="single" w:sz="4" w:space="0" w:color="auto"/>
            </w:tcBorders>
          </w:tcPr>
          <w:p w14:paraId="19AD593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Aggregate risk</w:t>
            </w:r>
          </w:p>
        </w:tc>
        <w:tc>
          <w:tcPr>
            <w:tcW w:w="2064" w:type="dxa"/>
            <w:tcBorders>
              <w:bottom w:val="single" w:sz="4" w:space="0" w:color="auto"/>
            </w:tcBorders>
          </w:tcPr>
          <w:p w14:paraId="2A440A97" w14:textId="161CD749" w:rsidR="00197BB6" w:rsidRPr="001278ED" w:rsidRDefault="00E30E2D" w:rsidP="00197BB6">
            <w:pPr>
              <w:spacing w:after="0" w:line="240" w:lineRule="auto"/>
              <w:rPr>
                <w:rFonts w:ascii="Times New Roman" w:eastAsia="DengXian" w:hAnsi="Times New Roman" w:cs="Times New Roman"/>
                <w:sz w:val="18"/>
                <w:szCs w:val="18"/>
              </w:rPr>
            </w:pPr>
            <w:r>
              <w:rPr>
                <w:rFonts w:ascii="Times New Roman" w:eastAsia="DengXian" w:hAnsi="Times New Roman" w:cs="Times New Roman"/>
                <w:sz w:val="18"/>
                <w:szCs w:val="18"/>
              </w:rPr>
              <w:t>The s</w:t>
            </w:r>
            <w:r w:rsidR="00197BB6" w:rsidRPr="001278ED">
              <w:rPr>
                <w:rFonts w:ascii="Times New Roman" w:eastAsia="DengXian" w:hAnsi="Times New Roman" w:cs="Times New Roman"/>
                <w:sz w:val="18"/>
                <w:szCs w:val="18"/>
              </w:rPr>
              <w:t>tandard deviation of daily stock returns over the year (Sila et al</w:t>
            </w:r>
            <w:r>
              <w:rPr>
                <w:rFonts w:ascii="Times New Roman" w:eastAsia="DengXian" w:hAnsi="Times New Roman" w:cs="Times New Roman"/>
                <w:sz w:val="18"/>
                <w:szCs w:val="18"/>
              </w:rPr>
              <w:t>.</w:t>
            </w:r>
            <w:r w:rsidR="00197BB6" w:rsidRPr="001278ED">
              <w:rPr>
                <w:rFonts w:ascii="Times New Roman" w:eastAsia="DengXian" w:hAnsi="Times New Roman" w:cs="Times New Roman"/>
                <w:sz w:val="18"/>
                <w:szCs w:val="18"/>
              </w:rPr>
              <w:t>, 2016; Balasubramanyan,2019)</w:t>
            </w:r>
          </w:p>
        </w:tc>
        <w:tc>
          <w:tcPr>
            <w:tcW w:w="644" w:type="dxa"/>
            <w:tcBorders>
              <w:bottom w:val="single" w:sz="4" w:space="0" w:color="auto"/>
            </w:tcBorders>
          </w:tcPr>
          <w:p w14:paraId="0F570F8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1780</w:t>
            </w:r>
          </w:p>
        </w:tc>
        <w:tc>
          <w:tcPr>
            <w:tcW w:w="836" w:type="dxa"/>
            <w:tcBorders>
              <w:bottom w:val="single" w:sz="4" w:space="0" w:color="auto"/>
            </w:tcBorders>
          </w:tcPr>
          <w:p w14:paraId="19FAC11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0.021</w:t>
            </w:r>
          </w:p>
        </w:tc>
        <w:tc>
          <w:tcPr>
            <w:tcW w:w="801" w:type="dxa"/>
            <w:tcBorders>
              <w:bottom w:val="single" w:sz="4" w:space="0" w:color="auto"/>
            </w:tcBorders>
          </w:tcPr>
          <w:p w14:paraId="43CEB1E0"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0.014</w:t>
            </w:r>
          </w:p>
        </w:tc>
        <w:tc>
          <w:tcPr>
            <w:tcW w:w="774" w:type="dxa"/>
            <w:tcBorders>
              <w:bottom w:val="single" w:sz="4" w:space="0" w:color="auto"/>
            </w:tcBorders>
          </w:tcPr>
          <w:p w14:paraId="6B8AB76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0.016</w:t>
            </w:r>
          </w:p>
        </w:tc>
        <w:tc>
          <w:tcPr>
            <w:tcW w:w="826" w:type="dxa"/>
            <w:tcBorders>
              <w:bottom w:val="single" w:sz="4" w:space="0" w:color="auto"/>
            </w:tcBorders>
          </w:tcPr>
          <w:p w14:paraId="43AA491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0.013</w:t>
            </w:r>
          </w:p>
        </w:tc>
        <w:tc>
          <w:tcPr>
            <w:tcW w:w="800" w:type="dxa"/>
            <w:tcBorders>
              <w:bottom w:val="single" w:sz="4" w:space="0" w:color="auto"/>
            </w:tcBorders>
          </w:tcPr>
          <w:p w14:paraId="76C23E5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0.023</w:t>
            </w:r>
          </w:p>
        </w:tc>
        <w:tc>
          <w:tcPr>
            <w:tcW w:w="773" w:type="dxa"/>
            <w:tcBorders>
              <w:bottom w:val="single" w:sz="4" w:space="0" w:color="auto"/>
            </w:tcBorders>
          </w:tcPr>
          <w:p w14:paraId="14DE3A51" w14:textId="1BFEA925"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bottom w:val="single" w:sz="4" w:space="0" w:color="auto"/>
              <w:right w:val="single" w:sz="4" w:space="0" w:color="auto"/>
            </w:tcBorders>
          </w:tcPr>
          <w:p w14:paraId="2C6FFD95" w14:textId="3FB19DC7"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6695322C" w14:textId="77777777" w:rsidTr="00963CA8">
        <w:trPr>
          <w:trHeight w:val="2287"/>
        </w:trPr>
        <w:tc>
          <w:tcPr>
            <w:tcW w:w="1290" w:type="dxa"/>
            <w:tcBorders>
              <w:top w:val="single" w:sz="4" w:space="0" w:color="auto"/>
              <w:left w:val="single" w:sz="4" w:space="0" w:color="auto"/>
              <w:bottom w:val="single" w:sz="4" w:space="0" w:color="auto"/>
            </w:tcBorders>
          </w:tcPr>
          <w:p w14:paraId="03E81F1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Residual Risk</w:t>
            </w:r>
          </w:p>
        </w:tc>
        <w:tc>
          <w:tcPr>
            <w:tcW w:w="2064" w:type="dxa"/>
            <w:tcBorders>
              <w:top w:val="single" w:sz="4" w:space="0" w:color="auto"/>
              <w:bottom w:val="single" w:sz="4" w:space="0" w:color="auto"/>
            </w:tcBorders>
          </w:tcPr>
          <w:p w14:paraId="7AFCB812" w14:textId="77777777" w:rsidR="00197BB6" w:rsidRPr="001278ED" w:rsidRDefault="00197BB6" w:rsidP="001278ED">
            <w:pPr>
              <w:spacing w:after="0" w:line="240" w:lineRule="auto"/>
              <w:jc w:val="both"/>
              <w:rPr>
                <w:rFonts w:ascii="Times New Roman" w:eastAsia="DengXian" w:hAnsi="Times New Roman" w:cs="Times New Roman"/>
                <w:sz w:val="18"/>
                <w:szCs w:val="18"/>
              </w:rPr>
            </w:pPr>
            <w:bookmarkStart w:id="53" w:name="_Hlk94472483"/>
            <w:r w:rsidRPr="001278ED">
              <w:rPr>
                <w:rFonts w:ascii="Times New Roman" w:eastAsia="DengXian" w:hAnsi="Times New Roman" w:cs="Times New Roman"/>
                <w:sz w:val="18"/>
                <w:szCs w:val="18"/>
              </w:rPr>
              <w:t>Annualized standard deviation from the market model regression residuals that estimate beta</w:t>
            </w:r>
            <w:bookmarkEnd w:id="53"/>
            <w:r w:rsidRPr="001278ED">
              <w:rPr>
                <w:rFonts w:ascii="Times New Roman" w:eastAsia="DengXian" w:hAnsi="Times New Roman" w:cs="Times New Roman"/>
                <w:sz w:val="18"/>
                <w:szCs w:val="18"/>
              </w:rPr>
              <w:t>.</w:t>
            </w:r>
          </w:p>
          <w:p w14:paraId="4C2E9621" w14:textId="77777777" w:rsidR="00197BB6" w:rsidRPr="001278ED" w:rsidRDefault="00197BB6" w:rsidP="001278ED">
            <w:pPr>
              <w:spacing w:after="0" w:line="240" w:lineRule="auto"/>
              <w:jc w:val="both"/>
              <w:rPr>
                <w:rFonts w:ascii="Times New Roman" w:eastAsia="DengXian" w:hAnsi="Times New Roman" w:cs="Times New Roman"/>
                <w:sz w:val="18"/>
                <w:szCs w:val="18"/>
                <w:lang w:val="fr-FR"/>
              </w:rPr>
            </w:pPr>
            <w:r w:rsidRPr="001278ED">
              <w:rPr>
                <w:rFonts w:ascii="Times New Roman" w:eastAsia="DengXian" w:hAnsi="Times New Roman" w:cs="Times New Roman"/>
                <w:sz w:val="18"/>
                <w:szCs w:val="18"/>
                <w:lang w:val="fr-FR"/>
              </w:rPr>
              <w:t xml:space="preserve">Ri,t = </w:t>
            </w:r>
            <w:r w:rsidRPr="001278ED">
              <w:rPr>
                <w:rFonts w:ascii="Times New Roman" w:eastAsia="DengXian" w:hAnsi="Times New Roman" w:cs="Times New Roman"/>
                <w:sz w:val="18"/>
                <w:szCs w:val="18"/>
              </w:rPr>
              <w:t>β</w:t>
            </w:r>
            <w:r w:rsidRPr="001278ED">
              <w:rPr>
                <w:rFonts w:ascii="Times New Roman" w:eastAsia="DengXian" w:hAnsi="Times New Roman" w:cs="Times New Roman"/>
                <w:sz w:val="18"/>
                <w:szCs w:val="18"/>
                <w:lang w:val="fr-FR"/>
              </w:rPr>
              <w:t>1+</w:t>
            </w:r>
            <w:r w:rsidRPr="001278ED">
              <w:rPr>
                <w:rFonts w:ascii="Times New Roman" w:eastAsia="DengXian" w:hAnsi="Times New Roman" w:cs="Times New Roman"/>
                <w:sz w:val="18"/>
                <w:szCs w:val="18"/>
              </w:rPr>
              <w:t>β</w:t>
            </w:r>
            <w:r w:rsidRPr="001278ED">
              <w:rPr>
                <w:rFonts w:ascii="Times New Roman" w:eastAsia="DengXian" w:hAnsi="Times New Roman" w:cs="Times New Roman"/>
                <w:sz w:val="18"/>
                <w:szCs w:val="18"/>
                <w:lang w:val="fr-FR"/>
              </w:rPr>
              <w:t>2Rm,t+</w:t>
            </w:r>
            <w:r w:rsidRPr="001278ED">
              <w:rPr>
                <w:rFonts w:ascii="Times New Roman" w:eastAsia="DengXian" w:hAnsi="Times New Roman" w:cs="Times New Roman"/>
                <w:sz w:val="18"/>
                <w:szCs w:val="18"/>
              </w:rPr>
              <w:t>β</w:t>
            </w:r>
            <w:r w:rsidRPr="001278ED">
              <w:rPr>
                <w:rFonts w:ascii="Times New Roman" w:eastAsia="DengXian" w:hAnsi="Times New Roman" w:cs="Times New Roman"/>
                <w:sz w:val="18"/>
                <w:szCs w:val="18"/>
                <w:lang w:val="fr-FR"/>
              </w:rPr>
              <w:t>3Rb,t+</w:t>
            </w:r>
            <w:r w:rsidRPr="001278ED">
              <w:rPr>
                <w:rFonts w:ascii="Times New Roman" w:eastAsia="DengXian" w:hAnsi="Times New Roman" w:cs="Times New Roman"/>
                <w:sz w:val="18"/>
                <w:szCs w:val="18"/>
              </w:rPr>
              <w:t>ε</w:t>
            </w:r>
            <w:r w:rsidRPr="001278ED">
              <w:rPr>
                <w:rFonts w:ascii="Times New Roman" w:eastAsia="DengXian" w:hAnsi="Times New Roman" w:cs="Times New Roman"/>
                <w:sz w:val="18"/>
                <w:szCs w:val="18"/>
                <w:lang w:val="fr-FR"/>
              </w:rPr>
              <w:t>j,t</w:t>
            </w:r>
          </w:p>
          <w:p w14:paraId="3242591D" w14:textId="4ECA0038" w:rsidR="00197BB6" w:rsidRPr="001278ED" w:rsidRDefault="00197BB6" w:rsidP="001278ED">
            <w:pPr>
              <w:spacing w:after="0" w:line="240" w:lineRule="auto"/>
              <w:jc w:val="both"/>
              <w:rPr>
                <w:rFonts w:ascii="Times New Roman" w:eastAsia="DengXian" w:hAnsi="Times New Roman" w:cs="Times New Roman"/>
                <w:sz w:val="18"/>
                <w:szCs w:val="18"/>
                <w:lang w:val="fr-FR"/>
              </w:rPr>
            </w:pPr>
            <w:r w:rsidRPr="001278ED">
              <w:rPr>
                <w:rFonts w:ascii="Times New Roman" w:eastAsia="DengXian" w:hAnsi="Times New Roman" w:cs="Times New Roman"/>
                <w:sz w:val="18"/>
                <w:szCs w:val="18"/>
                <w:lang w:val="fr-FR"/>
              </w:rPr>
              <w:t>(Houque,2013 ; Sila et al, 2016 ; Srivastav et al, 2017)</w:t>
            </w:r>
          </w:p>
        </w:tc>
        <w:tc>
          <w:tcPr>
            <w:tcW w:w="644" w:type="dxa"/>
            <w:tcBorders>
              <w:top w:val="single" w:sz="4" w:space="0" w:color="auto"/>
              <w:bottom w:val="single" w:sz="4" w:space="0" w:color="auto"/>
            </w:tcBorders>
          </w:tcPr>
          <w:p w14:paraId="3661814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bottom w:val="single" w:sz="4" w:space="0" w:color="auto"/>
            </w:tcBorders>
          </w:tcPr>
          <w:p w14:paraId="55AA6A0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0.020</w:t>
            </w:r>
          </w:p>
        </w:tc>
        <w:tc>
          <w:tcPr>
            <w:tcW w:w="801" w:type="dxa"/>
            <w:tcBorders>
              <w:top w:val="single" w:sz="4" w:space="0" w:color="auto"/>
              <w:bottom w:val="single" w:sz="4" w:space="0" w:color="auto"/>
            </w:tcBorders>
          </w:tcPr>
          <w:p w14:paraId="05B2361C"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0.014</w:t>
            </w:r>
          </w:p>
        </w:tc>
        <w:tc>
          <w:tcPr>
            <w:tcW w:w="774" w:type="dxa"/>
            <w:tcBorders>
              <w:top w:val="single" w:sz="4" w:space="0" w:color="auto"/>
              <w:bottom w:val="single" w:sz="4" w:space="0" w:color="auto"/>
            </w:tcBorders>
          </w:tcPr>
          <w:p w14:paraId="20D2800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0.016</w:t>
            </w:r>
          </w:p>
        </w:tc>
        <w:tc>
          <w:tcPr>
            <w:tcW w:w="826" w:type="dxa"/>
            <w:tcBorders>
              <w:top w:val="single" w:sz="4" w:space="0" w:color="auto"/>
              <w:bottom w:val="single" w:sz="4" w:space="0" w:color="auto"/>
            </w:tcBorders>
          </w:tcPr>
          <w:p w14:paraId="46874F2F"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0.013</w:t>
            </w:r>
          </w:p>
        </w:tc>
        <w:tc>
          <w:tcPr>
            <w:tcW w:w="800" w:type="dxa"/>
            <w:tcBorders>
              <w:top w:val="single" w:sz="4" w:space="0" w:color="auto"/>
              <w:bottom w:val="single" w:sz="4" w:space="0" w:color="auto"/>
            </w:tcBorders>
          </w:tcPr>
          <w:p w14:paraId="4FF59D7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0.022</w:t>
            </w:r>
          </w:p>
        </w:tc>
        <w:tc>
          <w:tcPr>
            <w:tcW w:w="773" w:type="dxa"/>
            <w:tcBorders>
              <w:top w:val="single" w:sz="4" w:space="0" w:color="auto"/>
              <w:bottom w:val="single" w:sz="4" w:space="0" w:color="auto"/>
            </w:tcBorders>
          </w:tcPr>
          <w:p w14:paraId="1CA6741D" w14:textId="3EE6B010"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38C13183" w14:textId="13ABBFB8"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57E4C7B7" w14:textId="77777777" w:rsidTr="00963CA8">
        <w:trPr>
          <w:trHeight w:val="232"/>
        </w:trPr>
        <w:tc>
          <w:tcPr>
            <w:tcW w:w="9909" w:type="dxa"/>
            <w:gridSpan w:val="10"/>
            <w:tcBorders>
              <w:top w:val="single" w:sz="4" w:space="0" w:color="auto"/>
              <w:left w:val="single" w:sz="4" w:space="0" w:color="auto"/>
              <w:right w:val="single" w:sz="4" w:space="0" w:color="auto"/>
            </w:tcBorders>
          </w:tcPr>
          <w:p w14:paraId="04B2BC0C" w14:textId="77777777" w:rsidR="00197BB6" w:rsidRPr="001278ED" w:rsidRDefault="00197BB6" w:rsidP="00197BB6">
            <w:pPr>
              <w:spacing w:after="0" w:line="240" w:lineRule="auto"/>
              <w:rPr>
                <w:rFonts w:ascii="Times New Roman" w:eastAsia="DengXian" w:hAnsi="Times New Roman" w:cs="Times New Roman"/>
                <w:b/>
                <w:bCs/>
                <w:sz w:val="18"/>
                <w:szCs w:val="18"/>
              </w:rPr>
            </w:pPr>
            <w:r w:rsidRPr="001278ED">
              <w:rPr>
                <w:rFonts w:ascii="Times New Roman" w:eastAsia="DengXian" w:hAnsi="Times New Roman" w:cs="Times New Roman"/>
                <w:b/>
                <w:bCs/>
                <w:sz w:val="18"/>
                <w:szCs w:val="18"/>
              </w:rPr>
              <w:t>Independent Variables</w:t>
            </w:r>
          </w:p>
        </w:tc>
      </w:tr>
      <w:tr w:rsidR="00197BB6" w:rsidRPr="001278ED" w14:paraId="47431CF6" w14:textId="77777777" w:rsidTr="00963CA8">
        <w:trPr>
          <w:trHeight w:val="915"/>
        </w:trPr>
        <w:tc>
          <w:tcPr>
            <w:tcW w:w="1290" w:type="dxa"/>
            <w:tcBorders>
              <w:left w:val="single" w:sz="4" w:space="0" w:color="auto"/>
              <w:bottom w:val="single" w:sz="4" w:space="0" w:color="auto"/>
            </w:tcBorders>
          </w:tcPr>
          <w:p w14:paraId="7ECE8986"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FEMALE CRO</w:t>
            </w:r>
          </w:p>
        </w:tc>
        <w:tc>
          <w:tcPr>
            <w:tcW w:w="2064" w:type="dxa"/>
            <w:tcBorders>
              <w:bottom w:val="single" w:sz="4" w:space="0" w:color="auto"/>
            </w:tcBorders>
          </w:tcPr>
          <w:p w14:paraId="547ED5E9"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 xml:space="preserve">which equals 1 if the firm has a female CRO and </w:t>
            </w:r>
          </w:p>
          <w:p w14:paraId="20E12BC8"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equals 0 otherwise.</w:t>
            </w:r>
          </w:p>
        </w:tc>
        <w:tc>
          <w:tcPr>
            <w:tcW w:w="644" w:type="dxa"/>
            <w:tcBorders>
              <w:bottom w:val="single" w:sz="4" w:space="0" w:color="auto"/>
            </w:tcBorders>
          </w:tcPr>
          <w:p w14:paraId="79594CD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1346</w:t>
            </w:r>
          </w:p>
        </w:tc>
        <w:tc>
          <w:tcPr>
            <w:tcW w:w="836" w:type="dxa"/>
            <w:tcBorders>
              <w:bottom w:val="single" w:sz="4" w:space="0" w:color="auto"/>
            </w:tcBorders>
          </w:tcPr>
          <w:p w14:paraId="71E6460C"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0.095</w:t>
            </w:r>
          </w:p>
        </w:tc>
        <w:tc>
          <w:tcPr>
            <w:tcW w:w="801" w:type="dxa"/>
            <w:tcBorders>
              <w:bottom w:val="single" w:sz="4" w:space="0" w:color="auto"/>
            </w:tcBorders>
          </w:tcPr>
          <w:p w14:paraId="2A1A282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0.293</w:t>
            </w:r>
          </w:p>
        </w:tc>
        <w:tc>
          <w:tcPr>
            <w:tcW w:w="774" w:type="dxa"/>
            <w:tcBorders>
              <w:bottom w:val="single" w:sz="4" w:space="0" w:color="auto"/>
            </w:tcBorders>
          </w:tcPr>
          <w:p w14:paraId="488257E0"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826" w:type="dxa"/>
            <w:tcBorders>
              <w:bottom w:val="single" w:sz="4" w:space="0" w:color="auto"/>
            </w:tcBorders>
          </w:tcPr>
          <w:p w14:paraId="4B71F6B4"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800" w:type="dxa"/>
            <w:tcBorders>
              <w:bottom w:val="single" w:sz="4" w:space="0" w:color="auto"/>
            </w:tcBorders>
          </w:tcPr>
          <w:p w14:paraId="6E12386C"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773" w:type="dxa"/>
            <w:tcBorders>
              <w:bottom w:val="single" w:sz="4" w:space="0" w:color="auto"/>
            </w:tcBorders>
          </w:tcPr>
          <w:p w14:paraId="4C0B69B1" w14:textId="36E0426B"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bottom w:val="single" w:sz="4" w:space="0" w:color="auto"/>
              <w:right w:val="single" w:sz="4" w:space="0" w:color="auto"/>
            </w:tcBorders>
          </w:tcPr>
          <w:p w14:paraId="6CE278D9" w14:textId="32FD34D3"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629F5A82" w14:textId="77777777" w:rsidTr="00963CA8">
        <w:trPr>
          <w:trHeight w:val="1372"/>
        </w:trPr>
        <w:tc>
          <w:tcPr>
            <w:tcW w:w="1290" w:type="dxa"/>
            <w:tcBorders>
              <w:top w:val="single" w:sz="4" w:space="0" w:color="auto"/>
              <w:left w:val="single" w:sz="4" w:space="0" w:color="auto"/>
              <w:bottom w:val="single" w:sz="4" w:space="0" w:color="auto"/>
            </w:tcBorders>
          </w:tcPr>
          <w:p w14:paraId="74BAD438"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FEMALE ON RC</w:t>
            </w:r>
          </w:p>
        </w:tc>
        <w:tc>
          <w:tcPr>
            <w:tcW w:w="2064" w:type="dxa"/>
            <w:tcBorders>
              <w:top w:val="single" w:sz="4" w:space="0" w:color="auto"/>
              <w:bottom w:val="single" w:sz="4" w:space="0" w:color="auto"/>
            </w:tcBorders>
          </w:tcPr>
          <w:p w14:paraId="3E6C53CB" w14:textId="62DEB6B3" w:rsidR="00197BB6" w:rsidRPr="001278ED" w:rsidRDefault="00E30E2D" w:rsidP="001278ED">
            <w:pPr>
              <w:spacing w:after="0" w:line="240" w:lineRule="auto"/>
              <w:jc w:val="both"/>
              <w:rPr>
                <w:rFonts w:ascii="Times New Roman" w:eastAsia="DengXian" w:hAnsi="Times New Roman" w:cs="Times New Roman"/>
                <w:sz w:val="18"/>
                <w:szCs w:val="18"/>
              </w:rPr>
            </w:pPr>
            <w:r>
              <w:rPr>
                <w:rFonts w:ascii="Times New Roman" w:eastAsia="DengXian" w:hAnsi="Times New Roman" w:cs="Times New Roman"/>
                <w:sz w:val="18"/>
                <w:szCs w:val="18"/>
              </w:rPr>
              <w:t>The r</w:t>
            </w:r>
            <w:r w:rsidR="00197BB6" w:rsidRPr="001278ED">
              <w:rPr>
                <w:rFonts w:ascii="Times New Roman" w:eastAsia="DengXian" w:hAnsi="Times New Roman" w:cs="Times New Roman"/>
                <w:sz w:val="18"/>
                <w:szCs w:val="18"/>
              </w:rPr>
              <w:t xml:space="preserve">atio of female directors on </w:t>
            </w:r>
            <w:r>
              <w:rPr>
                <w:rFonts w:ascii="Times New Roman" w:eastAsia="DengXian" w:hAnsi="Times New Roman" w:cs="Times New Roman"/>
                <w:sz w:val="18"/>
                <w:szCs w:val="18"/>
              </w:rPr>
              <w:t xml:space="preserve">the </w:t>
            </w:r>
            <w:r w:rsidR="00197BB6" w:rsidRPr="001278ED">
              <w:rPr>
                <w:rFonts w:ascii="Times New Roman" w:eastAsia="DengXian" w:hAnsi="Times New Roman" w:cs="Times New Roman"/>
                <w:sz w:val="18"/>
                <w:szCs w:val="18"/>
              </w:rPr>
              <w:t xml:space="preserve">board risk committee to </w:t>
            </w:r>
            <w:r>
              <w:rPr>
                <w:rFonts w:ascii="Times New Roman" w:eastAsia="DengXian" w:hAnsi="Times New Roman" w:cs="Times New Roman"/>
                <w:sz w:val="18"/>
                <w:szCs w:val="18"/>
              </w:rPr>
              <w:t xml:space="preserve">the </w:t>
            </w:r>
            <w:r w:rsidR="00197BB6" w:rsidRPr="001278ED">
              <w:rPr>
                <w:rFonts w:ascii="Times New Roman" w:eastAsia="DengXian" w:hAnsi="Times New Roman" w:cs="Times New Roman"/>
                <w:sz w:val="18"/>
                <w:szCs w:val="18"/>
              </w:rPr>
              <w:t xml:space="preserve">total number of directors </w:t>
            </w:r>
          </w:p>
          <w:p w14:paraId="5CD75881" w14:textId="1513CDB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on board risk committee. (Malik et al</w:t>
            </w:r>
            <w:r w:rsidR="00E30E2D">
              <w:rPr>
                <w:rFonts w:ascii="Times New Roman" w:eastAsia="DengXian" w:hAnsi="Times New Roman" w:cs="Times New Roman"/>
                <w:sz w:val="18"/>
                <w:szCs w:val="18"/>
              </w:rPr>
              <w:t>.</w:t>
            </w:r>
            <w:r w:rsidRPr="001278ED">
              <w:rPr>
                <w:rFonts w:ascii="Times New Roman" w:eastAsia="DengXian" w:hAnsi="Times New Roman" w:cs="Times New Roman"/>
                <w:sz w:val="18"/>
                <w:szCs w:val="18"/>
              </w:rPr>
              <w:t>, 2020)</w:t>
            </w:r>
          </w:p>
        </w:tc>
        <w:tc>
          <w:tcPr>
            <w:tcW w:w="644" w:type="dxa"/>
            <w:tcBorders>
              <w:top w:val="single" w:sz="4" w:space="0" w:color="auto"/>
              <w:bottom w:val="single" w:sz="4" w:space="0" w:color="auto"/>
            </w:tcBorders>
          </w:tcPr>
          <w:p w14:paraId="4C6B2AD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1780</w:t>
            </w:r>
          </w:p>
        </w:tc>
        <w:tc>
          <w:tcPr>
            <w:tcW w:w="836" w:type="dxa"/>
            <w:tcBorders>
              <w:top w:val="single" w:sz="4" w:space="0" w:color="auto"/>
              <w:bottom w:val="single" w:sz="4" w:space="0" w:color="auto"/>
            </w:tcBorders>
          </w:tcPr>
          <w:p w14:paraId="4656B1F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0.087</w:t>
            </w:r>
          </w:p>
        </w:tc>
        <w:tc>
          <w:tcPr>
            <w:tcW w:w="801" w:type="dxa"/>
            <w:tcBorders>
              <w:top w:val="single" w:sz="4" w:space="0" w:color="auto"/>
              <w:bottom w:val="single" w:sz="4" w:space="0" w:color="auto"/>
            </w:tcBorders>
          </w:tcPr>
          <w:p w14:paraId="06F59431"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0.139</w:t>
            </w:r>
          </w:p>
        </w:tc>
        <w:tc>
          <w:tcPr>
            <w:tcW w:w="774" w:type="dxa"/>
            <w:tcBorders>
              <w:top w:val="single" w:sz="4" w:space="0" w:color="auto"/>
              <w:bottom w:val="single" w:sz="4" w:space="0" w:color="auto"/>
            </w:tcBorders>
          </w:tcPr>
          <w:p w14:paraId="1642D84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0</w:t>
            </w:r>
          </w:p>
        </w:tc>
        <w:tc>
          <w:tcPr>
            <w:tcW w:w="826" w:type="dxa"/>
            <w:tcBorders>
              <w:top w:val="single" w:sz="4" w:space="0" w:color="auto"/>
              <w:bottom w:val="single" w:sz="4" w:space="0" w:color="auto"/>
            </w:tcBorders>
          </w:tcPr>
          <w:p w14:paraId="1D6F98F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0</w:t>
            </w:r>
          </w:p>
        </w:tc>
        <w:tc>
          <w:tcPr>
            <w:tcW w:w="800" w:type="dxa"/>
            <w:tcBorders>
              <w:top w:val="single" w:sz="4" w:space="0" w:color="auto"/>
              <w:bottom w:val="single" w:sz="4" w:space="0" w:color="auto"/>
            </w:tcBorders>
          </w:tcPr>
          <w:p w14:paraId="5D4B597F"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0.2</w:t>
            </w:r>
          </w:p>
        </w:tc>
        <w:tc>
          <w:tcPr>
            <w:tcW w:w="773" w:type="dxa"/>
            <w:tcBorders>
              <w:top w:val="single" w:sz="4" w:space="0" w:color="auto"/>
              <w:bottom w:val="single" w:sz="4" w:space="0" w:color="auto"/>
            </w:tcBorders>
          </w:tcPr>
          <w:p w14:paraId="2EB55852" w14:textId="20903FDB"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7E0A0CF0" w14:textId="5460CC73"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65A73FF5" w14:textId="77777777" w:rsidTr="00963CA8">
        <w:trPr>
          <w:trHeight w:val="1147"/>
        </w:trPr>
        <w:tc>
          <w:tcPr>
            <w:tcW w:w="1290" w:type="dxa"/>
            <w:tcBorders>
              <w:top w:val="single" w:sz="4" w:space="0" w:color="auto"/>
              <w:left w:val="single" w:sz="4" w:space="0" w:color="auto"/>
              <w:bottom w:val="single" w:sz="4" w:space="0" w:color="auto"/>
            </w:tcBorders>
          </w:tcPr>
          <w:p w14:paraId="166008D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FEMALE ON BOARD</w:t>
            </w:r>
          </w:p>
        </w:tc>
        <w:tc>
          <w:tcPr>
            <w:tcW w:w="2064" w:type="dxa"/>
            <w:tcBorders>
              <w:top w:val="single" w:sz="4" w:space="0" w:color="auto"/>
              <w:bottom w:val="single" w:sz="4" w:space="0" w:color="auto"/>
            </w:tcBorders>
          </w:tcPr>
          <w:p w14:paraId="7D40E5BE" w14:textId="69BBBAF8" w:rsidR="00197BB6" w:rsidRPr="001278ED" w:rsidRDefault="00E30E2D" w:rsidP="001278ED">
            <w:pPr>
              <w:spacing w:after="0" w:line="240" w:lineRule="auto"/>
              <w:jc w:val="both"/>
              <w:rPr>
                <w:rFonts w:ascii="Times New Roman" w:eastAsia="DengXian" w:hAnsi="Times New Roman" w:cs="Times New Roman"/>
                <w:sz w:val="18"/>
                <w:szCs w:val="18"/>
              </w:rPr>
            </w:pPr>
            <w:r>
              <w:rPr>
                <w:rFonts w:ascii="Times New Roman" w:eastAsia="DengXian" w:hAnsi="Times New Roman" w:cs="Times New Roman"/>
                <w:sz w:val="18"/>
                <w:szCs w:val="18"/>
              </w:rPr>
              <w:t>The r</w:t>
            </w:r>
            <w:r w:rsidR="00197BB6" w:rsidRPr="001278ED">
              <w:rPr>
                <w:rFonts w:ascii="Times New Roman" w:eastAsia="DengXian" w:hAnsi="Times New Roman" w:cs="Times New Roman"/>
                <w:sz w:val="18"/>
                <w:szCs w:val="18"/>
              </w:rPr>
              <w:t xml:space="preserve">atio of female directors on </w:t>
            </w:r>
            <w:r>
              <w:rPr>
                <w:rFonts w:ascii="Times New Roman" w:eastAsia="DengXian" w:hAnsi="Times New Roman" w:cs="Times New Roman"/>
                <w:sz w:val="18"/>
                <w:szCs w:val="18"/>
              </w:rPr>
              <w:t xml:space="preserve">the </w:t>
            </w:r>
            <w:r w:rsidR="00197BB6" w:rsidRPr="001278ED">
              <w:rPr>
                <w:rFonts w:ascii="Times New Roman" w:eastAsia="DengXian" w:hAnsi="Times New Roman" w:cs="Times New Roman"/>
                <w:sz w:val="18"/>
                <w:szCs w:val="18"/>
              </w:rPr>
              <w:t xml:space="preserve">board to </w:t>
            </w:r>
            <w:r>
              <w:rPr>
                <w:rFonts w:ascii="Times New Roman" w:eastAsia="DengXian" w:hAnsi="Times New Roman" w:cs="Times New Roman"/>
                <w:sz w:val="18"/>
                <w:szCs w:val="18"/>
              </w:rPr>
              <w:t xml:space="preserve">the </w:t>
            </w:r>
            <w:r w:rsidR="00197BB6" w:rsidRPr="001278ED">
              <w:rPr>
                <w:rFonts w:ascii="Times New Roman" w:eastAsia="DengXian" w:hAnsi="Times New Roman" w:cs="Times New Roman"/>
                <w:sz w:val="18"/>
                <w:szCs w:val="18"/>
              </w:rPr>
              <w:t xml:space="preserve">total number of directors </w:t>
            </w:r>
          </w:p>
          <w:p w14:paraId="3DBA9399" w14:textId="505B89A4"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on board. (Sila et al</w:t>
            </w:r>
            <w:r w:rsidR="00E30E2D">
              <w:rPr>
                <w:rFonts w:ascii="Times New Roman" w:eastAsia="DengXian" w:hAnsi="Times New Roman" w:cs="Times New Roman"/>
                <w:sz w:val="18"/>
                <w:szCs w:val="18"/>
              </w:rPr>
              <w:t>.</w:t>
            </w:r>
            <w:r w:rsidRPr="001278ED">
              <w:rPr>
                <w:rFonts w:ascii="Times New Roman" w:eastAsia="DengXian" w:hAnsi="Times New Roman" w:cs="Times New Roman"/>
                <w:sz w:val="18"/>
                <w:szCs w:val="18"/>
              </w:rPr>
              <w:t>, 2016)</w:t>
            </w:r>
          </w:p>
        </w:tc>
        <w:tc>
          <w:tcPr>
            <w:tcW w:w="644" w:type="dxa"/>
            <w:tcBorders>
              <w:top w:val="single" w:sz="4" w:space="0" w:color="auto"/>
              <w:bottom w:val="single" w:sz="4" w:space="0" w:color="auto"/>
            </w:tcBorders>
          </w:tcPr>
          <w:p w14:paraId="39BD2BE0"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bottom w:val="single" w:sz="4" w:space="0" w:color="auto"/>
            </w:tcBorders>
          </w:tcPr>
          <w:p w14:paraId="2948FB4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0.124</w:t>
            </w:r>
          </w:p>
        </w:tc>
        <w:tc>
          <w:tcPr>
            <w:tcW w:w="801" w:type="dxa"/>
            <w:tcBorders>
              <w:top w:val="single" w:sz="4" w:space="0" w:color="auto"/>
              <w:bottom w:val="single" w:sz="4" w:space="0" w:color="auto"/>
            </w:tcBorders>
          </w:tcPr>
          <w:p w14:paraId="6FDDAB6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0.092</w:t>
            </w:r>
          </w:p>
        </w:tc>
        <w:tc>
          <w:tcPr>
            <w:tcW w:w="774" w:type="dxa"/>
            <w:tcBorders>
              <w:top w:val="single" w:sz="4" w:space="0" w:color="auto"/>
              <w:bottom w:val="single" w:sz="4" w:space="0" w:color="auto"/>
            </w:tcBorders>
          </w:tcPr>
          <w:p w14:paraId="2604DCD1"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0.111</w:t>
            </w:r>
          </w:p>
        </w:tc>
        <w:tc>
          <w:tcPr>
            <w:tcW w:w="826" w:type="dxa"/>
            <w:tcBorders>
              <w:top w:val="single" w:sz="4" w:space="0" w:color="auto"/>
              <w:bottom w:val="single" w:sz="4" w:space="0" w:color="auto"/>
            </w:tcBorders>
          </w:tcPr>
          <w:p w14:paraId="23980E7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0.067</w:t>
            </w:r>
          </w:p>
        </w:tc>
        <w:tc>
          <w:tcPr>
            <w:tcW w:w="800" w:type="dxa"/>
            <w:tcBorders>
              <w:top w:val="single" w:sz="4" w:space="0" w:color="auto"/>
              <w:bottom w:val="single" w:sz="4" w:space="0" w:color="auto"/>
            </w:tcBorders>
          </w:tcPr>
          <w:p w14:paraId="1B701BE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0.182</w:t>
            </w:r>
          </w:p>
        </w:tc>
        <w:tc>
          <w:tcPr>
            <w:tcW w:w="773" w:type="dxa"/>
            <w:tcBorders>
              <w:top w:val="single" w:sz="4" w:space="0" w:color="auto"/>
              <w:bottom w:val="single" w:sz="4" w:space="0" w:color="auto"/>
            </w:tcBorders>
          </w:tcPr>
          <w:p w14:paraId="36EB9F53" w14:textId="4ED1BF27"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084BF94A" w14:textId="58EE737F"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49EA718E" w14:textId="77777777" w:rsidTr="00963CA8">
        <w:trPr>
          <w:trHeight w:val="1604"/>
        </w:trPr>
        <w:tc>
          <w:tcPr>
            <w:tcW w:w="1290" w:type="dxa"/>
            <w:tcBorders>
              <w:top w:val="single" w:sz="4" w:space="0" w:color="auto"/>
              <w:left w:val="single" w:sz="4" w:space="0" w:color="auto"/>
              <w:bottom w:val="single" w:sz="4" w:space="0" w:color="auto"/>
            </w:tcBorders>
          </w:tcPr>
          <w:p w14:paraId="5C4D7D0F"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CRO REPORTING BOARD</w:t>
            </w:r>
          </w:p>
        </w:tc>
        <w:tc>
          <w:tcPr>
            <w:tcW w:w="2064" w:type="dxa"/>
            <w:tcBorders>
              <w:top w:val="single" w:sz="4" w:space="0" w:color="auto"/>
              <w:bottom w:val="single" w:sz="4" w:space="0" w:color="auto"/>
            </w:tcBorders>
          </w:tcPr>
          <w:p w14:paraId="23C3873C" w14:textId="6200BDCB"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 xml:space="preserve">A dummy variable equals 1 </w:t>
            </w:r>
            <w:r w:rsidR="0091261D">
              <w:rPr>
                <w:rFonts w:ascii="Times New Roman" w:eastAsia="DengXian" w:hAnsi="Times New Roman" w:cs="Times New Roman"/>
                <w:sz w:val="18"/>
                <w:szCs w:val="18"/>
              </w:rPr>
              <w:t xml:space="preserve">for the CRO reporting to the board directly and </w:t>
            </w:r>
            <w:r w:rsidRPr="001278ED">
              <w:rPr>
                <w:rFonts w:ascii="Times New Roman" w:eastAsia="DengXian" w:hAnsi="Times New Roman" w:cs="Times New Roman"/>
                <w:sz w:val="18"/>
                <w:szCs w:val="18"/>
              </w:rPr>
              <w:t>0 if the CRO reports to the CEO (Aebi et al</w:t>
            </w:r>
            <w:r w:rsidR="00E30E2D">
              <w:rPr>
                <w:rFonts w:ascii="Times New Roman" w:eastAsia="DengXian" w:hAnsi="Times New Roman" w:cs="Times New Roman"/>
                <w:sz w:val="18"/>
                <w:szCs w:val="18"/>
              </w:rPr>
              <w:t>.</w:t>
            </w:r>
            <w:r w:rsidRPr="001278ED">
              <w:rPr>
                <w:rFonts w:ascii="Times New Roman" w:eastAsia="DengXian" w:hAnsi="Times New Roman" w:cs="Times New Roman"/>
                <w:sz w:val="18"/>
                <w:szCs w:val="18"/>
              </w:rPr>
              <w:t>, 2012)</w:t>
            </w:r>
          </w:p>
        </w:tc>
        <w:tc>
          <w:tcPr>
            <w:tcW w:w="644" w:type="dxa"/>
            <w:tcBorders>
              <w:top w:val="single" w:sz="4" w:space="0" w:color="auto"/>
              <w:bottom w:val="single" w:sz="4" w:space="0" w:color="auto"/>
            </w:tcBorders>
          </w:tcPr>
          <w:p w14:paraId="1F27DA0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bottom w:val="single" w:sz="4" w:space="0" w:color="auto"/>
            </w:tcBorders>
          </w:tcPr>
          <w:p w14:paraId="56E3C7C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0.223</w:t>
            </w:r>
          </w:p>
        </w:tc>
        <w:tc>
          <w:tcPr>
            <w:tcW w:w="801" w:type="dxa"/>
            <w:tcBorders>
              <w:top w:val="single" w:sz="4" w:space="0" w:color="auto"/>
              <w:bottom w:val="single" w:sz="4" w:space="0" w:color="auto"/>
            </w:tcBorders>
          </w:tcPr>
          <w:p w14:paraId="7B73446D"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0.416</w:t>
            </w:r>
          </w:p>
        </w:tc>
        <w:tc>
          <w:tcPr>
            <w:tcW w:w="774" w:type="dxa"/>
            <w:tcBorders>
              <w:top w:val="single" w:sz="4" w:space="0" w:color="auto"/>
              <w:bottom w:val="single" w:sz="4" w:space="0" w:color="auto"/>
            </w:tcBorders>
          </w:tcPr>
          <w:p w14:paraId="1014F978"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826" w:type="dxa"/>
            <w:tcBorders>
              <w:top w:val="single" w:sz="4" w:space="0" w:color="auto"/>
              <w:bottom w:val="single" w:sz="4" w:space="0" w:color="auto"/>
            </w:tcBorders>
          </w:tcPr>
          <w:p w14:paraId="0FB32B6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800" w:type="dxa"/>
            <w:tcBorders>
              <w:top w:val="single" w:sz="4" w:space="0" w:color="auto"/>
              <w:bottom w:val="single" w:sz="4" w:space="0" w:color="auto"/>
            </w:tcBorders>
          </w:tcPr>
          <w:p w14:paraId="67954B89"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773" w:type="dxa"/>
            <w:tcBorders>
              <w:top w:val="single" w:sz="4" w:space="0" w:color="auto"/>
              <w:bottom w:val="single" w:sz="4" w:space="0" w:color="auto"/>
            </w:tcBorders>
          </w:tcPr>
          <w:p w14:paraId="657FB24A" w14:textId="78233ACC"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6EE7B3D2" w14:textId="5F9F2A36"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74EE9D02" w14:textId="77777777" w:rsidTr="00963CA8">
        <w:trPr>
          <w:trHeight w:val="224"/>
        </w:trPr>
        <w:tc>
          <w:tcPr>
            <w:tcW w:w="9909" w:type="dxa"/>
            <w:gridSpan w:val="10"/>
            <w:tcBorders>
              <w:top w:val="single" w:sz="4" w:space="0" w:color="auto"/>
              <w:left w:val="single" w:sz="4" w:space="0" w:color="auto"/>
              <w:right w:val="single" w:sz="4" w:space="0" w:color="auto"/>
            </w:tcBorders>
          </w:tcPr>
          <w:p w14:paraId="42132E93"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b/>
                <w:bCs/>
                <w:sz w:val="18"/>
                <w:szCs w:val="18"/>
              </w:rPr>
              <w:t>Control Variables</w:t>
            </w:r>
          </w:p>
        </w:tc>
      </w:tr>
      <w:tr w:rsidR="00197BB6" w:rsidRPr="001278ED" w14:paraId="40BC1358" w14:textId="77777777" w:rsidTr="00963CA8">
        <w:trPr>
          <w:trHeight w:val="1372"/>
        </w:trPr>
        <w:tc>
          <w:tcPr>
            <w:tcW w:w="1290" w:type="dxa"/>
            <w:tcBorders>
              <w:left w:val="single" w:sz="4" w:space="0" w:color="auto"/>
              <w:bottom w:val="single" w:sz="4" w:space="0" w:color="auto"/>
            </w:tcBorders>
          </w:tcPr>
          <w:p w14:paraId="010A4D3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BOARD INDEPENDENCE</w:t>
            </w:r>
          </w:p>
        </w:tc>
        <w:tc>
          <w:tcPr>
            <w:tcW w:w="2064" w:type="dxa"/>
            <w:tcBorders>
              <w:bottom w:val="single" w:sz="4" w:space="0" w:color="auto"/>
            </w:tcBorders>
          </w:tcPr>
          <w:p w14:paraId="0341EC37"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The fraction of independent directors on the BHC's</w:t>
            </w:r>
          </w:p>
          <w:p w14:paraId="130F9F4D" w14:textId="517DFEB2"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board of directors (Ellul and Yeramilli,2013; Sila et al</w:t>
            </w:r>
            <w:r w:rsidR="00E30E2D">
              <w:rPr>
                <w:rFonts w:ascii="Times New Roman" w:eastAsia="DengXian" w:hAnsi="Times New Roman" w:cs="Times New Roman"/>
                <w:sz w:val="18"/>
                <w:szCs w:val="18"/>
              </w:rPr>
              <w:t>.</w:t>
            </w:r>
            <w:r w:rsidRPr="001278ED">
              <w:rPr>
                <w:rFonts w:ascii="Times New Roman" w:eastAsia="DengXian" w:hAnsi="Times New Roman" w:cs="Times New Roman"/>
                <w:sz w:val="18"/>
                <w:szCs w:val="18"/>
              </w:rPr>
              <w:t>, 2016)</w:t>
            </w:r>
          </w:p>
        </w:tc>
        <w:tc>
          <w:tcPr>
            <w:tcW w:w="644" w:type="dxa"/>
            <w:tcBorders>
              <w:bottom w:val="single" w:sz="4" w:space="0" w:color="auto"/>
            </w:tcBorders>
          </w:tcPr>
          <w:p w14:paraId="595EF71E"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1780</w:t>
            </w:r>
          </w:p>
        </w:tc>
        <w:tc>
          <w:tcPr>
            <w:tcW w:w="836" w:type="dxa"/>
            <w:tcBorders>
              <w:bottom w:val="single" w:sz="4" w:space="0" w:color="auto"/>
            </w:tcBorders>
          </w:tcPr>
          <w:p w14:paraId="2B3B168D"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0.775</w:t>
            </w:r>
          </w:p>
        </w:tc>
        <w:tc>
          <w:tcPr>
            <w:tcW w:w="801" w:type="dxa"/>
            <w:tcBorders>
              <w:bottom w:val="single" w:sz="4" w:space="0" w:color="auto"/>
            </w:tcBorders>
          </w:tcPr>
          <w:p w14:paraId="14DCD686"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0.142</w:t>
            </w:r>
          </w:p>
        </w:tc>
        <w:tc>
          <w:tcPr>
            <w:tcW w:w="774" w:type="dxa"/>
            <w:tcBorders>
              <w:bottom w:val="single" w:sz="4" w:space="0" w:color="auto"/>
            </w:tcBorders>
          </w:tcPr>
          <w:p w14:paraId="771E881A"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0.818</w:t>
            </w:r>
          </w:p>
        </w:tc>
        <w:tc>
          <w:tcPr>
            <w:tcW w:w="826" w:type="dxa"/>
            <w:tcBorders>
              <w:bottom w:val="single" w:sz="4" w:space="0" w:color="auto"/>
            </w:tcBorders>
          </w:tcPr>
          <w:p w14:paraId="69583AD7"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0.684</w:t>
            </w:r>
          </w:p>
        </w:tc>
        <w:tc>
          <w:tcPr>
            <w:tcW w:w="800" w:type="dxa"/>
            <w:tcBorders>
              <w:bottom w:val="single" w:sz="4" w:space="0" w:color="auto"/>
            </w:tcBorders>
          </w:tcPr>
          <w:p w14:paraId="78D62B6F"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0.888</w:t>
            </w:r>
          </w:p>
        </w:tc>
        <w:tc>
          <w:tcPr>
            <w:tcW w:w="773" w:type="dxa"/>
            <w:tcBorders>
              <w:bottom w:val="single" w:sz="4" w:space="0" w:color="auto"/>
            </w:tcBorders>
          </w:tcPr>
          <w:p w14:paraId="4B4D3FA7" w14:textId="0AB4DE07" w:rsidR="00197BB6" w:rsidRPr="001278ED" w:rsidRDefault="00197BB6" w:rsidP="00197BB6">
            <w:pPr>
              <w:spacing w:after="0" w:line="240" w:lineRule="auto"/>
              <w:rPr>
                <w:rFonts w:ascii="Times New Roman" w:eastAsia="DengXian" w:hAnsi="Times New Roman" w:cs="Times New Roman"/>
                <w:smallCaps/>
                <w:sz w:val="18"/>
                <w:szCs w:val="18"/>
              </w:rPr>
            </w:pPr>
          </w:p>
        </w:tc>
        <w:tc>
          <w:tcPr>
            <w:tcW w:w="1095" w:type="dxa"/>
            <w:tcBorders>
              <w:bottom w:val="single" w:sz="4" w:space="0" w:color="auto"/>
              <w:right w:val="single" w:sz="4" w:space="0" w:color="auto"/>
            </w:tcBorders>
          </w:tcPr>
          <w:p w14:paraId="6D8FCD18" w14:textId="7A939480" w:rsidR="00197BB6" w:rsidRPr="001278ED" w:rsidRDefault="00197BB6" w:rsidP="00197BB6">
            <w:pPr>
              <w:spacing w:after="0" w:line="240" w:lineRule="auto"/>
              <w:rPr>
                <w:rFonts w:ascii="Times New Roman" w:eastAsia="DengXian" w:hAnsi="Times New Roman" w:cs="Times New Roman"/>
                <w:smallCaps/>
                <w:sz w:val="18"/>
                <w:szCs w:val="18"/>
              </w:rPr>
            </w:pPr>
          </w:p>
        </w:tc>
      </w:tr>
      <w:tr w:rsidR="00197BB6" w:rsidRPr="001278ED" w14:paraId="6B66776E" w14:textId="77777777" w:rsidTr="00963CA8">
        <w:trPr>
          <w:trHeight w:val="923"/>
        </w:trPr>
        <w:tc>
          <w:tcPr>
            <w:tcW w:w="1290" w:type="dxa"/>
            <w:tcBorders>
              <w:top w:val="single" w:sz="4" w:space="0" w:color="auto"/>
              <w:left w:val="single" w:sz="4" w:space="0" w:color="auto"/>
              <w:bottom w:val="single" w:sz="4" w:space="0" w:color="auto"/>
            </w:tcBorders>
          </w:tcPr>
          <w:p w14:paraId="0A3EFA1A"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BOARD SIZE</w:t>
            </w:r>
          </w:p>
        </w:tc>
        <w:tc>
          <w:tcPr>
            <w:tcW w:w="2064" w:type="dxa"/>
            <w:tcBorders>
              <w:top w:val="single" w:sz="4" w:space="0" w:color="auto"/>
              <w:bottom w:val="single" w:sz="4" w:space="0" w:color="auto"/>
            </w:tcBorders>
          </w:tcPr>
          <w:p w14:paraId="2D0D76D6" w14:textId="11F7517F" w:rsidR="00197BB6" w:rsidRPr="001278ED" w:rsidRDefault="00E30E2D" w:rsidP="001278ED">
            <w:pPr>
              <w:spacing w:after="0" w:line="240" w:lineRule="auto"/>
              <w:jc w:val="both"/>
              <w:rPr>
                <w:rFonts w:ascii="Times New Roman" w:eastAsia="DengXian" w:hAnsi="Times New Roman" w:cs="Times New Roman"/>
                <w:sz w:val="18"/>
                <w:szCs w:val="18"/>
              </w:rPr>
            </w:pPr>
            <w:r>
              <w:rPr>
                <w:rFonts w:ascii="Times New Roman" w:eastAsia="DengXian" w:hAnsi="Times New Roman" w:cs="Times New Roman"/>
                <w:sz w:val="18"/>
                <w:szCs w:val="18"/>
              </w:rPr>
              <w:t>The l</w:t>
            </w:r>
            <w:r w:rsidR="00197BB6" w:rsidRPr="001278ED">
              <w:rPr>
                <w:rFonts w:ascii="Times New Roman" w:eastAsia="DengXian" w:hAnsi="Times New Roman" w:cs="Times New Roman"/>
                <w:sz w:val="18"/>
                <w:szCs w:val="18"/>
              </w:rPr>
              <w:t xml:space="preserve">ogarithm of </w:t>
            </w:r>
            <w:r>
              <w:rPr>
                <w:rFonts w:ascii="Times New Roman" w:eastAsia="DengXian" w:hAnsi="Times New Roman" w:cs="Times New Roman"/>
                <w:sz w:val="18"/>
                <w:szCs w:val="18"/>
              </w:rPr>
              <w:t xml:space="preserve">the </w:t>
            </w:r>
            <w:r w:rsidR="00197BB6" w:rsidRPr="001278ED">
              <w:rPr>
                <w:rFonts w:ascii="Times New Roman" w:eastAsia="DengXian" w:hAnsi="Times New Roman" w:cs="Times New Roman"/>
                <w:sz w:val="18"/>
                <w:szCs w:val="18"/>
              </w:rPr>
              <w:t>total number of directors on the board. (Malik et al</w:t>
            </w:r>
            <w:r>
              <w:rPr>
                <w:rFonts w:ascii="Times New Roman" w:eastAsia="DengXian" w:hAnsi="Times New Roman" w:cs="Times New Roman"/>
                <w:sz w:val="18"/>
                <w:szCs w:val="18"/>
              </w:rPr>
              <w:t>.</w:t>
            </w:r>
            <w:r w:rsidR="00197BB6" w:rsidRPr="001278ED">
              <w:rPr>
                <w:rFonts w:ascii="Times New Roman" w:eastAsia="DengXian" w:hAnsi="Times New Roman" w:cs="Times New Roman"/>
                <w:sz w:val="18"/>
                <w:szCs w:val="18"/>
              </w:rPr>
              <w:t>, 2020)</w:t>
            </w:r>
          </w:p>
        </w:tc>
        <w:tc>
          <w:tcPr>
            <w:tcW w:w="644" w:type="dxa"/>
            <w:tcBorders>
              <w:top w:val="single" w:sz="4" w:space="0" w:color="auto"/>
              <w:bottom w:val="single" w:sz="4" w:space="0" w:color="auto"/>
            </w:tcBorders>
          </w:tcPr>
          <w:p w14:paraId="7894BCD7"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bottom w:val="single" w:sz="4" w:space="0" w:color="auto"/>
            </w:tcBorders>
          </w:tcPr>
          <w:p w14:paraId="7D1D80C8"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13.037</w:t>
            </w:r>
          </w:p>
        </w:tc>
        <w:tc>
          <w:tcPr>
            <w:tcW w:w="801" w:type="dxa"/>
            <w:tcBorders>
              <w:top w:val="single" w:sz="4" w:space="0" w:color="auto"/>
              <w:bottom w:val="single" w:sz="4" w:space="0" w:color="auto"/>
            </w:tcBorders>
          </w:tcPr>
          <w:p w14:paraId="6FE28272"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3.374</w:t>
            </w:r>
          </w:p>
        </w:tc>
        <w:tc>
          <w:tcPr>
            <w:tcW w:w="774" w:type="dxa"/>
            <w:tcBorders>
              <w:top w:val="single" w:sz="4" w:space="0" w:color="auto"/>
              <w:bottom w:val="single" w:sz="4" w:space="0" w:color="auto"/>
            </w:tcBorders>
          </w:tcPr>
          <w:p w14:paraId="5FB3511D"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13</w:t>
            </w:r>
          </w:p>
        </w:tc>
        <w:tc>
          <w:tcPr>
            <w:tcW w:w="826" w:type="dxa"/>
            <w:tcBorders>
              <w:top w:val="single" w:sz="4" w:space="0" w:color="auto"/>
              <w:bottom w:val="single" w:sz="4" w:space="0" w:color="auto"/>
            </w:tcBorders>
          </w:tcPr>
          <w:p w14:paraId="7D3BAF8E"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11</w:t>
            </w:r>
          </w:p>
        </w:tc>
        <w:tc>
          <w:tcPr>
            <w:tcW w:w="800" w:type="dxa"/>
            <w:tcBorders>
              <w:top w:val="single" w:sz="4" w:space="0" w:color="auto"/>
              <w:bottom w:val="single" w:sz="4" w:space="0" w:color="auto"/>
            </w:tcBorders>
          </w:tcPr>
          <w:p w14:paraId="75CADB9C"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15</w:t>
            </w:r>
          </w:p>
        </w:tc>
        <w:tc>
          <w:tcPr>
            <w:tcW w:w="773" w:type="dxa"/>
            <w:tcBorders>
              <w:top w:val="single" w:sz="4" w:space="0" w:color="auto"/>
              <w:bottom w:val="single" w:sz="4" w:space="0" w:color="auto"/>
            </w:tcBorders>
          </w:tcPr>
          <w:p w14:paraId="0257E7C9" w14:textId="097AB641" w:rsidR="00197BB6" w:rsidRPr="001278ED" w:rsidRDefault="00197BB6" w:rsidP="00197BB6">
            <w:pPr>
              <w:spacing w:after="0" w:line="240" w:lineRule="auto"/>
              <w:rPr>
                <w:rFonts w:ascii="Times New Roman" w:eastAsia="DengXian" w:hAnsi="Times New Roman" w:cs="Times New Roman"/>
                <w:smallCaps/>
                <w:sz w:val="18"/>
                <w:szCs w:val="18"/>
              </w:rPr>
            </w:pPr>
          </w:p>
        </w:tc>
        <w:tc>
          <w:tcPr>
            <w:tcW w:w="1095" w:type="dxa"/>
            <w:tcBorders>
              <w:top w:val="single" w:sz="4" w:space="0" w:color="auto"/>
              <w:bottom w:val="single" w:sz="4" w:space="0" w:color="auto"/>
              <w:right w:val="single" w:sz="4" w:space="0" w:color="auto"/>
            </w:tcBorders>
          </w:tcPr>
          <w:p w14:paraId="0163C418" w14:textId="57B658D5" w:rsidR="00197BB6" w:rsidRPr="001278ED" w:rsidRDefault="00197BB6" w:rsidP="00197BB6">
            <w:pPr>
              <w:spacing w:after="0" w:line="240" w:lineRule="auto"/>
              <w:rPr>
                <w:rFonts w:ascii="Times New Roman" w:eastAsia="DengXian" w:hAnsi="Times New Roman" w:cs="Times New Roman"/>
                <w:smallCaps/>
                <w:sz w:val="18"/>
                <w:szCs w:val="18"/>
              </w:rPr>
            </w:pPr>
          </w:p>
        </w:tc>
      </w:tr>
      <w:tr w:rsidR="00197BB6" w:rsidRPr="001278ED" w14:paraId="0D326F42" w14:textId="77777777" w:rsidTr="00963CA8">
        <w:trPr>
          <w:trHeight w:val="681"/>
        </w:trPr>
        <w:tc>
          <w:tcPr>
            <w:tcW w:w="1290" w:type="dxa"/>
            <w:tcBorders>
              <w:top w:val="single" w:sz="4" w:space="0" w:color="auto"/>
              <w:left w:val="single" w:sz="4" w:space="0" w:color="auto"/>
            </w:tcBorders>
          </w:tcPr>
          <w:p w14:paraId="550095F7"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CEO DUALITY</w:t>
            </w:r>
          </w:p>
        </w:tc>
        <w:tc>
          <w:tcPr>
            <w:tcW w:w="2064" w:type="dxa"/>
            <w:tcBorders>
              <w:top w:val="single" w:sz="4" w:space="0" w:color="auto"/>
            </w:tcBorders>
          </w:tcPr>
          <w:p w14:paraId="1285F7D4"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A dummy variable equal to one if the Chief Executive Officer is also the chairman, zero otherwise at the end of fiscal year t. (Schopohl et al, 2021)</w:t>
            </w:r>
          </w:p>
        </w:tc>
        <w:tc>
          <w:tcPr>
            <w:tcW w:w="644" w:type="dxa"/>
            <w:tcBorders>
              <w:top w:val="single" w:sz="4" w:space="0" w:color="auto"/>
            </w:tcBorders>
          </w:tcPr>
          <w:p w14:paraId="3881445A"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tcBorders>
          </w:tcPr>
          <w:p w14:paraId="5227FD59"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0.482</w:t>
            </w:r>
          </w:p>
        </w:tc>
        <w:tc>
          <w:tcPr>
            <w:tcW w:w="801" w:type="dxa"/>
            <w:tcBorders>
              <w:top w:val="single" w:sz="4" w:space="0" w:color="auto"/>
            </w:tcBorders>
          </w:tcPr>
          <w:p w14:paraId="632F1233"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0.499</w:t>
            </w:r>
          </w:p>
        </w:tc>
        <w:tc>
          <w:tcPr>
            <w:tcW w:w="774" w:type="dxa"/>
            <w:tcBorders>
              <w:top w:val="single" w:sz="4" w:space="0" w:color="auto"/>
            </w:tcBorders>
          </w:tcPr>
          <w:p w14:paraId="1FDA2AB0"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w:t>
            </w:r>
          </w:p>
        </w:tc>
        <w:tc>
          <w:tcPr>
            <w:tcW w:w="826" w:type="dxa"/>
            <w:tcBorders>
              <w:top w:val="single" w:sz="4" w:space="0" w:color="auto"/>
            </w:tcBorders>
          </w:tcPr>
          <w:p w14:paraId="0FA45498"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0</w:t>
            </w:r>
          </w:p>
        </w:tc>
        <w:tc>
          <w:tcPr>
            <w:tcW w:w="800" w:type="dxa"/>
            <w:tcBorders>
              <w:top w:val="single" w:sz="4" w:space="0" w:color="auto"/>
            </w:tcBorders>
          </w:tcPr>
          <w:p w14:paraId="2E4DF69B"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w:t>
            </w:r>
          </w:p>
        </w:tc>
        <w:tc>
          <w:tcPr>
            <w:tcW w:w="773" w:type="dxa"/>
            <w:tcBorders>
              <w:top w:val="single" w:sz="4" w:space="0" w:color="auto"/>
            </w:tcBorders>
          </w:tcPr>
          <w:p w14:paraId="7FFA524D" w14:textId="1A18FE03" w:rsidR="00197BB6" w:rsidRPr="001278ED" w:rsidRDefault="00197BB6" w:rsidP="00197BB6">
            <w:pPr>
              <w:spacing w:after="0" w:line="240" w:lineRule="auto"/>
              <w:rPr>
                <w:rFonts w:ascii="Times New Roman" w:eastAsia="DengXian" w:hAnsi="Times New Roman" w:cs="Times New Roman"/>
                <w:smallCaps/>
                <w:sz w:val="18"/>
                <w:szCs w:val="18"/>
              </w:rPr>
            </w:pPr>
          </w:p>
        </w:tc>
        <w:tc>
          <w:tcPr>
            <w:tcW w:w="1095" w:type="dxa"/>
            <w:tcBorders>
              <w:top w:val="single" w:sz="4" w:space="0" w:color="auto"/>
              <w:right w:val="single" w:sz="4" w:space="0" w:color="auto"/>
            </w:tcBorders>
          </w:tcPr>
          <w:p w14:paraId="41344471" w14:textId="43AE8B0B" w:rsidR="00197BB6" w:rsidRPr="001278ED" w:rsidRDefault="00197BB6" w:rsidP="00197BB6">
            <w:pPr>
              <w:spacing w:after="0" w:line="240" w:lineRule="auto"/>
              <w:rPr>
                <w:rFonts w:ascii="Times New Roman" w:eastAsia="DengXian" w:hAnsi="Times New Roman" w:cs="Times New Roman"/>
                <w:smallCaps/>
                <w:sz w:val="18"/>
                <w:szCs w:val="18"/>
              </w:rPr>
            </w:pPr>
          </w:p>
        </w:tc>
      </w:tr>
      <w:tr w:rsidR="00197BB6" w:rsidRPr="001278ED" w14:paraId="5676B5FD" w14:textId="77777777" w:rsidTr="00963CA8">
        <w:trPr>
          <w:trHeight w:val="142"/>
        </w:trPr>
        <w:tc>
          <w:tcPr>
            <w:tcW w:w="1290" w:type="dxa"/>
            <w:tcBorders>
              <w:left w:val="single" w:sz="4" w:space="0" w:color="auto"/>
              <w:bottom w:val="single" w:sz="4" w:space="0" w:color="auto"/>
            </w:tcBorders>
          </w:tcPr>
          <w:p w14:paraId="62E2E009"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CEO Compensati</w:t>
            </w:r>
            <w:r w:rsidRPr="001278ED">
              <w:rPr>
                <w:rFonts w:ascii="Times New Roman" w:eastAsia="DengXian" w:hAnsi="Times New Roman" w:cs="Times New Roman"/>
                <w:sz w:val="18"/>
                <w:szCs w:val="18"/>
              </w:rPr>
              <w:t>o</w:t>
            </w:r>
            <w:r w:rsidRPr="001278ED">
              <w:rPr>
                <w:rFonts w:ascii="Times New Roman" w:eastAsia="DengXian" w:hAnsi="Times New Roman" w:cs="Times New Roman"/>
                <w:smallCaps/>
                <w:sz w:val="18"/>
                <w:szCs w:val="18"/>
              </w:rPr>
              <w:t>n ($ million)</w:t>
            </w:r>
          </w:p>
        </w:tc>
        <w:tc>
          <w:tcPr>
            <w:tcW w:w="2064" w:type="dxa"/>
            <w:tcBorders>
              <w:bottom w:val="single" w:sz="4" w:space="0" w:color="auto"/>
            </w:tcBorders>
          </w:tcPr>
          <w:p w14:paraId="5166C726" w14:textId="1E05656A"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 xml:space="preserve">total compensation of an executive </w:t>
            </w:r>
            <w:r w:rsidR="001278ED" w:rsidRPr="001278ED">
              <w:rPr>
                <w:rFonts w:ascii="Times New Roman" w:eastAsia="DengXian" w:hAnsi="Times New Roman" w:cs="Times New Roman"/>
                <w:sz w:val="18"/>
                <w:szCs w:val="18"/>
              </w:rPr>
              <w:t>is</w:t>
            </w:r>
            <w:r w:rsidR="001278ED">
              <w:rPr>
                <w:rFonts w:ascii="Times New Roman" w:eastAsia="DengXian" w:hAnsi="Times New Roman" w:cs="Times New Roman"/>
                <w:sz w:val="18"/>
                <w:szCs w:val="18"/>
              </w:rPr>
              <w:t xml:space="preserve"> </w:t>
            </w:r>
            <w:r w:rsidRPr="001278ED">
              <w:rPr>
                <w:rFonts w:ascii="Times New Roman" w:eastAsia="DengXian" w:hAnsi="Times New Roman" w:cs="Times New Roman"/>
                <w:sz w:val="18"/>
                <w:szCs w:val="18"/>
              </w:rPr>
              <w:t>defined as the sum of the following data items: salary, bonus payment,</w:t>
            </w:r>
            <w:r w:rsidR="001278ED">
              <w:rPr>
                <w:rFonts w:ascii="Times New Roman" w:eastAsia="DengXian" w:hAnsi="Times New Roman" w:cs="Times New Roman"/>
                <w:sz w:val="18"/>
                <w:szCs w:val="18"/>
              </w:rPr>
              <w:t xml:space="preserve"> </w:t>
            </w:r>
            <w:r w:rsidRPr="001278ED">
              <w:rPr>
                <w:rFonts w:ascii="Times New Roman" w:eastAsia="DengXian" w:hAnsi="Times New Roman" w:cs="Times New Roman"/>
                <w:sz w:val="18"/>
                <w:szCs w:val="18"/>
              </w:rPr>
              <w:t xml:space="preserve">other compensation, </w:t>
            </w:r>
          </w:p>
          <w:p w14:paraId="6EF2E3AE" w14:textId="237DDD02"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 xml:space="preserve">long term incentives </w:t>
            </w:r>
            <w:r w:rsidR="001278ED" w:rsidRPr="001278ED">
              <w:rPr>
                <w:rFonts w:ascii="Times New Roman" w:eastAsia="DengXian" w:hAnsi="Times New Roman" w:cs="Times New Roman"/>
                <w:sz w:val="18"/>
                <w:szCs w:val="18"/>
              </w:rPr>
              <w:t>plan</w:t>
            </w:r>
            <w:r w:rsidRPr="001278ED">
              <w:rPr>
                <w:rFonts w:ascii="Times New Roman" w:eastAsia="DengXian" w:hAnsi="Times New Roman" w:cs="Times New Roman"/>
                <w:sz w:val="18"/>
                <w:szCs w:val="18"/>
              </w:rPr>
              <w:t>, shares and options (Cheng at al, 2010; Lingel and Sheedy, 2012)</w:t>
            </w:r>
          </w:p>
        </w:tc>
        <w:tc>
          <w:tcPr>
            <w:tcW w:w="644" w:type="dxa"/>
            <w:tcBorders>
              <w:bottom w:val="single" w:sz="4" w:space="0" w:color="auto"/>
            </w:tcBorders>
          </w:tcPr>
          <w:p w14:paraId="7715731C"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1720</w:t>
            </w:r>
          </w:p>
        </w:tc>
        <w:tc>
          <w:tcPr>
            <w:tcW w:w="836" w:type="dxa"/>
            <w:tcBorders>
              <w:bottom w:val="single" w:sz="4" w:space="0" w:color="auto"/>
            </w:tcBorders>
          </w:tcPr>
          <w:p w14:paraId="0CEDDE67"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839.948</w:t>
            </w:r>
          </w:p>
        </w:tc>
        <w:tc>
          <w:tcPr>
            <w:tcW w:w="801" w:type="dxa"/>
            <w:tcBorders>
              <w:bottom w:val="single" w:sz="4" w:space="0" w:color="auto"/>
            </w:tcBorders>
          </w:tcPr>
          <w:p w14:paraId="1C79D82E"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496.076</w:t>
            </w:r>
          </w:p>
        </w:tc>
        <w:tc>
          <w:tcPr>
            <w:tcW w:w="774" w:type="dxa"/>
            <w:tcBorders>
              <w:bottom w:val="single" w:sz="4" w:space="0" w:color="auto"/>
            </w:tcBorders>
          </w:tcPr>
          <w:p w14:paraId="0967307C"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839.5</w:t>
            </w:r>
          </w:p>
        </w:tc>
        <w:tc>
          <w:tcPr>
            <w:tcW w:w="826" w:type="dxa"/>
            <w:tcBorders>
              <w:bottom w:val="single" w:sz="4" w:space="0" w:color="auto"/>
            </w:tcBorders>
          </w:tcPr>
          <w:p w14:paraId="56BBBB5E"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410.5</w:t>
            </w:r>
          </w:p>
        </w:tc>
        <w:tc>
          <w:tcPr>
            <w:tcW w:w="800" w:type="dxa"/>
            <w:tcBorders>
              <w:bottom w:val="single" w:sz="4" w:space="0" w:color="auto"/>
            </w:tcBorders>
          </w:tcPr>
          <w:p w14:paraId="7B0FF96F" w14:textId="77777777" w:rsidR="00197BB6" w:rsidRPr="001278ED" w:rsidRDefault="00197BB6" w:rsidP="00197BB6">
            <w:pPr>
              <w:spacing w:after="0" w:line="240" w:lineRule="auto"/>
              <w:rPr>
                <w:rFonts w:ascii="Times New Roman" w:eastAsia="DengXian" w:hAnsi="Times New Roman" w:cs="Times New Roman"/>
                <w:smallCaps/>
                <w:sz w:val="18"/>
                <w:szCs w:val="18"/>
              </w:rPr>
            </w:pPr>
            <w:r w:rsidRPr="001278ED">
              <w:rPr>
                <w:rFonts w:ascii="Times New Roman" w:eastAsia="DengXian" w:hAnsi="Times New Roman" w:cs="Times New Roman"/>
                <w:smallCaps/>
                <w:sz w:val="18"/>
                <w:szCs w:val="18"/>
              </w:rPr>
              <w:t>1269.5</w:t>
            </w:r>
          </w:p>
        </w:tc>
        <w:tc>
          <w:tcPr>
            <w:tcW w:w="773" w:type="dxa"/>
            <w:tcBorders>
              <w:bottom w:val="single" w:sz="4" w:space="0" w:color="auto"/>
            </w:tcBorders>
          </w:tcPr>
          <w:p w14:paraId="2EE113EE" w14:textId="5A3C1419" w:rsidR="00197BB6" w:rsidRPr="001278ED" w:rsidRDefault="00197BB6" w:rsidP="00197BB6">
            <w:pPr>
              <w:spacing w:after="0" w:line="240" w:lineRule="auto"/>
              <w:rPr>
                <w:rFonts w:ascii="Times New Roman" w:eastAsia="DengXian" w:hAnsi="Times New Roman" w:cs="Times New Roman"/>
                <w:smallCaps/>
                <w:sz w:val="18"/>
                <w:szCs w:val="18"/>
              </w:rPr>
            </w:pPr>
          </w:p>
        </w:tc>
        <w:tc>
          <w:tcPr>
            <w:tcW w:w="1095" w:type="dxa"/>
            <w:tcBorders>
              <w:bottom w:val="single" w:sz="4" w:space="0" w:color="auto"/>
              <w:right w:val="single" w:sz="4" w:space="0" w:color="auto"/>
            </w:tcBorders>
          </w:tcPr>
          <w:p w14:paraId="0BC66E00" w14:textId="4BD58AD6" w:rsidR="00197BB6" w:rsidRPr="001278ED" w:rsidRDefault="00197BB6" w:rsidP="00197BB6">
            <w:pPr>
              <w:spacing w:after="0" w:line="240" w:lineRule="auto"/>
              <w:rPr>
                <w:rFonts w:ascii="Times New Roman" w:eastAsia="DengXian" w:hAnsi="Times New Roman" w:cs="Times New Roman"/>
                <w:smallCaps/>
                <w:sz w:val="18"/>
                <w:szCs w:val="18"/>
              </w:rPr>
            </w:pPr>
          </w:p>
        </w:tc>
      </w:tr>
      <w:tr w:rsidR="00197BB6" w:rsidRPr="001278ED" w14:paraId="69FB8BF7" w14:textId="77777777" w:rsidTr="00963CA8">
        <w:trPr>
          <w:trHeight w:val="142"/>
        </w:trPr>
        <w:tc>
          <w:tcPr>
            <w:tcW w:w="1290" w:type="dxa"/>
            <w:tcBorders>
              <w:top w:val="single" w:sz="4" w:space="0" w:color="auto"/>
              <w:left w:val="single" w:sz="4" w:space="0" w:color="auto"/>
              <w:bottom w:val="single" w:sz="4" w:space="0" w:color="auto"/>
            </w:tcBorders>
          </w:tcPr>
          <w:p w14:paraId="23308966"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Firm Size($m)</w:t>
            </w:r>
          </w:p>
        </w:tc>
        <w:tc>
          <w:tcPr>
            <w:tcW w:w="2064" w:type="dxa"/>
            <w:tcBorders>
              <w:top w:val="single" w:sz="4" w:space="0" w:color="auto"/>
              <w:bottom w:val="single" w:sz="4" w:space="0" w:color="auto"/>
            </w:tcBorders>
          </w:tcPr>
          <w:p w14:paraId="1813C368"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Natural logarithm of total asset (Aebi et al, 2012)</w:t>
            </w:r>
          </w:p>
        </w:tc>
        <w:tc>
          <w:tcPr>
            <w:tcW w:w="644" w:type="dxa"/>
            <w:tcBorders>
              <w:top w:val="single" w:sz="4" w:space="0" w:color="auto"/>
              <w:bottom w:val="single" w:sz="4" w:space="0" w:color="auto"/>
            </w:tcBorders>
          </w:tcPr>
          <w:p w14:paraId="493C2CD8"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1761</w:t>
            </w:r>
          </w:p>
        </w:tc>
        <w:tc>
          <w:tcPr>
            <w:tcW w:w="836" w:type="dxa"/>
            <w:tcBorders>
              <w:top w:val="single" w:sz="4" w:space="0" w:color="auto"/>
              <w:bottom w:val="single" w:sz="4" w:space="0" w:color="auto"/>
            </w:tcBorders>
          </w:tcPr>
          <w:p w14:paraId="24913FEC"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9.302</w:t>
            </w:r>
          </w:p>
        </w:tc>
        <w:tc>
          <w:tcPr>
            <w:tcW w:w="801" w:type="dxa"/>
            <w:tcBorders>
              <w:top w:val="single" w:sz="4" w:space="0" w:color="auto"/>
              <w:bottom w:val="single" w:sz="4" w:space="0" w:color="auto"/>
            </w:tcBorders>
          </w:tcPr>
          <w:p w14:paraId="734E185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1.669</w:t>
            </w:r>
          </w:p>
        </w:tc>
        <w:tc>
          <w:tcPr>
            <w:tcW w:w="774" w:type="dxa"/>
            <w:tcBorders>
              <w:top w:val="single" w:sz="4" w:space="0" w:color="auto"/>
              <w:bottom w:val="single" w:sz="4" w:space="0" w:color="auto"/>
            </w:tcBorders>
          </w:tcPr>
          <w:p w14:paraId="16080EF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8.901</w:t>
            </w:r>
          </w:p>
        </w:tc>
        <w:tc>
          <w:tcPr>
            <w:tcW w:w="826" w:type="dxa"/>
            <w:tcBorders>
              <w:top w:val="single" w:sz="4" w:space="0" w:color="auto"/>
              <w:bottom w:val="single" w:sz="4" w:space="0" w:color="auto"/>
            </w:tcBorders>
          </w:tcPr>
          <w:p w14:paraId="4E32889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8.103</w:t>
            </w:r>
          </w:p>
        </w:tc>
        <w:tc>
          <w:tcPr>
            <w:tcW w:w="800" w:type="dxa"/>
            <w:tcBorders>
              <w:top w:val="single" w:sz="4" w:space="0" w:color="auto"/>
              <w:bottom w:val="single" w:sz="4" w:space="0" w:color="auto"/>
            </w:tcBorders>
          </w:tcPr>
          <w:p w14:paraId="03AE3264"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10.064</w:t>
            </w:r>
          </w:p>
        </w:tc>
        <w:tc>
          <w:tcPr>
            <w:tcW w:w="773" w:type="dxa"/>
            <w:tcBorders>
              <w:top w:val="single" w:sz="4" w:space="0" w:color="auto"/>
              <w:bottom w:val="single" w:sz="4" w:space="0" w:color="auto"/>
            </w:tcBorders>
          </w:tcPr>
          <w:p w14:paraId="4CCFE8A4" w14:textId="0A1B345A"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5F1CABE6" w14:textId="4DDBF38D"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3E3B0B80" w14:textId="77777777" w:rsidTr="00963CA8">
        <w:trPr>
          <w:trHeight w:val="142"/>
        </w:trPr>
        <w:tc>
          <w:tcPr>
            <w:tcW w:w="1290" w:type="dxa"/>
            <w:tcBorders>
              <w:top w:val="single" w:sz="4" w:space="0" w:color="auto"/>
              <w:left w:val="single" w:sz="4" w:space="0" w:color="auto"/>
              <w:bottom w:val="single" w:sz="4" w:space="0" w:color="auto"/>
            </w:tcBorders>
          </w:tcPr>
          <w:p w14:paraId="723574C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ROA (%)</w:t>
            </w:r>
          </w:p>
        </w:tc>
        <w:tc>
          <w:tcPr>
            <w:tcW w:w="2064" w:type="dxa"/>
            <w:tcBorders>
              <w:top w:val="single" w:sz="4" w:space="0" w:color="auto"/>
              <w:bottom w:val="single" w:sz="4" w:space="0" w:color="auto"/>
            </w:tcBorders>
          </w:tcPr>
          <w:p w14:paraId="07CD94F1"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Earnings before interest and taxes (EBIT) divided by book value of total assets</w:t>
            </w:r>
          </w:p>
        </w:tc>
        <w:tc>
          <w:tcPr>
            <w:tcW w:w="644" w:type="dxa"/>
            <w:tcBorders>
              <w:top w:val="single" w:sz="4" w:space="0" w:color="auto"/>
              <w:bottom w:val="single" w:sz="4" w:space="0" w:color="auto"/>
            </w:tcBorders>
          </w:tcPr>
          <w:p w14:paraId="74D7A04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1780</w:t>
            </w:r>
          </w:p>
        </w:tc>
        <w:tc>
          <w:tcPr>
            <w:tcW w:w="836" w:type="dxa"/>
            <w:tcBorders>
              <w:top w:val="single" w:sz="4" w:space="0" w:color="auto"/>
              <w:bottom w:val="single" w:sz="4" w:space="0" w:color="auto"/>
            </w:tcBorders>
          </w:tcPr>
          <w:p w14:paraId="0F2C2BD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0.873</w:t>
            </w:r>
          </w:p>
        </w:tc>
        <w:tc>
          <w:tcPr>
            <w:tcW w:w="801" w:type="dxa"/>
            <w:tcBorders>
              <w:top w:val="single" w:sz="4" w:space="0" w:color="auto"/>
              <w:bottom w:val="single" w:sz="4" w:space="0" w:color="auto"/>
            </w:tcBorders>
          </w:tcPr>
          <w:p w14:paraId="2C99C5F9"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0.952</w:t>
            </w:r>
          </w:p>
        </w:tc>
        <w:tc>
          <w:tcPr>
            <w:tcW w:w="774" w:type="dxa"/>
            <w:tcBorders>
              <w:top w:val="single" w:sz="4" w:space="0" w:color="auto"/>
              <w:bottom w:val="single" w:sz="4" w:space="0" w:color="auto"/>
            </w:tcBorders>
          </w:tcPr>
          <w:p w14:paraId="224C9B27"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0.999</w:t>
            </w:r>
          </w:p>
        </w:tc>
        <w:tc>
          <w:tcPr>
            <w:tcW w:w="826" w:type="dxa"/>
            <w:tcBorders>
              <w:top w:val="single" w:sz="4" w:space="0" w:color="auto"/>
              <w:bottom w:val="single" w:sz="4" w:space="0" w:color="auto"/>
            </w:tcBorders>
          </w:tcPr>
          <w:p w14:paraId="6FE8FBC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0.748</w:t>
            </w:r>
          </w:p>
        </w:tc>
        <w:tc>
          <w:tcPr>
            <w:tcW w:w="800" w:type="dxa"/>
            <w:tcBorders>
              <w:top w:val="single" w:sz="4" w:space="0" w:color="auto"/>
              <w:bottom w:val="single" w:sz="4" w:space="0" w:color="auto"/>
            </w:tcBorders>
          </w:tcPr>
          <w:p w14:paraId="580F447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1.242</w:t>
            </w:r>
          </w:p>
        </w:tc>
        <w:tc>
          <w:tcPr>
            <w:tcW w:w="773" w:type="dxa"/>
            <w:tcBorders>
              <w:top w:val="single" w:sz="4" w:space="0" w:color="auto"/>
              <w:bottom w:val="single" w:sz="4" w:space="0" w:color="auto"/>
            </w:tcBorders>
          </w:tcPr>
          <w:p w14:paraId="5CC1DD19" w14:textId="2A9B8972"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144BE273" w14:textId="50B42926"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7EA4DA0F" w14:textId="77777777" w:rsidTr="00963CA8">
        <w:trPr>
          <w:trHeight w:val="142"/>
        </w:trPr>
        <w:tc>
          <w:tcPr>
            <w:tcW w:w="1290" w:type="dxa"/>
            <w:tcBorders>
              <w:top w:val="single" w:sz="4" w:space="0" w:color="auto"/>
              <w:left w:val="single" w:sz="4" w:space="0" w:color="auto"/>
              <w:bottom w:val="single" w:sz="4" w:space="0" w:color="auto"/>
            </w:tcBorders>
          </w:tcPr>
          <w:p w14:paraId="7A351067"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Bank Capital</w:t>
            </w:r>
          </w:p>
        </w:tc>
        <w:tc>
          <w:tcPr>
            <w:tcW w:w="2064" w:type="dxa"/>
            <w:tcBorders>
              <w:top w:val="single" w:sz="4" w:space="0" w:color="auto"/>
              <w:bottom w:val="single" w:sz="4" w:space="0" w:color="auto"/>
            </w:tcBorders>
          </w:tcPr>
          <w:p w14:paraId="60C336A1" w14:textId="25DD7F62"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 xml:space="preserve">Tier-1 capital divided by total risk weighted </w:t>
            </w:r>
            <w:r w:rsidR="001278ED" w:rsidRPr="001278ED">
              <w:rPr>
                <w:rFonts w:ascii="Times New Roman" w:eastAsia="DengXian" w:hAnsi="Times New Roman" w:cs="Times New Roman"/>
                <w:sz w:val="18"/>
                <w:szCs w:val="18"/>
              </w:rPr>
              <w:t>assets (</w:t>
            </w:r>
            <w:r w:rsidRPr="001278ED">
              <w:rPr>
                <w:rFonts w:ascii="Times New Roman" w:eastAsia="DengXian" w:hAnsi="Times New Roman" w:cs="Times New Roman"/>
                <w:sz w:val="18"/>
                <w:szCs w:val="18"/>
              </w:rPr>
              <w:t>Aebi et al, 2012)</w:t>
            </w:r>
          </w:p>
        </w:tc>
        <w:tc>
          <w:tcPr>
            <w:tcW w:w="644" w:type="dxa"/>
            <w:tcBorders>
              <w:top w:val="single" w:sz="4" w:space="0" w:color="auto"/>
              <w:bottom w:val="single" w:sz="4" w:space="0" w:color="auto"/>
            </w:tcBorders>
          </w:tcPr>
          <w:p w14:paraId="3C139807"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1780</w:t>
            </w:r>
          </w:p>
        </w:tc>
        <w:tc>
          <w:tcPr>
            <w:tcW w:w="836" w:type="dxa"/>
            <w:tcBorders>
              <w:top w:val="single" w:sz="4" w:space="0" w:color="auto"/>
              <w:bottom w:val="single" w:sz="4" w:space="0" w:color="auto"/>
            </w:tcBorders>
          </w:tcPr>
          <w:p w14:paraId="56BC20B4"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12.356</w:t>
            </w:r>
          </w:p>
        </w:tc>
        <w:tc>
          <w:tcPr>
            <w:tcW w:w="801" w:type="dxa"/>
            <w:tcBorders>
              <w:top w:val="single" w:sz="4" w:space="0" w:color="auto"/>
              <w:bottom w:val="single" w:sz="4" w:space="0" w:color="auto"/>
            </w:tcBorders>
          </w:tcPr>
          <w:p w14:paraId="0A3F834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5.509</w:t>
            </w:r>
          </w:p>
        </w:tc>
        <w:tc>
          <w:tcPr>
            <w:tcW w:w="774" w:type="dxa"/>
            <w:tcBorders>
              <w:top w:val="single" w:sz="4" w:space="0" w:color="auto"/>
              <w:bottom w:val="single" w:sz="4" w:space="0" w:color="auto"/>
            </w:tcBorders>
          </w:tcPr>
          <w:p w14:paraId="419B946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13.56</w:t>
            </w:r>
          </w:p>
        </w:tc>
        <w:tc>
          <w:tcPr>
            <w:tcW w:w="826" w:type="dxa"/>
            <w:tcBorders>
              <w:top w:val="single" w:sz="4" w:space="0" w:color="auto"/>
              <w:bottom w:val="single" w:sz="4" w:space="0" w:color="auto"/>
            </w:tcBorders>
          </w:tcPr>
          <w:p w14:paraId="089A19CE"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11.865</w:t>
            </w:r>
          </w:p>
        </w:tc>
        <w:tc>
          <w:tcPr>
            <w:tcW w:w="800" w:type="dxa"/>
            <w:tcBorders>
              <w:top w:val="single" w:sz="4" w:space="0" w:color="auto"/>
              <w:bottom w:val="single" w:sz="4" w:space="0" w:color="auto"/>
            </w:tcBorders>
          </w:tcPr>
          <w:p w14:paraId="1ADC9F26"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15.28</w:t>
            </w:r>
          </w:p>
        </w:tc>
        <w:tc>
          <w:tcPr>
            <w:tcW w:w="773" w:type="dxa"/>
            <w:tcBorders>
              <w:top w:val="single" w:sz="4" w:space="0" w:color="auto"/>
              <w:bottom w:val="single" w:sz="4" w:space="0" w:color="auto"/>
            </w:tcBorders>
          </w:tcPr>
          <w:p w14:paraId="1CD227D5" w14:textId="652FB93B"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454EE49B" w14:textId="2BF4B0CF"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6D658C71" w14:textId="77777777" w:rsidTr="00963CA8">
        <w:trPr>
          <w:trHeight w:val="142"/>
        </w:trPr>
        <w:tc>
          <w:tcPr>
            <w:tcW w:w="1290" w:type="dxa"/>
            <w:tcBorders>
              <w:top w:val="single" w:sz="4" w:space="0" w:color="auto"/>
              <w:left w:val="single" w:sz="4" w:space="0" w:color="auto"/>
              <w:bottom w:val="single" w:sz="4" w:space="0" w:color="auto"/>
            </w:tcBorders>
          </w:tcPr>
          <w:p w14:paraId="154E63CB"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ST BORROWING/ TA</w:t>
            </w:r>
          </w:p>
        </w:tc>
        <w:tc>
          <w:tcPr>
            <w:tcW w:w="2064" w:type="dxa"/>
            <w:tcBorders>
              <w:top w:val="single" w:sz="4" w:space="0" w:color="auto"/>
              <w:bottom w:val="single" w:sz="4" w:space="0" w:color="auto"/>
            </w:tcBorders>
          </w:tcPr>
          <w:p w14:paraId="7B571D69"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ratio of assets financed by commercial paper and other short-term non deposit borrowing to assets. (Balasubramanyan et al, 2019)</w:t>
            </w:r>
          </w:p>
        </w:tc>
        <w:tc>
          <w:tcPr>
            <w:tcW w:w="644" w:type="dxa"/>
            <w:tcBorders>
              <w:top w:val="single" w:sz="4" w:space="0" w:color="auto"/>
              <w:bottom w:val="single" w:sz="4" w:space="0" w:color="auto"/>
            </w:tcBorders>
          </w:tcPr>
          <w:p w14:paraId="58104DF6"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1712</w:t>
            </w:r>
          </w:p>
        </w:tc>
        <w:tc>
          <w:tcPr>
            <w:tcW w:w="836" w:type="dxa"/>
            <w:tcBorders>
              <w:top w:val="single" w:sz="4" w:space="0" w:color="auto"/>
              <w:bottom w:val="single" w:sz="4" w:space="0" w:color="auto"/>
            </w:tcBorders>
          </w:tcPr>
          <w:p w14:paraId="048BCA49"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0.015</w:t>
            </w:r>
          </w:p>
        </w:tc>
        <w:tc>
          <w:tcPr>
            <w:tcW w:w="801" w:type="dxa"/>
            <w:tcBorders>
              <w:top w:val="single" w:sz="4" w:space="0" w:color="auto"/>
              <w:bottom w:val="single" w:sz="4" w:space="0" w:color="auto"/>
            </w:tcBorders>
          </w:tcPr>
          <w:p w14:paraId="01DC05ED"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0.028</w:t>
            </w:r>
          </w:p>
        </w:tc>
        <w:tc>
          <w:tcPr>
            <w:tcW w:w="774" w:type="dxa"/>
            <w:tcBorders>
              <w:top w:val="single" w:sz="4" w:space="0" w:color="auto"/>
              <w:bottom w:val="single" w:sz="4" w:space="0" w:color="auto"/>
            </w:tcBorders>
          </w:tcPr>
          <w:p w14:paraId="70DBF96F"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0.001</w:t>
            </w:r>
          </w:p>
        </w:tc>
        <w:tc>
          <w:tcPr>
            <w:tcW w:w="826" w:type="dxa"/>
            <w:tcBorders>
              <w:top w:val="single" w:sz="4" w:space="0" w:color="auto"/>
              <w:bottom w:val="single" w:sz="4" w:space="0" w:color="auto"/>
            </w:tcBorders>
          </w:tcPr>
          <w:p w14:paraId="41FD1B3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w:t>
            </w:r>
          </w:p>
        </w:tc>
        <w:tc>
          <w:tcPr>
            <w:tcW w:w="800" w:type="dxa"/>
            <w:tcBorders>
              <w:top w:val="single" w:sz="4" w:space="0" w:color="auto"/>
              <w:bottom w:val="single" w:sz="4" w:space="0" w:color="auto"/>
            </w:tcBorders>
          </w:tcPr>
          <w:p w14:paraId="2609587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0.017</w:t>
            </w:r>
          </w:p>
        </w:tc>
        <w:tc>
          <w:tcPr>
            <w:tcW w:w="773" w:type="dxa"/>
            <w:tcBorders>
              <w:top w:val="single" w:sz="4" w:space="0" w:color="auto"/>
              <w:bottom w:val="single" w:sz="4" w:space="0" w:color="auto"/>
            </w:tcBorders>
          </w:tcPr>
          <w:p w14:paraId="4F934DAE" w14:textId="64A41F8A"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6117E97F" w14:textId="72E209F0" w:rsidR="00197BB6" w:rsidRPr="001278ED" w:rsidRDefault="00197BB6" w:rsidP="00197BB6">
            <w:pPr>
              <w:spacing w:after="0" w:line="240" w:lineRule="auto"/>
              <w:rPr>
                <w:rFonts w:ascii="Times New Roman" w:eastAsia="DengXian" w:hAnsi="Times New Roman" w:cs="Times New Roman"/>
                <w:sz w:val="18"/>
                <w:szCs w:val="18"/>
              </w:rPr>
            </w:pPr>
          </w:p>
        </w:tc>
      </w:tr>
      <w:tr w:rsidR="00197BB6" w:rsidRPr="001278ED" w14:paraId="217B942B" w14:textId="77777777" w:rsidTr="00963CA8">
        <w:trPr>
          <w:trHeight w:val="1604"/>
        </w:trPr>
        <w:tc>
          <w:tcPr>
            <w:tcW w:w="1290" w:type="dxa"/>
            <w:tcBorders>
              <w:top w:val="single" w:sz="4" w:space="0" w:color="auto"/>
              <w:left w:val="single" w:sz="4" w:space="0" w:color="auto"/>
              <w:bottom w:val="single" w:sz="4" w:space="0" w:color="auto"/>
            </w:tcBorders>
          </w:tcPr>
          <w:p w14:paraId="6BC9CD0D"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z w:val="18"/>
                <w:szCs w:val="18"/>
              </w:rPr>
              <w:t>BAD LOANS / TA</w:t>
            </w:r>
          </w:p>
        </w:tc>
        <w:tc>
          <w:tcPr>
            <w:tcW w:w="2064" w:type="dxa"/>
            <w:tcBorders>
              <w:top w:val="single" w:sz="4" w:space="0" w:color="auto"/>
              <w:bottom w:val="single" w:sz="4" w:space="0" w:color="auto"/>
            </w:tcBorders>
          </w:tcPr>
          <w:p w14:paraId="37CC4B42" w14:textId="77777777" w:rsidR="00197BB6" w:rsidRPr="001278ED" w:rsidRDefault="00197BB6" w:rsidP="001278ED">
            <w:pPr>
              <w:spacing w:after="0" w:line="240" w:lineRule="auto"/>
              <w:jc w:val="both"/>
              <w:rPr>
                <w:rFonts w:ascii="Times New Roman" w:eastAsia="DengXian" w:hAnsi="Times New Roman" w:cs="Times New Roman"/>
                <w:sz w:val="18"/>
                <w:szCs w:val="18"/>
              </w:rPr>
            </w:pPr>
            <w:r w:rsidRPr="001278ED">
              <w:rPr>
                <w:rFonts w:ascii="Times New Roman" w:eastAsia="DengXian" w:hAnsi="Times New Roman" w:cs="Times New Roman"/>
                <w:sz w:val="18"/>
                <w:szCs w:val="18"/>
              </w:rPr>
              <w:t>the ratio of the sum of loans past due 90 days or more (BHCK5525) and nonaccrual loans (BHCK5526) to assets. (Balasubramanyan et al, 2019)</w:t>
            </w:r>
          </w:p>
        </w:tc>
        <w:tc>
          <w:tcPr>
            <w:tcW w:w="644" w:type="dxa"/>
            <w:tcBorders>
              <w:top w:val="single" w:sz="4" w:space="0" w:color="auto"/>
              <w:bottom w:val="single" w:sz="4" w:space="0" w:color="auto"/>
            </w:tcBorders>
          </w:tcPr>
          <w:p w14:paraId="336FED3B"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1712</w:t>
            </w:r>
          </w:p>
        </w:tc>
        <w:tc>
          <w:tcPr>
            <w:tcW w:w="836" w:type="dxa"/>
            <w:tcBorders>
              <w:top w:val="single" w:sz="4" w:space="0" w:color="auto"/>
              <w:bottom w:val="single" w:sz="4" w:space="0" w:color="auto"/>
            </w:tcBorders>
          </w:tcPr>
          <w:p w14:paraId="67ECCA7F"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0.011</w:t>
            </w:r>
          </w:p>
        </w:tc>
        <w:tc>
          <w:tcPr>
            <w:tcW w:w="801" w:type="dxa"/>
            <w:tcBorders>
              <w:top w:val="single" w:sz="4" w:space="0" w:color="auto"/>
              <w:bottom w:val="single" w:sz="4" w:space="0" w:color="auto"/>
            </w:tcBorders>
          </w:tcPr>
          <w:p w14:paraId="022150B8"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0.014</w:t>
            </w:r>
          </w:p>
        </w:tc>
        <w:tc>
          <w:tcPr>
            <w:tcW w:w="774" w:type="dxa"/>
            <w:tcBorders>
              <w:top w:val="single" w:sz="4" w:space="0" w:color="auto"/>
              <w:bottom w:val="single" w:sz="4" w:space="0" w:color="auto"/>
            </w:tcBorders>
          </w:tcPr>
          <w:p w14:paraId="53224982"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0.006</w:t>
            </w:r>
          </w:p>
        </w:tc>
        <w:tc>
          <w:tcPr>
            <w:tcW w:w="826" w:type="dxa"/>
            <w:tcBorders>
              <w:top w:val="single" w:sz="4" w:space="0" w:color="auto"/>
              <w:bottom w:val="single" w:sz="4" w:space="0" w:color="auto"/>
            </w:tcBorders>
          </w:tcPr>
          <w:p w14:paraId="656ACF93"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0.003</w:t>
            </w:r>
          </w:p>
        </w:tc>
        <w:tc>
          <w:tcPr>
            <w:tcW w:w="800" w:type="dxa"/>
            <w:tcBorders>
              <w:top w:val="single" w:sz="4" w:space="0" w:color="auto"/>
              <w:bottom w:val="single" w:sz="4" w:space="0" w:color="auto"/>
            </w:tcBorders>
          </w:tcPr>
          <w:p w14:paraId="4DAA38F5" w14:textId="77777777" w:rsidR="00197BB6" w:rsidRPr="001278ED" w:rsidRDefault="00197BB6" w:rsidP="00197BB6">
            <w:pPr>
              <w:spacing w:after="0" w:line="240" w:lineRule="auto"/>
              <w:rPr>
                <w:rFonts w:ascii="Times New Roman" w:eastAsia="DengXian" w:hAnsi="Times New Roman" w:cs="Times New Roman"/>
                <w:sz w:val="18"/>
                <w:szCs w:val="18"/>
              </w:rPr>
            </w:pPr>
            <w:r w:rsidRPr="001278ED">
              <w:rPr>
                <w:rFonts w:ascii="Times New Roman" w:eastAsia="DengXian" w:hAnsi="Times New Roman" w:cs="Times New Roman"/>
                <w:smallCaps/>
                <w:sz w:val="18"/>
                <w:szCs w:val="18"/>
              </w:rPr>
              <w:t>0.013</w:t>
            </w:r>
          </w:p>
        </w:tc>
        <w:tc>
          <w:tcPr>
            <w:tcW w:w="773" w:type="dxa"/>
            <w:tcBorders>
              <w:top w:val="single" w:sz="4" w:space="0" w:color="auto"/>
              <w:bottom w:val="single" w:sz="4" w:space="0" w:color="auto"/>
            </w:tcBorders>
          </w:tcPr>
          <w:p w14:paraId="1657E0D4" w14:textId="461A4B3A" w:rsidR="00197BB6" w:rsidRPr="001278ED" w:rsidRDefault="00197BB6" w:rsidP="00197BB6">
            <w:pPr>
              <w:spacing w:after="0" w:line="240" w:lineRule="auto"/>
              <w:rPr>
                <w:rFonts w:ascii="Times New Roman" w:eastAsia="DengXian" w:hAnsi="Times New Roman" w:cs="Times New Roman"/>
                <w:sz w:val="18"/>
                <w:szCs w:val="18"/>
              </w:rPr>
            </w:pPr>
          </w:p>
        </w:tc>
        <w:tc>
          <w:tcPr>
            <w:tcW w:w="1095" w:type="dxa"/>
            <w:tcBorders>
              <w:top w:val="single" w:sz="4" w:space="0" w:color="auto"/>
              <w:bottom w:val="single" w:sz="4" w:space="0" w:color="auto"/>
              <w:right w:val="single" w:sz="4" w:space="0" w:color="auto"/>
            </w:tcBorders>
          </w:tcPr>
          <w:p w14:paraId="4458E5FB" w14:textId="075AEBF2" w:rsidR="00197BB6" w:rsidRPr="001278ED" w:rsidRDefault="00197BB6" w:rsidP="00CC629E">
            <w:pPr>
              <w:keepNext/>
              <w:spacing w:after="0" w:line="240" w:lineRule="auto"/>
              <w:rPr>
                <w:rFonts w:ascii="Times New Roman" w:eastAsia="DengXian" w:hAnsi="Times New Roman" w:cs="Times New Roman"/>
                <w:sz w:val="18"/>
                <w:szCs w:val="18"/>
              </w:rPr>
            </w:pPr>
          </w:p>
        </w:tc>
      </w:tr>
    </w:tbl>
    <w:p w14:paraId="3E8E4A8F" w14:textId="77777777" w:rsidR="00197BB6" w:rsidRPr="001278ED" w:rsidRDefault="00197BB6" w:rsidP="00197BB6">
      <w:pPr>
        <w:rPr>
          <w:rFonts w:ascii="Calibri" w:eastAsia="Times New Roman" w:hAnsi="Calibri" w:cs="Times New Roman"/>
          <w:sz w:val="18"/>
          <w:szCs w:val="18"/>
        </w:rPr>
      </w:pPr>
      <w:r w:rsidRPr="001278ED">
        <w:rPr>
          <w:rFonts w:ascii="Calibri" w:eastAsia="Times New Roman" w:hAnsi="Calibri" w:cs="Times New Roman"/>
          <w:sz w:val="18"/>
          <w:szCs w:val="18"/>
        </w:rPr>
        <w:br w:type="page"/>
      </w:r>
    </w:p>
    <w:p w14:paraId="765D6711" w14:textId="4FD0C519"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54" w:name="_Toc132383479"/>
      <w:bookmarkStart w:id="55" w:name="_Toc132386093"/>
      <w:bookmarkStart w:id="56" w:name="_Toc132437285"/>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2</w:t>
      </w:r>
      <w:r w:rsidRPr="00E30E2D">
        <w:rPr>
          <w:rFonts w:ascii="Times New Roman" w:hAnsi="Times New Roman" w:cs="Times New Roman"/>
          <w:b/>
          <w:bCs/>
          <w:i w:val="0"/>
          <w:iCs w:val="0"/>
          <w:color w:val="000000" w:themeColor="text1"/>
          <w:sz w:val="28"/>
          <w:szCs w:val="28"/>
        </w:rPr>
        <w:t>. Correlation Analysis</w:t>
      </w:r>
      <w:bookmarkEnd w:id="54"/>
      <w:bookmarkEnd w:id="55"/>
      <w:bookmarkEnd w:id="56"/>
    </w:p>
    <w:tbl>
      <w:tblPr>
        <w:tblpPr w:leftFromText="180" w:rightFromText="180" w:vertAnchor="text" w:horzAnchor="margin" w:tblpX="2" w:tblpY="96"/>
        <w:tblOverlap w:val="never"/>
        <w:tblW w:w="5311" w:type="pct"/>
        <w:tblLayout w:type="fixed"/>
        <w:tblCellMar>
          <w:left w:w="0" w:type="dxa"/>
          <w:right w:w="0" w:type="dxa"/>
        </w:tblCellMar>
        <w:tblLook w:val="0600" w:firstRow="0" w:lastRow="0" w:firstColumn="0" w:lastColumn="0" w:noHBand="1" w:noVBand="1"/>
      </w:tblPr>
      <w:tblGrid>
        <w:gridCol w:w="1350"/>
        <w:gridCol w:w="617"/>
        <w:gridCol w:w="582"/>
        <w:gridCol w:w="624"/>
        <w:gridCol w:w="666"/>
        <w:gridCol w:w="709"/>
        <w:gridCol w:w="616"/>
        <w:gridCol w:w="807"/>
        <w:gridCol w:w="588"/>
        <w:gridCol w:w="620"/>
        <w:gridCol w:w="626"/>
        <w:gridCol w:w="592"/>
        <w:gridCol w:w="721"/>
        <w:gridCol w:w="590"/>
        <w:gridCol w:w="356"/>
      </w:tblGrid>
      <w:tr w:rsidR="00197BB6" w:rsidRPr="00197BB6" w14:paraId="336289F1" w14:textId="77777777" w:rsidTr="00E30E2D">
        <w:trPr>
          <w:trHeight w:val="157"/>
        </w:trPr>
        <w:tc>
          <w:tcPr>
            <w:tcW w:w="5000" w:type="pct"/>
            <w:gridSpan w:val="15"/>
            <w:tcBorders>
              <w:bottom w:val="single" w:sz="4" w:space="0" w:color="auto"/>
            </w:tcBorders>
            <w:tcMar>
              <w:top w:w="8" w:type="dxa"/>
              <w:left w:w="8" w:type="dxa"/>
              <w:bottom w:w="0" w:type="dxa"/>
              <w:right w:w="8" w:type="dxa"/>
            </w:tcMar>
            <w:vAlign w:val="bottom"/>
          </w:tcPr>
          <w:p w14:paraId="141427B8" w14:textId="77777777" w:rsidR="00197BB6" w:rsidRPr="00197BB6" w:rsidRDefault="00197BB6" w:rsidP="001278ED">
            <w:pPr>
              <w:spacing w:after="0" w:line="240" w:lineRule="auto"/>
              <w:rPr>
                <w:rFonts w:ascii="Times New Roman" w:eastAsia="DengXian" w:hAnsi="Times New Roman" w:cs="Times New Roman"/>
                <w:sz w:val="24"/>
                <w:szCs w:val="24"/>
              </w:rPr>
            </w:pPr>
          </w:p>
          <w:p w14:paraId="64448300" w14:textId="77777777" w:rsidR="00197BB6" w:rsidRPr="001278ED" w:rsidRDefault="00197BB6" w:rsidP="001278ED">
            <w:pPr>
              <w:spacing w:after="0" w:line="240" w:lineRule="auto"/>
              <w:ind w:left="132"/>
              <w:rPr>
                <w:rFonts w:ascii="Times New Roman" w:eastAsia="DengXian" w:hAnsi="Times New Roman" w:cs="Times New Roman"/>
                <w:sz w:val="20"/>
                <w:szCs w:val="20"/>
              </w:rPr>
            </w:pPr>
            <w:r w:rsidRPr="001278ED">
              <w:rPr>
                <w:rFonts w:ascii="Times New Roman" w:eastAsia="DengXian" w:hAnsi="Times New Roman" w:cs="Times New Roman"/>
                <w:sz w:val="20"/>
                <w:szCs w:val="20"/>
              </w:rPr>
              <w:t>This table presents Pearson pairwise correlation matrix for the variables in the study. A detailed description of these variables is included in Table 1. and ** indicates that the coefficient is statistically significant at 5%, level</w:t>
            </w:r>
          </w:p>
        </w:tc>
      </w:tr>
      <w:tr w:rsidR="00963CA8" w:rsidRPr="001278ED" w14:paraId="1DAE31CD" w14:textId="77777777" w:rsidTr="00E30E2D">
        <w:trPr>
          <w:trHeight w:val="157"/>
        </w:trPr>
        <w:tc>
          <w:tcPr>
            <w:tcW w:w="671" w:type="pct"/>
            <w:tcBorders>
              <w:top w:val="single" w:sz="4" w:space="0" w:color="auto"/>
              <w:left w:val="single" w:sz="4" w:space="0" w:color="auto"/>
            </w:tcBorders>
            <w:tcMar>
              <w:top w:w="8" w:type="dxa"/>
              <w:left w:w="8" w:type="dxa"/>
              <w:bottom w:w="0" w:type="dxa"/>
              <w:right w:w="8" w:type="dxa"/>
            </w:tcMar>
            <w:vAlign w:val="bottom"/>
            <w:hideMark/>
          </w:tcPr>
          <w:p w14:paraId="6652AE73"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7" w:type="pct"/>
            <w:tcBorders>
              <w:top w:val="single" w:sz="4" w:space="0" w:color="auto"/>
            </w:tcBorders>
            <w:tcMar>
              <w:top w:w="8" w:type="dxa"/>
              <w:left w:w="8" w:type="dxa"/>
              <w:bottom w:w="0" w:type="dxa"/>
              <w:right w:w="8" w:type="dxa"/>
            </w:tcMar>
            <w:vAlign w:val="bottom"/>
          </w:tcPr>
          <w:p w14:paraId="0CFB720F" w14:textId="77777777" w:rsidR="00197BB6" w:rsidRPr="009E69CE" w:rsidRDefault="00197BB6" w:rsidP="00963CA8">
            <w:pPr>
              <w:spacing w:line="240" w:lineRule="auto"/>
              <w:ind w:left="-63" w:firstLine="63"/>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w:t>
            </w:r>
          </w:p>
        </w:tc>
        <w:tc>
          <w:tcPr>
            <w:tcW w:w="289" w:type="pct"/>
            <w:tcBorders>
              <w:top w:val="single" w:sz="4" w:space="0" w:color="auto"/>
            </w:tcBorders>
            <w:tcMar>
              <w:top w:w="8" w:type="dxa"/>
              <w:left w:w="8" w:type="dxa"/>
              <w:bottom w:w="0" w:type="dxa"/>
              <w:right w:w="8" w:type="dxa"/>
            </w:tcMar>
            <w:vAlign w:val="bottom"/>
          </w:tcPr>
          <w:p w14:paraId="25535BBA"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2</w:t>
            </w:r>
          </w:p>
        </w:tc>
        <w:tc>
          <w:tcPr>
            <w:tcW w:w="310" w:type="pct"/>
            <w:tcBorders>
              <w:top w:val="single" w:sz="4" w:space="0" w:color="auto"/>
            </w:tcBorders>
            <w:tcMar>
              <w:top w:w="8" w:type="dxa"/>
              <w:left w:w="8" w:type="dxa"/>
              <w:bottom w:w="0" w:type="dxa"/>
              <w:right w:w="8" w:type="dxa"/>
            </w:tcMar>
            <w:vAlign w:val="bottom"/>
          </w:tcPr>
          <w:p w14:paraId="09F2C3D8"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3</w:t>
            </w:r>
          </w:p>
        </w:tc>
        <w:tc>
          <w:tcPr>
            <w:tcW w:w="331" w:type="pct"/>
            <w:tcBorders>
              <w:top w:val="single" w:sz="4" w:space="0" w:color="auto"/>
            </w:tcBorders>
            <w:tcMar>
              <w:top w:w="8" w:type="dxa"/>
              <w:left w:w="8" w:type="dxa"/>
              <w:bottom w:w="0" w:type="dxa"/>
              <w:right w:w="8" w:type="dxa"/>
            </w:tcMar>
            <w:vAlign w:val="bottom"/>
          </w:tcPr>
          <w:p w14:paraId="414FDDB5"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4</w:t>
            </w:r>
          </w:p>
        </w:tc>
        <w:tc>
          <w:tcPr>
            <w:tcW w:w="352" w:type="pct"/>
            <w:tcBorders>
              <w:top w:val="single" w:sz="4" w:space="0" w:color="auto"/>
            </w:tcBorders>
            <w:tcMar>
              <w:top w:w="8" w:type="dxa"/>
              <w:left w:w="8" w:type="dxa"/>
              <w:bottom w:w="0" w:type="dxa"/>
              <w:right w:w="8" w:type="dxa"/>
            </w:tcMar>
            <w:vAlign w:val="bottom"/>
          </w:tcPr>
          <w:p w14:paraId="2FF930FC"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5</w:t>
            </w:r>
          </w:p>
        </w:tc>
        <w:tc>
          <w:tcPr>
            <w:tcW w:w="306" w:type="pct"/>
            <w:tcBorders>
              <w:top w:val="single" w:sz="4" w:space="0" w:color="auto"/>
            </w:tcBorders>
            <w:tcMar>
              <w:top w:w="8" w:type="dxa"/>
              <w:left w:w="8" w:type="dxa"/>
              <w:bottom w:w="0" w:type="dxa"/>
              <w:right w:w="8" w:type="dxa"/>
            </w:tcMar>
            <w:vAlign w:val="bottom"/>
          </w:tcPr>
          <w:p w14:paraId="05D91149"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6</w:t>
            </w:r>
          </w:p>
        </w:tc>
        <w:tc>
          <w:tcPr>
            <w:tcW w:w="401" w:type="pct"/>
            <w:tcBorders>
              <w:top w:val="single" w:sz="4" w:space="0" w:color="auto"/>
            </w:tcBorders>
            <w:tcMar>
              <w:top w:w="8" w:type="dxa"/>
              <w:left w:w="8" w:type="dxa"/>
              <w:bottom w:w="0" w:type="dxa"/>
              <w:right w:w="8" w:type="dxa"/>
            </w:tcMar>
            <w:vAlign w:val="bottom"/>
          </w:tcPr>
          <w:p w14:paraId="7378D9E9"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7</w:t>
            </w:r>
          </w:p>
        </w:tc>
        <w:tc>
          <w:tcPr>
            <w:tcW w:w="292" w:type="pct"/>
            <w:tcBorders>
              <w:top w:val="single" w:sz="4" w:space="0" w:color="auto"/>
            </w:tcBorders>
            <w:tcMar>
              <w:top w:w="8" w:type="dxa"/>
              <w:left w:w="8" w:type="dxa"/>
              <w:bottom w:w="0" w:type="dxa"/>
              <w:right w:w="8" w:type="dxa"/>
            </w:tcMar>
            <w:vAlign w:val="bottom"/>
          </w:tcPr>
          <w:p w14:paraId="7E4CA8EA"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8</w:t>
            </w:r>
          </w:p>
        </w:tc>
        <w:tc>
          <w:tcPr>
            <w:tcW w:w="308" w:type="pct"/>
            <w:tcBorders>
              <w:top w:val="single" w:sz="4" w:space="0" w:color="auto"/>
            </w:tcBorders>
            <w:tcMar>
              <w:top w:w="8" w:type="dxa"/>
              <w:left w:w="8" w:type="dxa"/>
              <w:bottom w:w="0" w:type="dxa"/>
              <w:right w:w="8" w:type="dxa"/>
            </w:tcMar>
            <w:vAlign w:val="bottom"/>
          </w:tcPr>
          <w:p w14:paraId="5DF92127"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9</w:t>
            </w:r>
          </w:p>
        </w:tc>
        <w:tc>
          <w:tcPr>
            <w:tcW w:w="311" w:type="pct"/>
            <w:tcBorders>
              <w:top w:val="single" w:sz="4" w:space="0" w:color="auto"/>
            </w:tcBorders>
            <w:tcMar>
              <w:top w:w="8" w:type="dxa"/>
              <w:left w:w="8" w:type="dxa"/>
              <w:bottom w:w="0" w:type="dxa"/>
              <w:right w:w="8" w:type="dxa"/>
            </w:tcMar>
            <w:vAlign w:val="bottom"/>
          </w:tcPr>
          <w:p w14:paraId="3979B0A8"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10</w:t>
            </w:r>
          </w:p>
        </w:tc>
        <w:tc>
          <w:tcPr>
            <w:tcW w:w="294" w:type="pct"/>
            <w:tcBorders>
              <w:top w:val="single" w:sz="4" w:space="0" w:color="auto"/>
            </w:tcBorders>
            <w:tcMar>
              <w:top w:w="8" w:type="dxa"/>
              <w:left w:w="8" w:type="dxa"/>
              <w:bottom w:w="0" w:type="dxa"/>
              <w:right w:w="8" w:type="dxa"/>
            </w:tcMar>
            <w:vAlign w:val="bottom"/>
          </w:tcPr>
          <w:p w14:paraId="0C7AEE8F"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11</w:t>
            </w:r>
          </w:p>
        </w:tc>
        <w:tc>
          <w:tcPr>
            <w:tcW w:w="358" w:type="pct"/>
            <w:tcBorders>
              <w:top w:val="single" w:sz="4" w:space="0" w:color="auto"/>
            </w:tcBorders>
            <w:tcMar>
              <w:top w:w="8" w:type="dxa"/>
              <w:left w:w="8" w:type="dxa"/>
              <w:bottom w:w="0" w:type="dxa"/>
              <w:right w:w="8" w:type="dxa"/>
            </w:tcMar>
            <w:vAlign w:val="bottom"/>
          </w:tcPr>
          <w:p w14:paraId="631E8909"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12</w:t>
            </w:r>
          </w:p>
        </w:tc>
        <w:tc>
          <w:tcPr>
            <w:tcW w:w="293" w:type="pct"/>
            <w:tcBorders>
              <w:top w:val="single" w:sz="4" w:space="0" w:color="auto"/>
            </w:tcBorders>
            <w:tcMar>
              <w:top w:w="8" w:type="dxa"/>
              <w:left w:w="8" w:type="dxa"/>
              <w:bottom w:w="0" w:type="dxa"/>
              <w:right w:w="8" w:type="dxa"/>
            </w:tcMar>
            <w:vAlign w:val="bottom"/>
          </w:tcPr>
          <w:p w14:paraId="257C1B1A"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13</w:t>
            </w:r>
          </w:p>
        </w:tc>
        <w:tc>
          <w:tcPr>
            <w:tcW w:w="178" w:type="pct"/>
            <w:tcBorders>
              <w:top w:val="single" w:sz="4" w:space="0" w:color="auto"/>
              <w:right w:val="single" w:sz="4" w:space="0" w:color="auto"/>
            </w:tcBorders>
            <w:tcMar>
              <w:top w:w="8" w:type="dxa"/>
              <w:left w:w="8" w:type="dxa"/>
              <w:bottom w:w="0" w:type="dxa"/>
              <w:right w:w="8" w:type="dxa"/>
            </w:tcMar>
            <w:vAlign w:val="bottom"/>
          </w:tcPr>
          <w:p w14:paraId="25287F73" w14:textId="77777777" w:rsidR="00197BB6" w:rsidRPr="009E69CE" w:rsidRDefault="00197BB6" w:rsidP="001278ED">
            <w:pPr>
              <w:spacing w:line="240" w:lineRule="auto"/>
              <w:jc w:val="both"/>
              <w:textAlignment w:val="bottom"/>
              <w:rPr>
                <w:rFonts w:ascii="Times New Roman" w:eastAsia="DengXian" w:hAnsi="Times New Roman" w:cs="Times New Roman"/>
                <w:b/>
                <w:bCs/>
                <w:sz w:val="16"/>
                <w:szCs w:val="16"/>
              </w:rPr>
            </w:pPr>
            <w:r w:rsidRPr="009E69CE">
              <w:rPr>
                <w:rFonts w:ascii="Times New Roman" w:eastAsia="DengXian" w:hAnsi="Times New Roman" w:cs="Times New Roman"/>
                <w:b/>
                <w:bCs/>
                <w:sz w:val="16"/>
                <w:szCs w:val="16"/>
              </w:rPr>
              <w:t>14</w:t>
            </w:r>
          </w:p>
        </w:tc>
      </w:tr>
      <w:tr w:rsidR="00963CA8" w:rsidRPr="001278ED" w14:paraId="04646C5D" w14:textId="77777777" w:rsidTr="00E30E2D">
        <w:trPr>
          <w:trHeight w:val="157"/>
        </w:trPr>
        <w:tc>
          <w:tcPr>
            <w:tcW w:w="671" w:type="pct"/>
            <w:tcBorders>
              <w:left w:val="single" w:sz="4" w:space="0" w:color="auto"/>
              <w:bottom w:val="single" w:sz="4" w:space="0" w:color="auto"/>
            </w:tcBorders>
            <w:tcMar>
              <w:top w:w="8" w:type="dxa"/>
              <w:left w:w="8" w:type="dxa"/>
              <w:bottom w:w="0" w:type="dxa"/>
              <w:right w:w="8" w:type="dxa"/>
            </w:tcMar>
            <w:vAlign w:val="bottom"/>
            <w:hideMark/>
          </w:tcPr>
          <w:p w14:paraId="3EB942D7"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1)Aggregate Risk</w:t>
            </w:r>
          </w:p>
        </w:tc>
        <w:tc>
          <w:tcPr>
            <w:tcW w:w="307" w:type="pct"/>
            <w:tcBorders>
              <w:bottom w:val="single" w:sz="4" w:space="0" w:color="auto"/>
            </w:tcBorders>
            <w:tcMar>
              <w:top w:w="8" w:type="dxa"/>
              <w:left w:w="8" w:type="dxa"/>
              <w:bottom w:w="0" w:type="dxa"/>
              <w:right w:w="8" w:type="dxa"/>
            </w:tcMar>
            <w:vAlign w:val="bottom"/>
            <w:hideMark/>
          </w:tcPr>
          <w:p w14:paraId="644602E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289" w:type="pct"/>
            <w:tcBorders>
              <w:bottom w:val="single" w:sz="4" w:space="0" w:color="auto"/>
            </w:tcBorders>
            <w:tcMar>
              <w:top w:w="8" w:type="dxa"/>
              <w:left w:w="8" w:type="dxa"/>
              <w:bottom w:w="0" w:type="dxa"/>
              <w:right w:w="8" w:type="dxa"/>
            </w:tcMar>
            <w:vAlign w:val="bottom"/>
            <w:hideMark/>
          </w:tcPr>
          <w:p w14:paraId="6CE9443B" w14:textId="77777777" w:rsidR="00197BB6" w:rsidRPr="001278ED" w:rsidRDefault="00197BB6" w:rsidP="00963CA8">
            <w:pPr>
              <w:spacing w:line="240" w:lineRule="auto"/>
              <w:ind w:left="-1" w:hanging="25"/>
              <w:jc w:val="both"/>
              <w:rPr>
                <w:rFonts w:ascii="Times New Roman" w:eastAsia="DengXian" w:hAnsi="Times New Roman" w:cs="Times New Roman"/>
                <w:sz w:val="16"/>
                <w:szCs w:val="16"/>
              </w:rPr>
            </w:pPr>
          </w:p>
        </w:tc>
        <w:tc>
          <w:tcPr>
            <w:tcW w:w="310" w:type="pct"/>
            <w:tcBorders>
              <w:bottom w:val="single" w:sz="4" w:space="0" w:color="auto"/>
            </w:tcBorders>
            <w:tcMar>
              <w:top w:w="8" w:type="dxa"/>
              <w:left w:w="8" w:type="dxa"/>
              <w:bottom w:w="0" w:type="dxa"/>
              <w:right w:w="8" w:type="dxa"/>
            </w:tcMar>
            <w:vAlign w:val="bottom"/>
            <w:hideMark/>
          </w:tcPr>
          <w:p w14:paraId="4BEB8B1C"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31" w:type="pct"/>
            <w:tcBorders>
              <w:bottom w:val="single" w:sz="4" w:space="0" w:color="auto"/>
            </w:tcBorders>
            <w:tcMar>
              <w:top w:w="8" w:type="dxa"/>
              <w:left w:w="8" w:type="dxa"/>
              <w:bottom w:w="0" w:type="dxa"/>
              <w:right w:w="8" w:type="dxa"/>
            </w:tcMar>
            <w:vAlign w:val="bottom"/>
            <w:hideMark/>
          </w:tcPr>
          <w:p w14:paraId="26449ECB"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2" w:type="pct"/>
            <w:tcBorders>
              <w:bottom w:val="single" w:sz="4" w:space="0" w:color="auto"/>
            </w:tcBorders>
            <w:tcMar>
              <w:top w:w="8" w:type="dxa"/>
              <w:left w:w="8" w:type="dxa"/>
              <w:bottom w:w="0" w:type="dxa"/>
              <w:right w:w="8" w:type="dxa"/>
            </w:tcMar>
            <w:vAlign w:val="bottom"/>
            <w:hideMark/>
          </w:tcPr>
          <w:p w14:paraId="318CA19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6" w:type="pct"/>
            <w:tcBorders>
              <w:bottom w:val="single" w:sz="4" w:space="0" w:color="auto"/>
            </w:tcBorders>
            <w:tcMar>
              <w:top w:w="8" w:type="dxa"/>
              <w:left w:w="8" w:type="dxa"/>
              <w:bottom w:w="0" w:type="dxa"/>
              <w:right w:w="8" w:type="dxa"/>
            </w:tcMar>
            <w:vAlign w:val="bottom"/>
            <w:hideMark/>
          </w:tcPr>
          <w:p w14:paraId="7B211C5C"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401" w:type="pct"/>
            <w:tcBorders>
              <w:bottom w:val="single" w:sz="4" w:space="0" w:color="auto"/>
            </w:tcBorders>
            <w:tcMar>
              <w:top w:w="8" w:type="dxa"/>
              <w:left w:w="8" w:type="dxa"/>
              <w:bottom w:w="0" w:type="dxa"/>
              <w:right w:w="8" w:type="dxa"/>
            </w:tcMar>
            <w:vAlign w:val="bottom"/>
            <w:hideMark/>
          </w:tcPr>
          <w:p w14:paraId="404A0030"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2" w:type="pct"/>
            <w:tcBorders>
              <w:bottom w:val="single" w:sz="4" w:space="0" w:color="auto"/>
            </w:tcBorders>
            <w:tcMar>
              <w:top w:w="8" w:type="dxa"/>
              <w:left w:w="8" w:type="dxa"/>
              <w:bottom w:w="0" w:type="dxa"/>
              <w:right w:w="8" w:type="dxa"/>
            </w:tcMar>
            <w:vAlign w:val="bottom"/>
            <w:hideMark/>
          </w:tcPr>
          <w:p w14:paraId="71F61A8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bottom w:val="single" w:sz="4" w:space="0" w:color="auto"/>
            </w:tcBorders>
            <w:tcMar>
              <w:top w:w="8" w:type="dxa"/>
              <w:left w:w="8" w:type="dxa"/>
              <w:bottom w:w="0" w:type="dxa"/>
              <w:right w:w="8" w:type="dxa"/>
            </w:tcMar>
            <w:vAlign w:val="bottom"/>
            <w:hideMark/>
          </w:tcPr>
          <w:p w14:paraId="0965DA16"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bottom w:val="single" w:sz="4" w:space="0" w:color="auto"/>
            </w:tcBorders>
            <w:tcMar>
              <w:top w:w="8" w:type="dxa"/>
              <w:left w:w="8" w:type="dxa"/>
              <w:bottom w:w="0" w:type="dxa"/>
              <w:right w:w="8" w:type="dxa"/>
            </w:tcMar>
            <w:vAlign w:val="bottom"/>
            <w:hideMark/>
          </w:tcPr>
          <w:p w14:paraId="236C3478"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bottom w:val="single" w:sz="4" w:space="0" w:color="auto"/>
            </w:tcBorders>
            <w:tcMar>
              <w:top w:w="8" w:type="dxa"/>
              <w:left w:w="8" w:type="dxa"/>
              <w:bottom w:w="0" w:type="dxa"/>
              <w:right w:w="8" w:type="dxa"/>
            </w:tcMar>
            <w:vAlign w:val="bottom"/>
            <w:hideMark/>
          </w:tcPr>
          <w:p w14:paraId="09259519"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bottom w:val="single" w:sz="4" w:space="0" w:color="auto"/>
            </w:tcBorders>
            <w:tcMar>
              <w:top w:w="8" w:type="dxa"/>
              <w:left w:w="8" w:type="dxa"/>
              <w:bottom w:w="0" w:type="dxa"/>
              <w:right w:w="8" w:type="dxa"/>
            </w:tcMar>
            <w:vAlign w:val="bottom"/>
            <w:hideMark/>
          </w:tcPr>
          <w:p w14:paraId="01D587B9"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bottom w:val="single" w:sz="4" w:space="0" w:color="auto"/>
            </w:tcBorders>
            <w:tcMar>
              <w:top w:w="8" w:type="dxa"/>
              <w:left w:w="8" w:type="dxa"/>
              <w:bottom w:w="0" w:type="dxa"/>
              <w:right w:w="8" w:type="dxa"/>
            </w:tcMar>
            <w:vAlign w:val="bottom"/>
            <w:hideMark/>
          </w:tcPr>
          <w:p w14:paraId="77C47B0D"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bottom w:val="single" w:sz="4" w:space="0" w:color="auto"/>
              <w:right w:val="single" w:sz="4" w:space="0" w:color="auto"/>
            </w:tcBorders>
            <w:tcMar>
              <w:top w:w="8" w:type="dxa"/>
              <w:left w:w="8" w:type="dxa"/>
              <w:bottom w:w="0" w:type="dxa"/>
              <w:right w:w="8" w:type="dxa"/>
            </w:tcMar>
            <w:vAlign w:val="bottom"/>
            <w:hideMark/>
          </w:tcPr>
          <w:p w14:paraId="47B1A06E"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206F220B"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1B9DDB71"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2) Female CRO</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11F8459C"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0.060**</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7C93370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36B3F59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30E0A1A8"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34A665AD"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6E9767CD"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41760807"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681EC563"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7F8766CA"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087F4EF1"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17043B43"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1862264D"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08640ADA"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01010D7D"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0FECE016"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6279CB39"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xml:space="preserve">3) Female on R.C. </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75763D22"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-0.127**</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5414276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0.054</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2438838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271B3F45"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5B56F063"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3150FA41"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0A9D65DC"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53595F05"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269F2234"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41EFE12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2A9CB0B1"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583339E3"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40408D29"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0774339E"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21112AC4"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0D5D5B80"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4) Female on Board</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518BF71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-0.085**</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01942DE4"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0.176**</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2CB13E3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0.326**</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26ABF11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2D4DA88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17484EE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4C08BB8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060F92B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1E7D002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3C7C9BE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1376F4A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5594291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2FF95EA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0CB1EE5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 </w:t>
            </w:r>
          </w:p>
        </w:tc>
      </w:tr>
      <w:tr w:rsidR="00963CA8" w:rsidRPr="001278ED" w14:paraId="05364D38"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2AA26CA8"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5) Board independence</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342F3F80" w14:textId="72D7E771"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0.115**</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13A3DC82"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0.030</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104F13E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0.255**</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44BAA8D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0.235**</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47EBC42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3AD0DEAA"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79FAF91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2C321529"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186295D9"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191B520B"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482729EA"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217FDF8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41AE4E7A"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57056666"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40B33EA9"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0F3D21FB"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6) Board Size</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374D5C5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-0.084**</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2DDC84B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-0.046</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7FDC5E22"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0.043</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44142FA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0.055**</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557498F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-0.038</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751E301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22290C06"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1BBF1846"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0D1303F5"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2D8B8F45"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5E04058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5B562154"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12498051"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28CC4D03"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279C2A8C"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3777B9AE"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7) CEO Duality</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071B0B5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0.006</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338F259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-0.036</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15A18D36"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0.016</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71B3206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-0.031</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7FEF6D8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-0.041</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1F48D664"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0.075**</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48557CC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12A12FA5"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4CAD93C0"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3A09F92D"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2BA917AE"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10FE2A0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019E404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2F13D9ED"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4664A25C"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2D190CD9"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8) CEO Compensation</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350EA3B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0.053**</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0DAB21CC"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0.026</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793C526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0.028</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1A333AD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0.063**</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3A640E9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0.167**</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2B8F6B5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0.081**</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381628A6"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0.063</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452230A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4BB2953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1D146C67"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338F6F14"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20A52CEE"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7BB9780E"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153FA9E0"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77967DCA"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1DB56ECD"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9) St Borrowing/TA</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54687DF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0.130**</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47B5889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0.014</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1A458EC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-0.033</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7983292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-0.026</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37CFAF1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0.029</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357CD60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0.012</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112CA29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-0.038</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78673E7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-0.028</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2BD46ED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0FAD01A7"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7B252B72"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5C00B511"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222F225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05465E26"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784B4636"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6364B21B"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10) Bad Loans/ TA</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29119C3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0.275**</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23A38F4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0.053</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54BB61D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-0.049</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33A55BE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-0.111**</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69C3B536"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0.048</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140BC1F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-0.193**</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221D096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-0.044</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4EFEAB1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0.060**</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1AF6F9DC"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-0.095**</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0FDC389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0E7430F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1A86E5A6"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4424BF16"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50C38828"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7E1C1DE4"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7AD18418"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11) Tier1 Capital</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52C57DEF" w14:textId="5FD6D814"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0.157**</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7D7D255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0.050</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450E93E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0.003</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5B4D1DB2"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0.058**</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38791D84"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0.024</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196E215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-0.229**</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31024FB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-0.039</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40B8E70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0.004</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1084300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-0.014</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3A32EAE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-0.343**</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4E6BB8B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159A929C"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65F738BF" w14:textId="77777777" w:rsidR="00197BB6" w:rsidRPr="001278ED" w:rsidRDefault="00197BB6" w:rsidP="001278ED">
            <w:pPr>
              <w:spacing w:line="240" w:lineRule="auto"/>
              <w:jc w:val="both"/>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5848DB91"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68BF44B8"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17B3BA54"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12) ln (T.A.)</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64FFDDCA" w14:textId="502C652F"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0.076**</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46EC6DD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0.005</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773EBAA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0.372**</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3C8C7C6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0.068**</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748E4BE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0.089**</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12036CE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0.235**</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2875E7E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0.225**</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4E4E912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-0.079**</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3722CE1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-0.006</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4D495B84"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-0.399**</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1248A6E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-0.103**</w:t>
            </w: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0837BE7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5D93A1B1"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03AEECCE" w14:textId="77777777" w:rsidR="00197BB6" w:rsidRPr="001278ED" w:rsidRDefault="00197BB6" w:rsidP="001278ED">
            <w:pPr>
              <w:spacing w:line="240" w:lineRule="auto"/>
              <w:jc w:val="both"/>
              <w:rPr>
                <w:rFonts w:ascii="Times New Roman" w:eastAsia="DengXian" w:hAnsi="Times New Roman" w:cs="Times New Roman"/>
                <w:sz w:val="16"/>
                <w:szCs w:val="16"/>
              </w:rPr>
            </w:pPr>
          </w:p>
        </w:tc>
      </w:tr>
      <w:tr w:rsidR="00963CA8" w:rsidRPr="001278ED" w14:paraId="0F44CC8B"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0CBC354B"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13) ROA</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2B5527A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-0.374**</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7CE0293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-0.015</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3E99BEC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-0.008</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2B38C11F"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0.011</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3B557A2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-0.049**</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593C3DB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0.049**</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7717EED0"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0.058**</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6C31AC41"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-0.026</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48AA1BD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-0.012</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40FB0C6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-0.083**</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7A17AA9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-0.489**</w:t>
            </w: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78F7BD7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0.126**</w:t>
            </w: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532C6601"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6952243B"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p>
        </w:tc>
      </w:tr>
      <w:tr w:rsidR="00963CA8" w:rsidRPr="001278ED" w14:paraId="0C17E93B" w14:textId="77777777" w:rsidTr="00E30E2D">
        <w:trPr>
          <w:trHeight w:val="157"/>
        </w:trPr>
        <w:tc>
          <w:tcPr>
            <w:tcW w:w="671" w:type="pct"/>
            <w:tcBorders>
              <w:top w:val="single" w:sz="4" w:space="0" w:color="auto"/>
              <w:left w:val="single" w:sz="4" w:space="0" w:color="auto"/>
              <w:bottom w:val="single" w:sz="4" w:space="0" w:color="auto"/>
            </w:tcBorders>
            <w:tcMar>
              <w:top w:w="8" w:type="dxa"/>
              <w:left w:w="8" w:type="dxa"/>
              <w:bottom w:w="0" w:type="dxa"/>
              <w:right w:w="8" w:type="dxa"/>
            </w:tcMar>
            <w:vAlign w:val="bottom"/>
            <w:hideMark/>
          </w:tcPr>
          <w:p w14:paraId="5D67B38E" w14:textId="77777777" w:rsidR="00197BB6" w:rsidRPr="001278ED" w:rsidRDefault="00197BB6" w:rsidP="001278ED">
            <w:pPr>
              <w:spacing w:line="240" w:lineRule="auto"/>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14) CRO Reporting Board</w:t>
            </w:r>
          </w:p>
        </w:tc>
        <w:tc>
          <w:tcPr>
            <w:tcW w:w="307" w:type="pct"/>
            <w:tcBorders>
              <w:top w:val="single" w:sz="4" w:space="0" w:color="auto"/>
              <w:bottom w:val="single" w:sz="4" w:space="0" w:color="auto"/>
            </w:tcBorders>
            <w:tcMar>
              <w:top w:w="8" w:type="dxa"/>
              <w:left w:w="8" w:type="dxa"/>
              <w:bottom w:w="0" w:type="dxa"/>
              <w:right w:w="8" w:type="dxa"/>
            </w:tcMar>
            <w:vAlign w:val="bottom"/>
            <w:hideMark/>
          </w:tcPr>
          <w:p w14:paraId="6E603E3A"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-0.152**</w:t>
            </w:r>
          </w:p>
        </w:tc>
        <w:tc>
          <w:tcPr>
            <w:tcW w:w="289" w:type="pct"/>
            <w:tcBorders>
              <w:top w:val="single" w:sz="4" w:space="0" w:color="auto"/>
              <w:bottom w:val="single" w:sz="4" w:space="0" w:color="auto"/>
            </w:tcBorders>
            <w:tcMar>
              <w:top w:w="8" w:type="dxa"/>
              <w:left w:w="8" w:type="dxa"/>
              <w:bottom w:w="0" w:type="dxa"/>
              <w:right w:w="8" w:type="dxa"/>
            </w:tcMar>
            <w:vAlign w:val="bottom"/>
            <w:hideMark/>
          </w:tcPr>
          <w:p w14:paraId="7D4029A2"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-0.016</w:t>
            </w:r>
          </w:p>
        </w:tc>
        <w:tc>
          <w:tcPr>
            <w:tcW w:w="310" w:type="pct"/>
            <w:tcBorders>
              <w:top w:val="single" w:sz="4" w:space="0" w:color="auto"/>
              <w:bottom w:val="single" w:sz="4" w:space="0" w:color="auto"/>
            </w:tcBorders>
            <w:tcMar>
              <w:top w:w="8" w:type="dxa"/>
              <w:left w:w="8" w:type="dxa"/>
              <w:bottom w:w="0" w:type="dxa"/>
              <w:right w:w="8" w:type="dxa"/>
            </w:tcMar>
            <w:vAlign w:val="bottom"/>
            <w:hideMark/>
          </w:tcPr>
          <w:p w14:paraId="218A21B7"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0.109**</w:t>
            </w:r>
          </w:p>
        </w:tc>
        <w:tc>
          <w:tcPr>
            <w:tcW w:w="331" w:type="pct"/>
            <w:tcBorders>
              <w:top w:val="single" w:sz="4" w:space="0" w:color="auto"/>
              <w:bottom w:val="single" w:sz="4" w:space="0" w:color="auto"/>
            </w:tcBorders>
            <w:tcMar>
              <w:top w:w="8" w:type="dxa"/>
              <w:left w:w="8" w:type="dxa"/>
              <w:bottom w:w="0" w:type="dxa"/>
              <w:right w:w="8" w:type="dxa"/>
            </w:tcMar>
            <w:vAlign w:val="bottom"/>
            <w:hideMark/>
          </w:tcPr>
          <w:p w14:paraId="4B3C38A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0.003</w:t>
            </w:r>
          </w:p>
        </w:tc>
        <w:tc>
          <w:tcPr>
            <w:tcW w:w="352" w:type="pct"/>
            <w:tcBorders>
              <w:top w:val="single" w:sz="4" w:space="0" w:color="auto"/>
              <w:bottom w:val="single" w:sz="4" w:space="0" w:color="auto"/>
            </w:tcBorders>
            <w:tcMar>
              <w:top w:w="8" w:type="dxa"/>
              <w:left w:w="8" w:type="dxa"/>
              <w:bottom w:w="0" w:type="dxa"/>
              <w:right w:w="8" w:type="dxa"/>
            </w:tcMar>
            <w:vAlign w:val="bottom"/>
            <w:hideMark/>
          </w:tcPr>
          <w:p w14:paraId="605744D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0.047</w:t>
            </w:r>
          </w:p>
        </w:tc>
        <w:tc>
          <w:tcPr>
            <w:tcW w:w="306" w:type="pct"/>
            <w:tcBorders>
              <w:top w:val="single" w:sz="4" w:space="0" w:color="auto"/>
              <w:bottom w:val="single" w:sz="4" w:space="0" w:color="auto"/>
            </w:tcBorders>
            <w:tcMar>
              <w:top w:w="8" w:type="dxa"/>
              <w:left w:w="8" w:type="dxa"/>
              <w:bottom w:w="0" w:type="dxa"/>
              <w:right w:w="8" w:type="dxa"/>
            </w:tcMar>
            <w:vAlign w:val="bottom"/>
            <w:hideMark/>
          </w:tcPr>
          <w:p w14:paraId="0EF835C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-0.061**</w:t>
            </w:r>
          </w:p>
        </w:tc>
        <w:tc>
          <w:tcPr>
            <w:tcW w:w="401" w:type="pct"/>
            <w:tcBorders>
              <w:top w:val="single" w:sz="4" w:space="0" w:color="auto"/>
              <w:bottom w:val="single" w:sz="4" w:space="0" w:color="auto"/>
            </w:tcBorders>
            <w:tcMar>
              <w:top w:w="8" w:type="dxa"/>
              <w:left w:w="8" w:type="dxa"/>
              <w:bottom w:w="0" w:type="dxa"/>
              <w:right w:w="8" w:type="dxa"/>
            </w:tcMar>
            <w:vAlign w:val="bottom"/>
            <w:hideMark/>
          </w:tcPr>
          <w:p w14:paraId="63341F68"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-0.052**</w:t>
            </w:r>
          </w:p>
        </w:tc>
        <w:tc>
          <w:tcPr>
            <w:tcW w:w="292" w:type="pct"/>
            <w:tcBorders>
              <w:top w:val="single" w:sz="4" w:space="0" w:color="auto"/>
              <w:bottom w:val="single" w:sz="4" w:space="0" w:color="auto"/>
            </w:tcBorders>
            <w:tcMar>
              <w:top w:w="8" w:type="dxa"/>
              <w:left w:w="8" w:type="dxa"/>
              <w:bottom w:w="0" w:type="dxa"/>
              <w:right w:w="8" w:type="dxa"/>
            </w:tcMar>
            <w:vAlign w:val="bottom"/>
            <w:hideMark/>
          </w:tcPr>
          <w:p w14:paraId="61A5CC3E"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0.039</w:t>
            </w:r>
          </w:p>
        </w:tc>
        <w:tc>
          <w:tcPr>
            <w:tcW w:w="308" w:type="pct"/>
            <w:tcBorders>
              <w:top w:val="single" w:sz="4" w:space="0" w:color="auto"/>
              <w:bottom w:val="single" w:sz="4" w:space="0" w:color="auto"/>
            </w:tcBorders>
            <w:tcMar>
              <w:top w:w="8" w:type="dxa"/>
              <w:left w:w="8" w:type="dxa"/>
              <w:bottom w:w="0" w:type="dxa"/>
              <w:right w:w="8" w:type="dxa"/>
            </w:tcMar>
            <w:vAlign w:val="bottom"/>
            <w:hideMark/>
          </w:tcPr>
          <w:p w14:paraId="30996335"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-0.029</w:t>
            </w:r>
          </w:p>
        </w:tc>
        <w:tc>
          <w:tcPr>
            <w:tcW w:w="311" w:type="pct"/>
            <w:tcBorders>
              <w:top w:val="single" w:sz="4" w:space="0" w:color="auto"/>
              <w:bottom w:val="single" w:sz="4" w:space="0" w:color="auto"/>
            </w:tcBorders>
            <w:tcMar>
              <w:top w:w="8" w:type="dxa"/>
              <w:left w:w="8" w:type="dxa"/>
              <w:bottom w:w="0" w:type="dxa"/>
              <w:right w:w="8" w:type="dxa"/>
            </w:tcMar>
            <w:vAlign w:val="bottom"/>
            <w:hideMark/>
          </w:tcPr>
          <w:p w14:paraId="077FA55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0.130**</w:t>
            </w:r>
          </w:p>
        </w:tc>
        <w:tc>
          <w:tcPr>
            <w:tcW w:w="294" w:type="pct"/>
            <w:tcBorders>
              <w:top w:val="single" w:sz="4" w:space="0" w:color="auto"/>
              <w:bottom w:val="single" w:sz="4" w:space="0" w:color="auto"/>
            </w:tcBorders>
            <w:tcMar>
              <w:top w:w="8" w:type="dxa"/>
              <w:left w:w="8" w:type="dxa"/>
              <w:bottom w:w="0" w:type="dxa"/>
              <w:right w:w="8" w:type="dxa"/>
            </w:tcMar>
            <w:vAlign w:val="bottom"/>
            <w:hideMark/>
          </w:tcPr>
          <w:p w14:paraId="46F6160D"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0.040</w:t>
            </w:r>
          </w:p>
        </w:tc>
        <w:tc>
          <w:tcPr>
            <w:tcW w:w="358" w:type="pct"/>
            <w:tcBorders>
              <w:top w:val="single" w:sz="4" w:space="0" w:color="auto"/>
              <w:bottom w:val="single" w:sz="4" w:space="0" w:color="auto"/>
            </w:tcBorders>
            <w:tcMar>
              <w:top w:w="8" w:type="dxa"/>
              <w:left w:w="8" w:type="dxa"/>
              <w:bottom w:w="0" w:type="dxa"/>
              <w:right w:w="8" w:type="dxa"/>
            </w:tcMar>
            <w:vAlign w:val="bottom"/>
            <w:hideMark/>
          </w:tcPr>
          <w:p w14:paraId="69B8D3B3"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0.075**</w:t>
            </w:r>
          </w:p>
        </w:tc>
        <w:tc>
          <w:tcPr>
            <w:tcW w:w="293" w:type="pct"/>
            <w:tcBorders>
              <w:top w:val="single" w:sz="4" w:space="0" w:color="auto"/>
              <w:bottom w:val="single" w:sz="4" w:space="0" w:color="auto"/>
            </w:tcBorders>
            <w:tcMar>
              <w:top w:w="8" w:type="dxa"/>
              <w:left w:w="8" w:type="dxa"/>
              <w:bottom w:w="0" w:type="dxa"/>
              <w:right w:w="8" w:type="dxa"/>
            </w:tcMar>
            <w:vAlign w:val="bottom"/>
            <w:hideMark/>
          </w:tcPr>
          <w:p w14:paraId="729E7834"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-0.083**</w:t>
            </w:r>
          </w:p>
        </w:tc>
        <w:tc>
          <w:tcPr>
            <w:tcW w:w="178" w:type="pct"/>
            <w:tcBorders>
              <w:top w:val="single" w:sz="4" w:space="0" w:color="auto"/>
              <w:bottom w:val="single" w:sz="4" w:space="0" w:color="auto"/>
              <w:right w:val="single" w:sz="4" w:space="0" w:color="auto"/>
            </w:tcBorders>
            <w:tcMar>
              <w:top w:w="8" w:type="dxa"/>
              <w:left w:w="8" w:type="dxa"/>
              <w:bottom w:w="0" w:type="dxa"/>
              <w:right w:w="8" w:type="dxa"/>
            </w:tcMar>
            <w:vAlign w:val="bottom"/>
            <w:hideMark/>
          </w:tcPr>
          <w:p w14:paraId="44765E99" w14:textId="77777777" w:rsidR="00197BB6" w:rsidRPr="001278ED" w:rsidRDefault="00197BB6" w:rsidP="001278ED">
            <w:pPr>
              <w:spacing w:line="240" w:lineRule="auto"/>
              <w:jc w:val="both"/>
              <w:textAlignment w:val="bottom"/>
              <w:rPr>
                <w:rFonts w:ascii="Times New Roman" w:eastAsia="DengXian" w:hAnsi="Times New Roman" w:cs="Times New Roman"/>
                <w:sz w:val="16"/>
                <w:szCs w:val="16"/>
              </w:rPr>
            </w:pPr>
            <w:r w:rsidRPr="001278ED">
              <w:rPr>
                <w:rFonts w:ascii="Times New Roman" w:eastAsia="DengXian" w:hAnsi="Times New Roman" w:cs="Times New Roman"/>
                <w:kern w:val="24"/>
                <w:sz w:val="16"/>
                <w:szCs w:val="16"/>
              </w:rPr>
              <w:t>1</w:t>
            </w:r>
          </w:p>
        </w:tc>
      </w:tr>
    </w:tbl>
    <w:p w14:paraId="0C5B2127" w14:textId="77777777" w:rsidR="00197BB6" w:rsidRPr="00197BB6" w:rsidRDefault="00197BB6" w:rsidP="00197BB6">
      <w:pPr>
        <w:rPr>
          <w:rFonts w:ascii="Calibri" w:eastAsia="Times New Roman" w:hAnsi="Calibri" w:cs="Times New Roman"/>
        </w:rPr>
      </w:pPr>
    </w:p>
    <w:p w14:paraId="30B47B35" w14:textId="3C5A90BF" w:rsidR="00197BB6" w:rsidRPr="00197BB6" w:rsidRDefault="001278ED" w:rsidP="00197BB6">
      <w:pPr>
        <w:rPr>
          <w:rFonts w:ascii="Calibri" w:eastAsia="Times New Roman" w:hAnsi="Calibri" w:cs="Times New Roman"/>
        </w:rPr>
      </w:pPr>
      <w:r>
        <w:rPr>
          <w:rFonts w:ascii="Calibri" w:eastAsia="Times New Roman" w:hAnsi="Calibri" w:cs="Times New Roman"/>
        </w:rPr>
        <w:br w:type="page"/>
      </w:r>
    </w:p>
    <w:p w14:paraId="50A16694" w14:textId="77777777" w:rsidR="00E30E2D" w:rsidRDefault="00E30E2D" w:rsidP="00DE7639">
      <w:pPr>
        <w:pStyle w:val="Caption"/>
        <w:keepNext/>
      </w:pPr>
      <w:bookmarkStart w:id="57" w:name="_Toc132383480"/>
      <w:bookmarkStart w:id="58" w:name="_Toc132386094"/>
    </w:p>
    <w:p w14:paraId="6D9072F0" w14:textId="2B1C17A6"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59" w:name="_Toc132437286"/>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3</w:t>
      </w:r>
      <w:r w:rsidRPr="00E30E2D">
        <w:rPr>
          <w:rFonts w:ascii="Times New Roman" w:hAnsi="Times New Roman" w:cs="Times New Roman"/>
          <w:b/>
          <w:bCs/>
          <w:i w:val="0"/>
          <w:iCs w:val="0"/>
          <w:color w:val="000000" w:themeColor="text1"/>
          <w:sz w:val="28"/>
          <w:szCs w:val="28"/>
        </w:rPr>
        <w:t>. Female CRO and Bank Risk -Base Line Estimation</w:t>
      </w:r>
      <w:bookmarkEnd w:id="57"/>
      <w:bookmarkEnd w:id="58"/>
      <w:bookmarkEnd w:id="59"/>
    </w:p>
    <w:tbl>
      <w:tblPr>
        <w:tblW w:w="10348" w:type="dxa"/>
        <w:jc w:val="center"/>
        <w:tblLayout w:type="fixed"/>
        <w:tblCellMar>
          <w:left w:w="75" w:type="dxa"/>
          <w:right w:w="75" w:type="dxa"/>
        </w:tblCellMar>
        <w:tblLook w:val="0000" w:firstRow="0" w:lastRow="0" w:firstColumn="0" w:lastColumn="0" w:noHBand="0" w:noVBand="0"/>
      </w:tblPr>
      <w:tblGrid>
        <w:gridCol w:w="3292"/>
        <w:gridCol w:w="1969"/>
        <w:gridCol w:w="2392"/>
        <w:gridCol w:w="2695"/>
      </w:tblGrid>
      <w:tr w:rsidR="00197BB6" w:rsidRPr="00197BB6" w14:paraId="4354A7CA" w14:textId="77777777" w:rsidTr="001278ED">
        <w:trPr>
          <w:trHeight w:val="1941"/>
          <w:jc w:val="center"/>
        </w:trPr>
        <w:tc>
          <w:tcPr>
            <w:tcW w:w="10348" w:type="dxa"/>
            <w:gridSpan w:val="4"/>
          </w:tcPr>
          <w:p w14:paraId="03A3F0AC" w14:textId="5F6E9355" w:rsidR="00197BB6" w:rsidRPr="00197BB6" w:rsidRDefault="00197BB6" w:rsidP="00E30E2D">
            <w:pPr>
              <w:jc w:val="both"/>
              <w:rPr>
                <w:rFonts w:ascii="Times New Roman" w:eastAsia="DengXian" w:hAnsi="Times New Roman" w:cs="Times New Roman"/>
                <w:sz w:val="24"/>
                <w:szCs w:val="24"/>
              </w:rPr>
            </w:pPr>
            <w:r w:rsidRPr="00197BB6">
              <w:rPr>
                <w:rFonts w:ascii="Times New Roman" w:eastAsia="DengXian" w:hAnsi="Times New Roman" w:cs="Times New Roman"/>
                <w:sz w:val="24"/>
                <w:szCs w:val="24"/>
              </w:rPr>
              <w:t>This table reports the effect of Female CRO</w:t>
            </w:r>
            <w:r w:rsidR="00E30E2D">
              <w:rPr>
                <w:rFonts w:ascii="Times New Roman" w:eastAsia="DengXian" w:hAnsi="Times New Roman" w:cs="Times New Roman"/>
                <w:sz w:val="24"/>
                <w:szCs w:val="24"/>
              </w:rPr>
              <w:t>s'</w:t>
            </w:r>
            <w:r w:rsidRPr="00197BB6">
              <w:rPr>
                <w:rFonts w:ascii="Times New Roman" w:eastAsia="DengXian" w:hAnsi="Times New Roman" w:cs="Times New Roman"/>
                <w:sz w:val="24"/>
                <w:szCs w:val="24"/>
              </w:rPr>
              <w:t xml:space="preserve"> presence on bank risk. </w:t>
            </w:r>
            <w:r w:rsidR="00567377">
              <w:rPr>
                <w:rFonts w:ascii="Times New Roman" w:eastAsia="DengXian" w:hAnsi="Times New Roman" w:cs="Times New Roman"/>
                <w:sz w:val="24"/>
                <w:szCs w:val="24"/>
              </w:rPr>
              <w:t>The r</w:t>
            </w:r>
            <w:r w:rsidRPr="00197BB6">
              <w:rPr>
                <w:rFonts w:ascii="Times New Roman" w:eastAsia="DengXian" w:hAnsi="Times New Roman" w:cs="Times New Roman"/>
                <w:sz w:val="24"/>
                <w:szCs w:val="24"/>
              </w:rPr>
              <w:t>isk</w:t>
            </w:r>
            <w:r w:rsidR="00567377">
              <w:rPr>
                <w:rFonts w:ascii="Times New Roman" w:eastAsia="DengXian" w:hAnsi="Times New Roman" w:cs="Times New Roman"/>
                <w:sz w:val="24"/>
                <w:szCs w:val="24"/>
              </w:rPr>
              <w:t xml:space="preserve"> </w:t>
            </w:r>
            <w:r w:rsidRPr="00197BB6">
              <w:rPr>
                <w:rFonts w:ascii="Times New Roman" w:eastAsia="DengXian" w:hAnsi="Times New Roman" w:cs="Times New Roman"/>
                <w:sz w:val="24"/>
                <w:szCs w:val="24"/>
              </w:rPr>
              <w:t>proxy is Aggregate Risk</w:t>
            </w:r>
            <w:r w:rsidR="00E30E2D">
              <w:rPr>
                <w:rFonts w:ascii="Times New Roman" w:eastAsia="DengXian" w:hAnsi="Times New Roman" w:cs="Times New Roman"/>
                <w:sz w:val="24"/>
                <w:szCs w:val="24"/>
              </w:rPr>
              <w:t>,</w:t>
            </w:r>
            <w:r w:rsidRPr="00197BB6">
              <w:rPr>
                <w:rFonts w:ascii="Times New Roman" w:eastAsia="DengXian" w:hAnsi="Times New Roman" w:cs="Times New Roman"/>
                <w:sz w:val="24"/>
                <w:szCs w:val="24"/>
              </w:rPr>
              <w:t xml:space="preserve"> calculated as the </w:t>
            </w:r>
            <w:r w:rsidR="00567377">
              <w:rPr>
                <w:rFonts w:ascii="Times New Roman" w:eastAsia="DengXian" w:hAnsi="Times New Roman" w:cs="Times New Roman"/>
                <w:sz w:val="24"/>
                <w:szCs w:val="24"/>
              </w:rPr>
              <w:t>daily stock return standard deviatio</w:t>
            </w:r>
            <w:r w:rsidRPr="00197BB6">
              <w:rPr>
                <w:rFonts w:ascii="Times New Roman" w:eastAsia="DengXian" w:hAnsi="Times New Roman" w:cs="Times New Roman"/>
                <w:sz w:val="24"/>
                <w:szCs w:val="24"/>
              </w:rPr>
              <w:t>n over the year. Female CRO Presence is a dummy variable =1 if a bank has a female CRO for that year</w:t>
            </w:r>
            <w:r w:rsidR="00E30E2D">
              <w:rPr>
                <w:rFonts w:ascii="Times New Roman" w:eastAsia="DengXian" w:hAnsi="Times New Roman" w:cs="Times New Roman"/>
                <w:sz w:val="24"/>
                <w:szCs w:val="24"/>
              </w:rPr>
              <w:t>;</w:t>
            </w:r>
            <w:r w:rsidRPr="00197BB6">
              <w:rPr>
                <w:rFonts w:ascii="Times New Roman" w:eastAsia="DengXian" w:hAnsi="Times New Roman" w:cs="Times New Roman"/>
                <w:sz w:val="24"/>
                <w:szCs w:val="24"/>
              </w:rPr>
              <w:t xml:space="preserve"> otherwise, 0. Standard errors are reported in parentheses. ***, **, * indicates significance at the 1, 5, </w:t>
            </w:r>
            <w:r w:rsidR="00567377">
              <w:rPr>
                <w:rFonts w:ascii="Times New Roman" w:eastAsia="DengXian" w:hAnsi="Times New Roman" w:cs="Times New Roman"/>
                <w:sz w:val="24"/>
                <w:szCs w:val="24"/>
              </w:rPr>
              <w:t xml:space="preserve">and </w:t>
            </w:r>
            <w:r w:rsidRPr="00197BB6">
              <w:rPr>
                <w:rFonts w:ascii="Times New Roman" w:eastAsia="DengXian" w:hAnsi="Times New Roman" w:cs="Times New Roman"/>
                <w:sz w:val="24"/>
                <w:szCs w:val="24"/>
              </w:rPr>
              <w:t>10 per</w:t>
            </w:r>
            <w:r w:rsidR="00567377">
              <w:rPr>
                <w:rFonts w:ascii="Times New Roman" w:eastAsia="DengXian" w:hAnsi="Times New Roman" w:cs="Times New Roman"/>
                <w:sz w:val="24"/>
                <w:szCs w:val="24"/>
              </w:rPr>
              <w:t xml:space="preserve"> </w:t>
            </w:r>
            <w:r w:rsidRPr="00197BB6">
              <w:rPr>
                <w:rFonts w:ascii="Times New Roman" w:eastAsia="DengXian" w:hAnsi="Times New Roman" w:cs="Times New Roman"/>
                <w:sz w:val="24"/>
                <w:szCs w:val="24"/>
              </w:rPr>
              <w:t>cent levels, respectively</w:t>
            </w:r>
          </w:p>
        </w:tc>
      </w:tr>
      <w:tr w:rsidR="00197BB6" w:rsidRPr="001278ED" w14:paraId="272C6176" w14:textId="77777777" w:rsidTr="00E30E2D">
        <w:trPr>
          <w:trHeight w:val="341"/>
          <w:jc w:val="center"/>
        </w:trPr>
        <w:tc>
          <w:tcPr>
            <w:tcW w:w="3292" w:type="dxa"/>
            <w:tcBorders>
              <w:bottom w:val="single" w:sz="4" w:space="0" w:color="auto"/>
            </w:tcBorders>
          </w:tcPr>
          <w:p w14:paraId="21B5B7CB"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p>
        </w:tc>
        <w:tc>
          <w:tcPr>
            <w:tcW w:w="1969" w:type="dxa"/>
            <w:tcBorders>
              <w:bottom w:val="single" w:sz="4" w:space="0" w:color="auto"/>
            </w:tcBorders>
          </w:tcPr>
          <w:p w14:paraId="53589E3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w:t>
            </w:r>
          </w:p>
        </w:tc>
        <w:tc>
          <w:tcPr>
            <w:tcW w:w="2392" w:type="dxa"/>
            <w:tcBorders>
              <w:bottom w:val="single" w:sz="4" w:space="0" w:color="auto"/>
            </w:tcBorders>
          </w:tcPr>
          <w:p w14:paraId="09B9A787"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w:t>
            </w:r>
          </w:p>
        </w:tc>
        <w:tc>
          <w:tcPr>
            <w:tcW w:w="2695" w:type="dxa"/>
            <w:tcBorders>
              <w:bottom w:val="single" w:sz="4" w:space="0" w:color="auto"/>
            </w:tcBorders>
          </w:tcPr>
          <w:p w14:paraId="325CA4D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(3)</w:t>
            </w:r>
          </w:p>
        </w:tc>
      </w:tr>
      <w:tr w:rsidR="00197BB6" w:rsidRPr="001278ED" w14:paraId="1936D773" w14:textId="77777777" w:rsidTr="009E69CE">
        <w:trPr>
          <w:trHeight w:val="231"/>
          <w:jc w:val="center"/>
        </w:trPr>
        <w:tc>
          <w:tcPr>
            <w:tcW w:w="3292" w:type="dxa"/>
            <w:tcBorders>
              <w:top w:val="single" w:sz="4" w:space="0" w:color="auto"/>
              <w:left w:val="single" w:sz="4" w:space="0" w:color="auto"/>
              <w:bottom w:val="single" w:sz="4" w:space="0" w:color="auto"/>
            </w:tcBorders>
          </w:tcPr>
          <w:p w14:paraId="6CA3BCCA" w14:textId="77777777" w:rsidR="00197BB6" w:rsidRPr="00E30E2D" w:rsidRDefault="00197BB6" w:rsidP="00197BB6">
            <w:pPr>
              <w:widowControl w:val="0"/>
              <w:autoSpaceDE w:val="0"/>
              <w:autoSpaceDN w:val="0"/>
              <w:adjustRightInd w:val="0"/>
              <w:spacing w:after="0" w:line="240" w:lineRule="auto"/>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VARIABLES</w:t>
            </w:r>
          </w:p>
        </w:tc>
        <w:tc>
          <w:tcPr>
            <w:tcW w:w="1969" w:type="dxa"/>
            <w:tcBorders>
              <w:top w:val="single" w:sz="4" w:space="0" w:color="auto"/>
              <w:bottom w:val="single" w:sz="4" w:space="0" w:color="auto"/>
            </w:tcBorders>
          </w:tcPr>
          <w:p w14:paraId="608E71D0"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c>
          <w:tcPr>
            <w:tcW w:w="2392" w:type="dxa"/>
            <w:tcBorders>
              <w:top w:val="single" w:sz="4" w:space="0" w:color="auto"/>
              <w:bottom w:val="single" w:sz="4" w:space="0" w:color="auto"/>
            </w:tcBorders>
          </w:tcPr>
          <w:p w14:paraId="53B13012"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c>
          <w:tcPr>
            <w:tcW w:w="2695" w:type="dxa"/>
            <w:tcBorders>
              <w:top w:val="single" w:sz="4" w:space="0" w:color="auto"/>
              <w:bottom w:val="single" w:sz="4" w:space="0" w:color="auto"/>
              <w:right w:val="single" w:sz="4" w:space="0" w:color="auto"/>
            </w:tcBorders>
          </w:tcPr>
          <w:p w14:paraId="4F8E17E0"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r>
      <w:tr w:rsidR="00197BB6" w:rsidRPr="001278ED" w14:paraId="2AE3F668" w14:textId="77777777" w:rsidTr="009E69CE">
        <w:trPr>
          <w:trHeight w:val="231"/>
          <w:jc w:val="center"/>
        </w:trPr>
        <w:tc>
          <w:tcPr>
            <w:tcW w:w="3292" w:type="dxa"/>
            <w:tcBorders>
              <w:top w:val="single" w:sz="4" w:space="0" w:color="auto"/>
              <w:left w:val="single" w:sz="4" w:space="0" w:color="auto"/>
            </w:tcBorders>
          </w:tcPr>
          <w:p w14:paraId="67F41FE8"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p>
        </w:tc>
        <w:tc>
          <w:tcPr>
            <w:tcW w:w="1969" w:type="dxa"/>
            <w:tcBorders>
              <w:top w:val="single" w:sz="4" w:space="0" w:color="auto"/>
            </w:tcBorders>
          </w:tcPr>
          <w:p w14:paraId="1B78EBE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tcBorders>
          </w:tcPr>
          <w:p w14:paraId="08FF215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right w:val="single" w:sz="4" w:space="0" w:color="auto"/>
            </w:tcBorders>
          </w:tcPr>
          <w:p w14:paraId="3EADC17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197BB6" w:rsidRPr="001278ED" w14:paraId="00CC3757" w14:textId="77777777" w:rsidTr="009E69CE">
        <w:trPr>
          <w:trHeight w:val="565"/>
          <w:jc w:val="center"/>
        </w:trPr>
        <w:tc>
          <w:tcPr>
            <w:tcW w:w="3292" w:type="dxa"/>
            <w:tcBorders>
              <w:left w:val="single" w:sz="4" w:space="0" w:color="auto"/>
              <w:bottom w:val="single" w:sz="4" w:space="0" w:color="auto"/>
            </w:tcBorders>
          </w:tcPr>
          <w:p w14:paraId="0670B725"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w:t>
            </w:r>
          </w:p>
        </w:tc>
        <w:tc>
          <w:tcPr>
            <w:tcW w:w="1969" w:type="dxa"/>
            <w:tcBorders>
              <w:bottom w:val="single" w:sz="4" w:space="0" w:color="auto"/>
            </w:tcBorders>
          </w:tcPr>
          <w:p w14:paraId="2D2EC53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76514A8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c>
          <w:tcPr>
            <w:tcW w:w="2392" w:type="dxa"/>
            <w:tcBorders>
              <w:bottom w:val="single" w:sz="4" w:space="0" w:color="auto"/>
            </w:tcBorders>
          </w:tcPr>
          <w:p w14:paraId="27A47AE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6C0AC3C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695" w:type="dxa"/>
            <w:tcBorders>
              <w:bottom w:val="single" w:sz="4" w:space="0" w:color="auto"/>
              <w:right w:val="single" w:sz="4" w:space="0" w:color="auto"/>
            </w:tcBorders>
          </w:tcPr>
          <w:p w14:paraId="7406AD4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3F321E9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278ED" w14:paraId="73DEE3E8" w14:textId="77777777" w:rsidTr="009E69CE">
        <w:trPr>
          <w:trHeight w:val="565"/>
          <w:jc w:val="center"/>
        </w:trPr>
        <w:tc>
          <w:tcPr>
            <w:tcW w:w="3292" w:type="dxa"/>
            <w:tcBorders>
              <w:top w:val="single" w:sz="4" w:space="0" w:color="auto"/>
              <w:left w:val="single" w:sz="4" w:space="0" w:color="auto"/>
              <w:bottom w:val="single" w:sz="4" w:space="0" w:color="auto"/>
            </w:tcBorders>
          </w:tcPr>
          <w:p w14:paraId="3573A5BA"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Board Independence </w:t>
            </w:r>
          </w:p>
        </w:tc>
        <w:tc>
          <w:tcPr>
            <w:tcW w:w="1969" w:type="dxa"/>
            <w:tcBorders>
              <w:top w:val="single" w:sz="4" w:space="0" w:color="auto"/>
              <w:bottom w:val="single" w:sz="4" w:space="0" w:color="auto"/>
            </w:tcBorders>
          </w:tcPr>
          <w:p w14:paraId="30A98EF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73DF4A9C" w14:textId="7D2F4C1B"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0.016</w:t>
            </w:r>
          </w:p>
          <w:p w14:paraId="583E468B" w14:textId="4C998EF9"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4A276A">
              <w:rPr>
                <w:rFonts w:ascii="Times New Roman" w:eastAsia="DengXian" w:hAnsi="Times New Roman" w:cs="Times New Roman"/>
                <w:sz w:val="20"/>
                <w:szCs w:val="20"/>
              </w:rPr>
              <w:t>10</w:t>
            </w:r>
            <w:r w:rsidRPr="001278ED">
              <w:rPr>
                <w:rFonts w:ascii="Times New Roman" w:eastAsia="DengXian" w:hAnsi="Times New Roman" w:cs="Times New Roman"/>
                <w:sz w:val="20"/>
                <w:szCs w:val="20"/>
              </w:rPr>
              <w:t>)</w:t>
            </w:r>
          </w:p>
        </w:tc>
        <w:tc>
          <w:tcPr>
            <w:tcW w:w="2695" w:type="dxa"/>
            <w:tcBorders>
              <w:top w:val="single" w:sz="4" w:space="0" w:color="auto"/>
              <w:bottom w:val="single" w:sz="4" w:space="0" w:color="auto"/>
              <w:right w:val="single" w:sz="4" w:space="0" w:color="auto"/>
            </w:tcBorders>
          </w:tcPr>
          <w:p w14:paraId="682536B5" w14:textId="137CD6FE"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0.017</w:t>
            </w:r>
          </w:p>
          <w:p w14:paraId="76B0B363" w14:textId="41328BB0"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4A276A">
              <w:rPr>
                <w:rFonts w:ascii="Times New Roman" w:eastAsia="DengXian" w:hAnsi="Times New Roman" w:cs="Times New Roman"/>
                <w:sz w:val="20"/>
                <w:szCs w:val="20"/>
              </w:rPr>
              <w:t>11</w:t>
            </w:r>
            <w:r w:rsidRPr="001278ED">
              <w:rPr>
                <w:rFonts w:ascii="Times New Roman" w:eastAsia="DengXian" w:hAnsi="Times New Roman" w:cs="Times New Roman"/>
                <w:sz w:val="20"/>
                <w:szCs w:val="20"/>
              </w:rPr>
              <w:t>)</w:t>
            </w:r>
          </w:p>
        </w:tc>
      </w:tr>
      <w:tr w:rsidR="00197BB6" w:rsidRPr="001278ED" w14:paraId="40FC24D1" w14:textId="77777777" w:rsidTr="009E69CE">
        <w:trPr>
          <w:trHeight w:val="565"/>
          <w:jc w:val="center"/>
        </w:trPr>
        <w:tc>
          <w:tcPr>
            <w:tcW w:w="3292" w:type="dxa"/>
            <w:tcBorders>
              <w:top w:val="single" w:sz="4" w:space="0" w:color="auto"/>
              <w:left w:val="single" w:sz="4" w:space="0" w:color="auto"/>
              <w:bottom w:val="single" w:sz="4" w:space="0" w:color="auto"/>
            </w:tcBorders>
          </w:tcPr>
          <w:p w14:paraId="48DA40BA"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Board Size</w:t>
            </w:r>
          </w:p>
        </w:tc>
        <w:tc>
          <w:tcPr>
            <w:tcW w:w="1969" w:type="dxa"/>
            <w:tcBorders>
              <w:top w:val="single" w:sz="4" w:space="0" w:color="auto"/>
              <w:bottom w:val="single" w:sz="4" w:space="0" w:color="auto"/>
            </w:tcBorders>
          </w:tcPr>
          <w:p w14:paraId="77F20CB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1BDFA17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6D419D1B"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c>
          <w:tcPr>
            <w:tcW w:w="2695" w:type="dxa"/>
            <w:tcBorders>
              <w:top w:val="single" w:sz="4" w:space="0" w:color="auto"/>
              <w:bottom w:val="single" w:sz="4" w:space="0" w:color="auto"/>
              <w:right w:val="single" w:sz="4" w:space="0" w:color="auto"/>
            </w:tcBorders>
          </w:tcPr>
          <w:p w14:paraId="0934F6F8" w14:textId="774C9156"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4A276A">
              <w:rPr>
                <w:rFonts w:ascii="Times New Roman" w:eastAsia="DengXian" w:hAnsi="Times New Roman" w:cs="Times New Roman"/>
                <w:sz w:val="20"/>
                <w:szCs w:val="20"/>
              </w:rPr>
              <w:t>***</w:t>
            </w:r>
          </w:p>
          <w:p w14:paraId="4FF339C5" w14:textId="002BC79C"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w:t>
            </w:r>
            <w:r w:rsidR="004A276A">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278ED" w14:paraId="0B52E01A" w14:textId="77777777" w:rsidTr="009E69CE">
        <w:trPr>
          <w:trHeight w:val="565"/>
          <w:jc w:val="center"/>
        </w:trPr>
        <w:tc>
          <w:tcPr>
            <w:tcW w:w="3292" w:type="dxa"/>
            <w:tcBorders>
              <w:top w:val="single" w:sz="4" w:space="0" w:color="auto"/>
              <w:left w:val="single" w:sz="4" w:space="0" w:color="auto"/>
              <w:bottom w:val="single" w:sz="4" w:space="0" w:color="auto"/>
            </w:tcBorders>
          </w:tcPr>
          <w:p w14:paraId="241D2F22"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969" w:type="dxa"/>
            <w:tcBorders>
              <w:top w:val="single" w:sz="4" w:space="0" w:color="auto"/>
              <w:bottom w:val="single" w:sz="4" w:space="0" w:color="auto"/>
            </w:tcBorders>
          </w:tcPr>
          <w:p w14:paraId="0EA5F097"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0F0B7E0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46EF0D6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695" w:type="dxa"/>
            <w:tcBorders>
              <w:top w:val="single" w:sz="4" w:space="0" w:color="auto"/>
              <w:bottom w:val="single" w:sz="4" w:space="0" w:color="auto"/>
              <w:right w:val="single" w:sz="4" w:space="0" w:color="auto"/>
            </w:tcBorders>
          </w:tcPr>
          <w:p w14:paraId="5BE275C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19CDE83B"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278ED" w14:paraId="37184410" w14:textId="77777777" w:rsidTr="009E69CE">
        <w:trPr>
          <w:trHeight w:val="565"/>
          <w:jc w:val="center"/>
        </w:trPr>
        <w:tc>
          <w:tcPr>
            <w:tcW w:w="3292" w:type="dxa"/>
            <w:tcBorders>
              <w:top w:val="single" w:sz="4" w:space="0" w:color="auto"/>
              <w:left w:val="single" w:sz="4" w:space="0" w:color="auto"/>
              <w:bottom w:val="single" w:sz="4" w:space="0" w:color="auto"/>
            </w:tcBorders>
          </w:tcPr>
          <w:p w14:paraId="056BEF8F"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969" w:type="dxa"/>
            <w:tcBorders>
              <w:top w:val="single" w:sz="4" w:space="0" w:color="auto"/>
              <w:bottom w:val="single" w:sz="4" w:space="0" w:color="auto"/>
            </w:tcBorders>
          </w:tcPr>
          <w:p w14:paraId="18D1F79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4A1385D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6A024EDD" w14:textId="4C270492"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w:t>
            </w:r>
            <w:r w:rsidR="004A276A">
              <w:rPr>
                <w:rFonts w:ascii="Times New Roman" w:eastAsia="DengXian" w:hAnsi="Times New Roman" w:cs="Times New Roman"/>
                <w:sz w:val="20"/>
                <w:szCs w:val="20"/>
              </w:rPr>
              <w:t>0</w:t>
            </w:r>
            <w:r w:rsidRPr="001278ED">
              <w:rPr>
                <w:rFonts w:ascii="Times New Roman" w:eastAsia="DengXian" w:hAnsi="Times New Roman" w:cs="Times New Roman"/>
                <w:sz w:val="20"/>
                <w:szCs w:val="20"/>
              </w:rPr>
              <w:t>1)</w:t>
            </w:r>
          </w:p>
        </w:tc>
        <w:tc>
          <w:tcPr>
            <w:tcW w:w="2695" w:type="dxa"/>
            <w:tcBorders>
              <w:top w:val="single" w:sz="4" w:space="0" w:color="auto"/>
              <w:bottom w:val="single" w:sz="4" w:space="0" w:color="auto"/>
              <w:right w:val="single" w:sz="4" w:space="0" w:color="auto"/>
            </w:tcBorders>
          </w:tcPr>
          <w:p w14:paraId="7598523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6F980C2E" w14:textId="0FE74163"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4A276A">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278ED" w14:paraId="6D4F4890" w14:textId="77777777" w:rsidTr="009E69CE">
        <w:trPr>
          <w:trHeight w:val="565"/>
          <w:jc w:val="center"/>
        </w:trPr>
        <w:tc>
          <w:tcPr>
            <w:tcW w:w="3292" w:type="dxa"/>
            <w:tcBorders>
              <w:top w:val="single" w:sz="4" w:space="0" w:color="auto"/>
              <w:left w:val="single" w:sz="4" w:space="0" w:color="auto"/>
              <w:bottom w:val="single" w:sz="4" w:space="0" w:color="auto"/>
            </w:tcBorders>
          </w:tcPr>
          <w:p w14:paraId="38F7DD53"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St Borrowing/TA</w:t>
            </w:r>
          </w:p>
        </w:tc>
        <w:tc>
          <w:tcPr>
            <w:tcW w:w="1969" w:type="dxa"/>
            <w:tcBorders>
              <w:top w:val="single" w:sz="4" w:space="0" w:color="auto"/>
              <w:bottom w:val="single" w:sz="4" w:space="0" w:color="auto"/>
            </w:tcBorders>
          </w:tcPr>
          <w:p w14:paraId="17F285E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4E06E29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bottom w:val="single" w:sz="4" w:space="0" w:color="auto"/>
              <w:right w:val="single" w:sz="4" w:space="0" w:color="auto"/>
            </w:tcBorders>
          </w:tcPr>
          <w:p w14:paraId="792F196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0.085***</w:t>
            </w:r>
          </w:p>
          <w:p w14:paraId="1EEFB71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(0.014)</w:t>
            </w:r>
          </w:p>
        </w:tc>
      </w:tr>
      <w:tr w:rsidR="00197BB6" w:rsidRPr="001278ED" w14:paraId="78739718" w14:textId="77777777" w:rsidTr="009E69CE">
        <w:trPr>
          <w:trHeight w:val="565"/>
          <w:jc w:val="center"/>
        </w:trPr>
        <w:tc>
          <w:tcPr>
            <w:tcW w:w="3292" w:type="dxa"/>
            <w:tcBorders>
              <w:top w:val="single" w:sz="4" w:space="0" w:color="auto"/>
              <w:left w:val="single" w:sz="4" w:space="0" w:color="auto"/>
              <w:bottom w:val="single" w:sz="4" w:space="0" w:color="auto"/>
            </w:tcBorders>
          </w:tcPr>
          <w:p w14:paraId="159FB566"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Loans/TA</w:t>
            </w:r>
          </w:p>
        </w:tc>
        <w:tc>
          <w:tcPr>
            <w:tcW w:w="1969" w:type="dxa"/>
            <w:tcBorders>
              <w:top w:val="single" w:sz="4" w:space="0" w:color="auto"/>
              <w:bottom w:val="single" w:sz="4" w:space="0" w:color="auto"/>
            </w:tcBorders>
          </w:tcPr>
          <w:p w14:paraId="2AFED1E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0CC7B8E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bottom w:val="single" w:sz="4" w:space="0" w:color="auto"/>
              <w:right w:val="single" w:sz="4" w:space="0" w:color="auto"/>
            </w:tcBorders>
          </w:tcPr>
          <w:p w14:paraId="650D46E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0.163***</w:t>
            </w:r>
          </w:p>
          <w:p w14:paraId="4966666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(0.028)</w:t>
            </w:r>
          </w:p>
        </w:tc>
      </w:tr>
      <w:tr w:rsidR="00197BB6" w:rsidRPr="001278ED" w14:paraId="1E2433CF" w14:textId="77777777" w:rsidTr="009E69CE">
        <w:trPr>
          <w:trHeight w:val="565"/>
          <w:jc w:val="center"/>
        </w:trPr>
        <w:tc>
          <w:tcPr>
            <w:tcW w:w="3292" w:type="dxa"/>
            <w:tcBorders>
              <w:top w:val="single" w:sz="4" w:space="0" w:color="auto"/>
              <w:left w:val="single" w:sz="4" w:space="0" w:color="auto"/>
              <w:bottom w:val="single" w:sz="4" w:space="0" w:color="auto"/>
            </w:tcBorders>
          </w:tcPr>
          <w:p w14:paraId="05786277"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969" w:type="dxa"/>
            <w:tcBorders>
              <w:top w:val="single" w:sz="4" w:space="0" w:color="auto"/>
              <w:bottom w:val="single" w:sz="4" w:space="0" w:color="auto"/>
            </w:tcBorders>
          </w:tcPr>
          <w:p w14:paraId="766634B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4A002C6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bottom w:val="single" w:sz="4" w:space="0" w:color="auto"/>
              <w:right w:val="single" w:sz="4" w:space="0" w:color="auto"/>
            </w:tcBorders>
          </w:tcPr>
          <w:p w14:paraId="03B3B3E6" w14:textId="44C3A38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2009418B" w14:textId="35C43F78"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4A276A">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278ED" w14:paraId="40614D3D" w14:textId="77777777" w:rsidTr="009E69CE">
        <w:trPr>
          <w:trHeight w:val="565"/>
          <w:jc w:val="center"/>
        </w:trPr>
        <w:tc>
          <w:tcPr>
            <w:tcW w:w="3292" w:type="dxa"/>
            <w:tcBorders>
              <w:top w:val="single" w:sz="4" w:space="0" w:color="auto"/>
              <w:left w:val="single" w:sz="4" w:space="0" w:color="auto"/>
              <w:bottom w:val="single" w:sz="4" w:space="0" w:color="auto"/>
            </w:tcBorders>
          </w:tcPr>
          <w:p w14:paraId="6DE45C85" w14:textId="64FE4CDE" w:rsidR="00197BB6" w:rsidRPr="001278ED" w:rsidRDefault="004A276A" w:rsidP="00197BB6">
            <w:pPr>
              <w:widowControl w:val="0"/>
              <w:autoSpaceDE w:val="0"/>
              <w:autoSpaceDN w:val="0"/>
              <w:adjustRightInd w:val="0"/>
              <w:spacing w:after="0" w:line="240" w:lineRule="auto"/>
              <w:rPr>
                <w:rFonts w:ascii="Times New Roman" w:eastAsia="DengXian" w:hAnsi="Times New Roman" w:cs="Times New Roman"/>
                <w:sz w:val="20"/>
                <w:szCs w:val="20"/>
              </w:rPr>
            </w:pPr>
            <w:r>
              <w:rPr>
                <w:rFonts w:ascii="Times New Roman" w:eastAsia="DengXian" w:hAnsi="Times New Roman" w:cs="Times New Roman"/>
                <w:sz w:val="20"/>
                <w:szCs w:val="20"/>
              </w:rPr>
              <w:t>Bank</w:t>
            </w:r>
            <w:r w:rsidR="00197BB6" w:rsidRPr="001278ED">
              <w:rPr>
                <w:rFonts w:ascii="Times New Roman" w:eastAsia="DengXian" w:hAnsi="Times New Roman" w:cs="Times New Roman"/>
                <w:sz w:val="20"/>
                <w:szCs w:val="20"/>
              </w:rPr>
              <w:t xml:space="preserve"> Size</w:t>
            </w:r>
          </w:p>
        </w:tc>
        <w:tc>
          <w:tcPr>
            <w:tcW w:w="1969" w:type="dxa"/>
            <w:tcBorders>
              <w:top w:val="single" w:sz="4" w:space="0" w:color="auto"/>
              <w:bottom w:val="single" w:sz="4" w:space="0" w:color="auto"/>
            </w:tcBorders>
          </w:tcPr>
          <w:p w14:paraId="6CBE4FB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5C0584A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bottom w:val="single" w:sz="4" w:space="0" w:color="auto"/>
              <w:right w:val="single" w:sz="4" w:space="0" w:color="auto"/>
            </w:tcBorders>
          </w:tcPr>
          <w:p w14:paraId="5AC01FFD" w14:textId="415E6288"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4A276A">
              <w:rPr>
                <w:rFonts w:ascii="Times New Roman" w:eastAsia="DengXian" w:hAnsi="Times New Roman" w:cs="Times New Roman"/>
                <w:sz w:val="20"/>
                <w:szCs w:val="20"/>
              </w:rPr>
              <w:t>*</w:t>
            </w:r>
          </w:p>
          <w:p w14:paraId="179814C3" w14:textId="1455F9D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4A276A">
              <w:rPr>
                <w:rFonts w:ascii="Times New Roman" w:eastAsia="DengXian" w:hAnsi="Times New Roman" w:cs="Times New Roman"/>
                <w:sz w:val="20"/>
                <w:szCs w:val="20"/>
              </w:rPr>
              <w:t>2</w:t>
            </w:r>
            <w:r w:rsidRPr="001278ED">
              <w:rPr>
                <w:rFonts w:ascii="Times New Roman" w:eastAsia="DengXian" w:hAnsi="Times New Roman" w:cs="Times New Roman"/>
                <w:sz w:val="20"/>
                <w:szCs w:val="20"/>
              </w:rPr>
              <w:t>)</w:t>
            </w:r>
          </w:p>
        </w:tc>
      </w:tr>
      <w:tr w:rsidR="00197BB6" w:rsidRPr="001278ED" w14:paraId="2B3D9BFB" w14:textId="77777777" w:rsidTr="009E69CE">
        <w:trPr>
          <w:trHeight w:val="565"/>
          <w:jc w:val="center"/>
        </w:trPr>
        <w:tc>
          <w:tcPr>
            <w:tcW w:w="3292" w:type="dxa"/>
            <w:tcBorders>
              <w:top w:val="single" w:sz="4" w:space="0" w:color="auto"/>
              <w:left w:val="single" w:sz="4" w:space="0" w:color="auto"/>
              <w:bottom w:val="single" w:sz="4" w:space="0" w:color="auto"/>
            </w:tcBorders>
          </w:tcPr>
          <w:p w14:paraId="6FDCF32D"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969" w:type="dxa"/>
            <w:tcBorders>
              <w:top w:val="single" w:sz="4" w:space="0" w:color="auto"/>
              <w:bottom w:val="single" w:sz="4" w:space="0" w:color="auto"/>
            </w:tcBorders>
          </w:tcPr>
          <w:p w14:paraId="0A69F34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392" w:type="dxa"/>
            <w:tcBorders>
              <w:top w:val="single" w:sz="4" w:space="0" w:color="auto"/>
              <w:bottom w:val="single" w:sz="4" w:space="0" w:color="auto"/>
            </w:tcBorders>
          </w:tcPr>
          <w:p w14:paraId="1DA66387"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695" w:type="dxa"/>
            <w:tcBorders>
              <w:top w:val="single" w:sz="4" w:space="0" w:color="auto"/>
              <w:bottom w:val="single" w:sz="4" w:space="0" w:color="auto"/>
              <w:right w:val="single" w:sz="4" w:space="0" w:color="auto"/>
            </w:tcBorders>
          </w:tcPr>
          <w:p w14:paraId="1344F42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575677C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278ED" w14:paraId="741677B1" w14:textId="77777777" w:rsidTr="009E69CE">
        <w:trPr>
          <w:trHeight w:val="565"/>
          <w:jc w:val="center"/>
        </w:trPr>
        <w:tc>
          <w:tcPr>
            <w:tcW w:w="3292" w:type="dxa"/>
            <w:tcBorders>
              <w:top w:val="single" w:sz="4" w:space="0" w:color="auto"/>
              <w:left w:val="single" w:sz="4" w:space="0" w:color="auto"/>
              <w:bottom w:val="single" w:sz="4" w:space="0" w:color="auto"/>
            </w:tcBorders>
          </w:tcPr>
          <w:p w14:paraId="7595B6BC"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Constant</w:t>
            </w:r>
          </w:p>
        </w:tc>
        <w:tc>
          <w:tcPr>
            <w:tcW w:w="1969" w:type="dxa"/>
            <w:tcBorders>
              <w:top w:val="single" w:sz="4" w:space="0" w:color="auto"/>
              <w:bottom w:val="single" w:sz="4" w:space="0" w:color="auto"/>
            </w:tcBorders>
          </w:tcPr>
          <w:p w14:paraId="0B90403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0.022***</w:t>
            </w:r>
          </w:p>
          <w:p w14:paraId="37FD140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392" w:type="dxa"/>
            <w:tcBorders>
              <w:top w:val="single" w:sz="4" w:space="0" w:color="auto"/>
              <w:bottom w:val="single" w:sz="4" w:space="0" w:color="auto"/>
            </w:tcBorders>
          </w:tcPr>
          <w:p w14:paraId="02F6A01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0.034***</w:t>
            </w:r>
          </w:p>
          <w:p w14:paraId="4A68981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c>
          <w:tcPr>
            <w:tcW w:w="2695" w:type="dxa"/>
            <w:tcBorders>
              <w:top w:val="single" w:sz="4" w:space="0" w:color="auto"/>
              <w:bottom w:val="single" w:sz="4" w:space="0" w:color="auto"/>
              <w:right w:val="single" w:sz="4" w:space="0" w:color="auto"/>
            </w:tcBorders>
          </w:tcPr>
          <w:p w14:paraId="29A0000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0.051***</w:t>
            </w:r>
          </w:p>
          <w:p w14:paraId="7A2EE50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r>
      <w:tr w:rsidR="00197BB6" w:rsidRPr="001278ED" w14:paraId="68D89C76" w14:textId="77777777" w:rsidTr="009E69CE">
        <w:trPr>
          <w:trHeight w:val="231"/>
          <w:jc w:val="center"/>
        </w:trPr>
        <w:tc>
          <w:tcPr>
            <w:tcW w:w="3292" w:type="dxa"/>
            <w:tcBorders>
              <w:top w:val="single" w:sz="4" w:space="0" w:color="auto"/>
              <w:left w:val="single" w:sz="4" w:space="0" w:color="auto"/>
              <w:bottom w:val="single" w:sz="4" w:space="0" w:color="auto"/>
            </w:tcBorders>
          </w:tcPr>
          <w:p w14:paraId="1CFABC43"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1969" w:type="dxa"/>
            <w:tcBorders>
              <w:top w:val="single" w:sz="4" w:space="0" w:color="auto"/>
              <w:bottom w:val="single" w:sz="4" w:space="0" w:color="auto"/>
            </w:tcBorders>
          </w:tcPr>
          <w:p w14:paraId="5A150CA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392" w:type="dxa"/>
            <w:tcBorders>
              <w:top w:val="single" w:sz="4" w:space="0" w:color="auto"/>
              <w:bottom w:val="single" w:sz="4" w:space="0" w:color="auto"/>
            </w:tcBorders>
          </w:tcPr>
          <w:p w14:paraId="7493A3A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695" w:type="dxa"/>
            <w:tcBorders>
              <w:top w:val="single" w:sz="4" w:space="0" w:color="auto"/>
              <w:bottom w:val="single" w:sz="4" w:space="0" w:color="auto"/>
              <w:right w:val="single" w:sz="4" w:space="0" w:color="auto"/>
            </w:tcBorders>
          </w:tcPr>
          <w:p w14:paraId="5EFB46D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278ED" w14:paraId="7467A829" w14:textId="77777777" w:rsidTr="009E69CE">
        <w:trPr>
          <w:trHeight w:val="231"/>
          <w:jc w:val="center"/>
        </w:trPr>
        <w:tc>
          <w:tcPr>
            <w:tcW w:w="3292" w:type="dxa"/>
            <w:tcBorders>
              <w:top w:val="single" w:sz="4" w:space="0" w:color="auto"/>
              <w:left w:val="single" w:sz="4" w:space="0" w:color="auto"/>
              <w:bottom w:val="single" w:sz="4" w:space="0" w:color="auto"/>
            </w:tcBorders>
          </w:tcPr>
          <w:p w14:paraId="58F74138"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Firm F.E.</w:t>
            </w:r>
          </w:p>
        </w:tc>
        <w:tc>
          <w:tcPr>
            <w:tcW w:w="1969" w:type="dxa"/>
            <w:tcBorders>
              <w:top w:val="single" w:sz="4" w:space="0" w:color="auto"/>
              <w:bottom w:val="single" w:sz="4" w:space="0" w:color="auto"/>
            </w:tcBorders>
          </w:tcPr>
          <w:p w14:paraId="208DDFD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392" w:type="dxa"/>
            <w:tcBorders>
              <w:top w:val="single" w:sz="4" w:space="0" w:color="auto"/>
              <w:bottom w:val="single" w:sz="4" w:space="0" w:color="auto"/>
            </w:tcBorders>
          </w:tcPr>
          <w:p w14:paraId="7DD0A3B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695" w:type="dxa"/>
            <w:tcBorders>
              <w:top w:val="single" w:sz="4" w:space="0" w:color="auto"/>
              <w:bottom w:val="single" w:sz="4" w:space="0" w:color="auto"/>
              <w:right w:val="single" w:sz="4" w:space="0" w:color="auto"/>
            </w:tcBorders>
          </w:tcPr>
          <w:p w14:paraId="4825FCF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278ED" w14:paraId="3206CFC3" w14:textId="77777777" w:rsidTr="009E69CE">
        <w:trPr>
          <w:trHeight w:val="231"/>
          <w:jc w:val="center"/>
        </w:trPr>
        <w:tc>
          <w:tcPr>
            <w:tcW w:w="3292" w:type="dxa"/>
            <w:tcBorders>
              <w:top w:val="single" w:sz="4" w:space="0" w:color="auto"/>
              <w:left w:val="single" w:sz="4" w:space="0" w:color="auto"/>
              <w:bottom w:val="single" w:sz="4" w:space="0" w:color="auto"/>
            </w:tcBorders>
          </w:tcPr>
          <w:p w14:paraId="47AB31D1"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1969" w:type="dxa"/>
            <w:tcBorders>
              <w:top w:val="single" w:sz="4" w:space="0" w:color="auto"/>
              <w:bottom w:val="single" w:sz="4" w:space="0" w:color="auto"/>
            </w:tcBorders>
          </w:tcPr>
          <w:p w14:paraId="0DA301C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1,250</w:t>
            </w:r>
          </w:p>
        </w:tc>
        <w:tc>
          <w:tcPr>
            <w:tcW w:w="2392" w:type="dxa"/>
            <w:tcBorders>
              <w:top w:val="single" w:sz="4" w:space="0" w:color="auto"/>
              <w:bottom w:val="single" w:sz="4" w:space="0" w:color="auto"/>
            </w:tcBorders>
          </w:tcPr>
          <w:p w14:paraId="4187395B"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1,236</w:t>
            </w:r>
          </w:p>
        </w:tc>
        <w:tc>
          <w:tcPr>
            <w:tcW w:w="2695" w:type="dxa"/>
            <w:tcBorders>
              <w:top w:val="single" w:sz="4" w:space="0" w:color="auto"/>
              <w:bottom w:val="single" w:sz="4" w:space="0" w:color="auto"/>
              <w:right w:val="single" w:sz="4" w:space="0" w:color="auto"/>
            </w:tcBorders>
          </w:tcPr>
          <w:p w14:paraId="7BB035A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r>
      <w:tr w:rsidR="00197BB6" w:rsidRPr="001278ED" w14:paraId="27212F4D" w14:textId="77777777" w:rsidTr="009E69CE">
        <w:trPr>
          <w:trHeight w:val="231"/>
          <w:jc w:val="center"/>
        </w:trPr>
        <w:tc>
          <w:tcPr>
            <w:tcW w:w="3292" w:type="dxa"/>
            <w:tcBorders>
              <w:top w:val="single" w:sz="4" w:space="0" w:color="auto"/>
              <w:left w:val="single" w:sz="4" w:space="0" w:color="auto"/>
              <w:bottom w:val="single" w:sz="4" w:space="0" w:color="auto"/>
            </w:tcBorders>
          </w:tcPr>
          <w:p w14:paraId="4A5D36FE"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R-squared</w:t>
            </w:r>
          </w:p>
        </w:tc>
        <w:tc>
          <w:tcPr>
            <w:tcW w:w="1969" w:type="dxa"/>
            <w:tcBorders>
              <w:top w:val="single" w:sz="4" w:space="0" w:color="auto"/>
              <w:bottom w:val="single" w:sz="4" w:space="0" w:color="auto"/>
            </w:tcBorders>
          </w:tcPr>
          <w:p w14:paraId="75138F3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tc>
        <w:tc>
          <w:tcPr>
            <w:tcW w:w="2392" w:type="dxa"/>
            <w:tcBorders>
              <w:top w:val="single" w:sz="4" w:space="0" w:color="auto"/>
              <w:bottom w:val="single" w:sz="4" w:space="0" w:color="auto"/>
            </w:tcBorders>
          </w:tcPr>
          <w:p w14:paraId="0A6AA5E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0.028</w:t>
            </w:r>
          </w:p>
        </w:tc>
        <w:tc>
          <w:tcPr>
            <w:tcW w:w="2695" w:type="dxa"/>
            <w:tcBorders>
              <w:top w:val="single" w:sz="4" w:space="0" w:color="auto"/>
              <w:bottom w:val="single" w:sz="4" w:space="0" w:color="auto"/>
              <w:right w:val="single" w:sz="4" w:space="0" w:color="auto"/>
            </w:tcBorders>
          </w:tcPr>
          <w:p w14:paraId="386C205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0.249</w:t>
            </w:r>
          </w:p>
        </w:tc>
      </w:tr>
    </w:tbl>
    <w:p w14:paraId="3F206F52" w14:textId="77777777" w:rsidR="00197BB6" w:rsidRPr="001278ED" w:rsidRDefault="00197BB6" w:rsidP="00197BB6">
      <w:pPr>
        <w:rPr>
          <w:rFonts w:ascii="Calibri" w:eastAsia="Times New Roman" w:hAnsi="Calibri" w:cs="Times New Roman"/>
          <w:sz w:val="20"/>
          <w:szCs w:val="20"/>
        </w:rPr>
      </w:pPr>
    </w:p>
    <w:p w14:paraId="7FB8091E" w14:textId="7F278152" w:rsidR="00197BB6" w:rsidRPr="00197BB6" w:rsidRDefault="00E30E2D" w:rsidP="00197BB6">
      <w:pPr>
        <w:rPr>
          <w:rFonts w:ascii="Calibri" w:eastAsia="Times New Roman" w:hAnsi="Calibri" w:cs="Times New Roman"/>
        </w:rPr>
      </w:pPr>
      <w:r>
        <w:rPr>
          <w:rFonts w:ascii="Calibri" w:eastAsia="Times New Roman" w:hAnsi="Calibri" w:cs="Times New Roman"/>
        </w:rPr>
        <w:br w:type="page"/>
      </w:r>
    </w:p>
    <w:p w14:paraId="7A2DE83A" w14:textId="0F3F2DDC" w:rsidR="00DE7639" w:rsidRPr="001435EA" w:rsidRDefault="00DE7639" w:rsidP="00DE7639">
      <w:pPr>
        <w:pStyle w:val="Caption"/>
        <w:keepNext/>
        <w:rPr>
          <w:rFonts w:ascii="Times New Roman" w:hAnsi="Times New Roman" w:cs="Times New Roman"/>
          <w:b/>
          <w:bCs/>
          <w:i w:val="0"/>
          <w:iCs w:val="0"/>
          <w:color w:val="auto"/>
          <w:sz w:val="28"/>
          <w:szCs w:val="28"/>
        </w:rPr>
      </w:pPr>
      <w:bookmarkStart w:id="60" w:name="_Toc132383481"/>
      <w:bookmarkStart w:id="61" w:name="_Toc132386095"/>
      <w:bookmarkStart w:id="62" w:name="_Toc132437287"/>
      <w:r w:rsidRPr="001435EA">
        <w:rPr>
          <w:rFonts w:ascii="Times New Roman" w:hAnsi="Times New Roman" w:cs="Times New Roman"/>
          <w:b/>
          <w:bCs/>
          <w:i w:val="0"/>
          <w:iCs w:val="0"/>
          <w:color w:val="auto"/>
          <w:sz w:val="28"/>
          <w:szCs w:val="28"/>
        </w:rPr>
        <w:t>Table3.</w:t>
      </w:r>
      <w:r w:rsidR="001435EA" w:rsidRPr="001435EA">
        <w:rPr>
          <w:rFonts w:ascii="Times New Roman" w:hAnsi="Times New Roman" w:cs="Times New Roman"/>
          <w:b/>
          <w:bCs/>
          <w:i w:val="0"/>
          <w:iCs w:val="0"/>
          <w:color w:val="auto"/>
          <w:sz w:val="28"/>
          <w:szCs w:val="28"/>
        </w:rPr>
        <w:t>4</w:t>
      </w:r>
      <w:r w:rsidRPr="001435EA">
        <w:rPr>
          <w:rFonts w:ascii="Times New Roman" w:hAnsi="Times New Roman" w:cs="Times New Roman"/>
          <w:b/>
          <w:bCs/>
          <w:i w:val="0"/>
          <w:iCs w:val="0"/>
          <w:color w:val="auto"/>
          <w:sz w:val="28"/>
          <w:szCs w:val="28"/>
        </w:rPr>
        <w:t>. Female CRO and Moderating Role of Board Gender Diversity</w:t>
      </w:r>
      <w:bookmarkEnd w:id="60"/>
      <w:bookmarkEnd w:id="61"/>
      <w:bookmarkEnd w:id="62"/>
    </w:p>
    <w:tbl>
      <w:tblPr>
        <w:tblpPr w:leftFromText="180" w:rightFromText="180" w:vertAnchor="text" w:horzAnchor="margin" w:tblpXSpec="center" w:tblpY="321"/>
        <w:tblW w:w="9640" w:type="dxa"/>
        <w:tblLook w:val="04A0" w:firstRow="1" w:lastRow="0" w:firstColumn="1" w:lastColumn="0" w:noHBand="0" w:noVBand="1"/>
      </w:tblPr>
      <w:tblGrid>
        <w:gridCol w:w="4679"/>
        <w:gridCol w:w="1842"/>
        <w:gridCol w:w="3119"/>
      </w:tblGrid>
      <w:tr w:rsidR="00197BB6" w:rsidRPr="00197BB6" w14:paraId="6F1890EC" w14:textId="77777777" w:rsidTr="00197BB6">
        <w:trPr>
          <w:trHeight w:val="55"/>
        </w:trPr>
        <w:tc>
          <w:tcPr>
            <w:tcW w:w="9640" w:type="dxa"/>
            <w:gridSpan w:val="3"/>
            <w:hideMark/>
          </w:tcPr>
          <w:p w14:paraId="5242B963" w14:textId="5E3BE533" w:rsidR="00197BB6" w:rsidRPr="00197BB6" w:rsidRDefault="00197BB6" w:rsidP="00197BB6">
            <w:pPr>
              <w:spacing w:after="0"/>
              <w:jc w:val="both"/>
              <w:rPr>
                <w:rFonts w:ascii="Times New Roman" w:eastAsia="DengXian" w:hAnsi="Times New Roman" w:cs="Times New Roman"/>
                <w:b/>
                <w:bCs/>
              </w:rPr>
            </w:pPr>
            <w:bookmarkStart w:id="63" w:name="_Hlk75861204"/>
          </w:p>
          <w:p w14:paraId="64CEDD9C" w14:textId="1F258342" w:rsidR="00197BB6" w:rsidRPr="00197BB6" w:rsidRDefault="00197BB6" w:rsidP="00197BB6">
            <w:pPr>
              <w:spacing w:after="0"/>
              <w:jc w:val="both"/>
              <w:rPr>
                <w:rFonts w:ascii="Times New Roman" w:eastAsia="DengXian" w:hAnsi="Times New Roman" w:cs="Times New Roman"/>
              </w:rPr>
            </w:pPr>
            <w:r w:rsidRPr="00197BB6">
              <w:rPr>
                <w:rFonts w:ascii="Times New Roman" w:eastAsia="DengXian" w:hAnsi="Times New Roman" w:cs="Times New Roman"/>
              </w:rPr>
              <w:t>This table reports the moderating role of board gender diversity on female CRO and bank risk. Column 2 reports the regression results of this relationship. The risk proxy is Aggregate risk,</w:t>
            </w:r>
            <w:r w:rsidR="00963CA8">
              <w:rPr>
                <w:rFonts w:ascii="Times New Roman" w:eastAsia="DengXian" w:hAnsi="Times New Roman" w:cs="Times New Roman"/>
              </w:rPr>
              <w:t xml:space="preserve"> and</w:t>
            </w:r>
            <w:r w:rsidRPr="00197BB6">
              <w:rPr>
                <w:rFonts w:ascii="Times New Roman" w:eastAsia="DengXian" w:hAnsi="Times New Roman" w:cs="Times New Roman"/>
              </w:rPr>
              <w:t xml:space="preserve"> board gender diversity is measured as the % of female</w:t>
            </w:r>
            <w:r w:rsidR="00963CA8">
              <w:rPr>
                <w:rFonts w:ascii="Times New Roman" w:eastAsia="DengXian" w:hAnsi="Times New Roman" w:cs="Times New Roman"/>
              </w:rPr>
              <w:t>s</w:t>
            </w:r>
            <w:r w:rsidRPr="00197BB6">
              <w:rPr>
                <w:rFonts w:ascii="Times New Roman" w:eastAsia="DengXian" w:hAnsi="Times New Roman" w:cs="Times New Roman"/>
              </w:rPr>
              <w:t xml:space="preserve"> on the board. The rest of the right-hand side variables are </w:t>
            </w:r>
            <w:r w:rsidR="00963CA8">
              <w:rPr>
                <w:rFonts w:ascii="Times New Roman" w:eastAsia="DengXian" w:hAnsi="Times New Roman" w:cs="Times New Roman"/>
              </w:rPr>
              <w:t xml:space="preserve">the </w:t>
            </w:r>
            <w:r w:rsidRPr="00197BB6">
              <w:rPr>
                <w:rFonts w:ascii="Times New Roman" w:eastAsia="DengXian" w:hAnsi="Times New Roman" w:cs="Times New Roman"/>
              </w:rPr>
              <w:t>same as baseline regression</w:t>
            </w:r>
            <w:r w:rsidR="00E30E2D">
              <w:rPr>
                <w:rFonts w:ascii="Times New Roman" w:eastAsia="DengXian" w:hAnsi="Times New Roman" w:cs="Times New Roman"/>
              </w:rPr>
              <w:t xml:space="preserve">. </w:t>
            </w:r>
            <w:r w:rsidRPr="00197BB6">
              <w:rPr>
                <w:rFonts w:ascii="Times New Roman" w:eastAsia="DengXian" w:hAnsi="Times New Roman" w:cs="Times New Roman"/>
              </w:rPr>
              <w:t xml:space="preserve">We control for Year and </w:t>
            </w:r>
            <w:r w:rsidR="00963CA8">
              <w:rPr>
                <w:rFonts w:ascii="Times New Roman" w:eastAsia="DengXian" w:hAnsi="Times New Roman" w:cs="Times New Roman"/>
              </w:rPr>
              <w:t>bank</w:t>
            </w:r>
            <w:r w:rsidRPr="00197BB6">
              <w:rPr>
                <w:rFonts w:ascii="Times New Roman" w:eastAsia="DengXian" w:hAnsi="Times New Roman" w:cs="Times New Roman"/>
              </w:rPr>
              <w:t xml:space="preserve"> F.E. Standard errors are reported in parentheses. ***, **, * indicates significance at the 1, 5, 10 </w:t>
            </w:r>
            <w:r w:rsidR="00E30E2D">
              <w:rPr>
                <w:rFonts w:ascii="Times New Roman" w:eastAsia="DengXian" w:hAnsi="Times New Roman" w:cs="Times New Roman"/>
              </w:rPr>
              <w:t>%</w:t>
            </w:r>
            <w:r w:rsidRPr="00197BB6">
              <w:rPr>
                <w:rFonts w:ascii="Times New Roman" w:eastAsia="DengXian" w:hAnsi="Times New Roman" w:cs="Times New Roman"/>
              </w:rPr>
              <w:t xml:space="preserve"> levels, respectively</w:t>
            </w:r>
          </w:p>
        </w:tc>
      </w:tr>
      <w:tr w:rsidR="00197BB6" w:rsidRPr="00197BB6" w14:paraId="3ADE6297" w14:textId="77777777" w:rsidTr="009E69CE">
        <w:trPr>
          <w:trHeight w:val="55"/>
        </w:trPr>
        <w:tc>
          <w:tcPr>
            <w:tcW w:w="4679" w:type="dxa"/>
            <w:tcBorders>
              <w:bottom w:val="single" w:sz="4" w:space="0" w:color="auto"/>
            </w:tcBorders>
          </w:tcPr>
          <w:p w14:paraId="1C7C931D" w14:textId="77777777" w:rsidR="00197BB6" w:rsidRPr="001278ED" w:rsidRDefault="00197BB6" w:rsidP="00197BB6">
            <w:pPr>
              <w:spacing w:after="0"/>
              <w:jc w:val="both"/>
              <w:rPr>
                <w:rFonts w:ascii="Times New Roman" w:eastAsia="DengXian" w:hAnsi="Times New Roman" w:cs="Times New Roman"/>
                <w:sz w:val="20"/>
                <w:szCs w:val="20"/>
              </w:rPr>
            </w:pPr>
          </w:p>
        </w:tc>
        <w:tc>
          <w:tcPr>
            <w:tcW w:w="1842" w:type="dxa"/>
            <w:tcBorders>
              <w:bottom w:val="single" w:sz="4" w:space="0" w:color="auto"/>
            </w:tcBorders>
            <w:noWrap/>
          </w:tcPr>
          <w:p w14:paraId="7224903B"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(1)</w:t>
            </w:r>
          </w:p>
        </w:tc>
        <w:tc>
          <w:tcPr>
            <w:tcW w:w="3119" w:type="dxa"/>
            <w:tcBorders>
              <w:bottom w:val="single" w:sz="4" w:space="0" w:color="auto"/>
            </w:tcBorders>
            <w:noWrap/>
          </w:tcPr>
          <w:p w14:paraId="7FBE195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(2)</w:t>
            </w:r>
          </w:p>
        </w:tc>
      </w:tr>
      <w:tr w:rsidR="00197BB6" w:rsidRPr="00197BB6" w14:paraId="184CCB72" w14:textId="77777777" w:rsidTr="009E69CE">
        <w:trPr>
          <w:trHeight w:val="55"/>
        </w:trPr>
        <w:tc>
          <w:tcPr>
            <w:tcW w:w="4679" w:type="dxa"/>
            <w:tcBorders>
              <w:top w:val="single" w:sz="4" w:space="0" w:color="auto"/>
              <w:left w:val="single" w:sz="4" w:space="0" w:color="auto"/>
              <w:bottom w:val="single" w:sz="4" w:space="0" w:color="auto"/>
            </w:tcBorders>
          </w:tcPr>
          <w:p w14:paraId="007901D1" w14:textId="77777777" w:rsidR="00197BB6" w:rsidRPr="00E30E2D" w:rsidRDefault="00197BB6" w:rsidP="00197BB6">
            <w:pPr>
              <w:spacing w:after="0"/>
              <w:jc w:val="both"/>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Variables</w:t>
            </w:r>
          </w:p>
        </w:tc>
        <w:tc>
          <w:tcPr>
            <w:tcW w:w="1842" w:type="dxa"/>
            <w:tcBorders>
              <w:top w:val="single" w:sz="4" w:space="0" w:color="auto"/>
              <w:bottom w:val="single" w:sz="4" w:space="0" w:color="auto"/>
            </w:tcBorders>
            <w:noWrap/>
          </w:tcPr>
          <w:p w14:paraId="3D4762ED" w14:textId="77777777" w:rsidR="00197BB6" w:rsidRPr="00E30E2D" w:rsidRDefault="00197BB6" w:rsidP="00197BB6">
            <w:pPr>
              <w:spacing w:after="0"/>
              <w:jc w:val="both"/>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c>
          <w:tcPr>
            <w:tcW w:w="3119" w:type="dxa"/>
            <w:tcBorders>
              <w:top w:val="single" w:sz="4" w:space="0" w:color="auto"/>
              <w:bottom w:val="single" w:sz="4" w:space="0" w:color="auto"/>
              <w:right w:val="single" w:sz="4" w:space="0" w:color="auto"/>
            </w:tcBorders>
            <w:noWrap/>
          </w:tcPr>
          <w:p w14:paraId="76AAFA2F" w14:textId="77777777" w:rsidR="00197BB6" w:rsidRPr="00E30E2D" w:rsidRDefault="00197BB6" w:rsidP="00197BB6">
            <w:pPr>
              <w:spacing w:after="0"/>
              <w:jc w:val="both"/>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r>
      <w:tr w:rsidR="00197BB6" w:rsidRPr="00197BB6" w14:paraId="6422B210" w14:textId="77777777" w:rsidTr="009E69CE">
        <w:trPr>
          <w:trHeight w:val="262"/>
        </w:trPr>
        <w:tc>
          <w:tcPr>
            <w:tcW w:w="4679" w:type="dxa"/>
            <w:tcBorders>
              <w:top w:val="single" w:sz="4" w:space="0" w:color="auto"/>
              <w:left w:val="single" w:sz="4" w:space="0" w:color="auto"/>
              <w:bottom w:val="single" w:sz="4" w:space="0" w:color="auto"/>
            </w:tcBorders>
            <w:hideMark/>
          </w:tcPr>
          <w:p w14:paraId="55259D51"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w:t>
            </w:r>
          </w:p>
        </w:tc>
        <w:tc>
          <w:tcPr>
            <w:tcW w:w="1842" w:type="dxa"/>
            <w:tcBorders>
              <w:top w:val="single" w:sz="4" w:space="0" w:color="auto"/>
              <w:bottom w:val="single" w:sz="4" w:space="0" w:color="auto"/>
            </w:tcBorders>
            <w:noWrap/>
            <w:hideMark/>
          </w:tcPr>
          <w:p w14:paraId="1F112284"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6F65DF9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3119" w:type="dxa"/>
            <w:tcBorders>
              <w:top w:val="single" w:sz="4" w:space="0" w:color="auto"/>
              <w:bottom w:val="single" w:sz="4" w:space="0" w:color="auto"/>
              <w:right w:val="single" w:sz="4" w:space="0" w:color="auto"/>
            </w:tcBorders>
            <w:noWrap/>
            <w:hideMark/>
          </w:tcPr>
          <w:p w14:paraId="32409D0C"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0.017***</w:t>
            </w:r>
          </w:p>
          <w:p w14:paraId="73D59785"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r>
      <w:tr w:rsidR="00197BB6" w:rsidRPr="00197BB6" w14:paraId="797B5BB3" w14:textId="77777777" w:rsidTr="009E69CE">
        <w:trPr>
          <w:trHeight w:val="262"/>
        </w:trPr>
        <w:tc>
          <w:tcPr>
            <w:tcW w:w="4679" w:type="dxa"/>
            <w:tcBorders>
              <w:top w:val="single" w:sz="4" w:space="0" w:color="auto"/>
              <w:left w:val="single" w:sz="4" w:space="0" w:color="auto"/>
              <w:bottom w:val="single" w:sz="4" w:space="0" w:color="auto"/>
            </w:tcBorders>
            <w:hideMark/>
          </w:tcPr>
          <w:p w14:paraId="22160D9F"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on Board</w:t>
            </w:r>
          </w:p>
        </w:tc>
        <w:tc>
          <w:tcPr>
            <w:tcW w:w="1842" w:type="dxa"/>
            <w:tcBorders>
              <w:top w:val="single" w:sz="4" w:space="0" w:color="auto"/>
              <w:bottom w:val="single" w:sz="4" w:space="0" w:color="auto"/>
            </w:tcBorders>
            <w:noWrap/>
            <w:hideMark/>
          </w:tcPr>
          <w:p w14:paraId="43153F43"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2128D784"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tc>
        <w:tc>
          <w:tcPr>
            <w:tcW w:w="3119" w:type="dxa"/>
            <w:tcBorders>
              <w:top w:val="single" w:sz="4" w:space="0" w:color="auto"/>
              <w:bottom w:val="single" w:sz="4" w:space="0" w:color="auto"/>
              <w:right w:val="single" w:sz="4" w:space="0" w:color="auto"/>
            </w:tcBorders>
            <w:noWrap/>
            <w:hideMark/>
          </w:tcPr>
          <w:p w14:paraId="36E0A531"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632E1227"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tc>
      </w:tr>
      <w:tr w:rsidR="00197BB6" w:rsidRPr="00197BB6" w14:paraId="4424D88F" w14:textId="77777777" w:rsidTr="009E69CE">
        <w:trPr>
          <w:trHeight w:val="524"/>
        </w:trPr>
        <w:tc>
          <w:tcPr>
            <w:tcW w:w="4679" w:type="dxa"/>
            <w:tcBorders>
              <w:top w:val="single" w:sz="4" w:space="0" w:color="auto"/>
              <w:left w:val="single" w:sz="4" w:space="0" w:color="auto"/>
              <w:bottom w:val="single" w:sz="4" w:space="0" w:color="auto"/>
            </w:tcBorders>
            <w:hideMark/>
          </w:tcPr>
          <w:p w14:paraId="0C79D3B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 * Female on Board</w:t>
            </w:r>
          </w:p>
        </w:tc>
        <w:tc>
          <w:tcPr>
            <w:tcW w:w="1842" w:type="dxa"/>
            <w:tcBorders>
              <w:top w:val="single" w:sz="4" w:space="0" w:color="auto"/>
              <w:bottom w:val="single" w:sz="4" w:space="0" w:color="auto"/>
            </w:tcBorders>
            <w:noWrap/>
            <w:hideMark/>
          </w:tcPr>
          <w:p w14:paraId="38BB1C45" w14:textId="77777777" w:rsidR="00197BB6" w:rsidRPr="001278ED" w:rsidRDefault="00197BB6" w:rsidP="00197BB6">
            <w:pPr>
              <w:spacing w:after="0"/>
              <w:jc w:val="both"/>
              <w:rPr>
                <w:rFonts w:ascii="Times New Roman" w:eastAsia="DengXian" w:hAnsi="Times New Roman" w:cs="Times New Roman"/>
                <w:sz w:val="20"/>
                <w:szCs w:val="20"/>
              </w:rPr>
            </w:pPr>
          </w:p>
        </w:tc>
        <w:tc>
          <w:tcPr>
            <w:tcW w:w="3119" w:type="dxa"/>
            <w:tcBorders>
              <w:top w:val="single" w:sz="4" w:space="0" w:color="auto"/>
              <w:bottom w:val="single" w:sz="4" w:space="0" w:color="auto"/>
              <w:right w:val="single" w:sz="4" w:space="0" w:color="auto"/>
            </w:tcBorders>
            <w:noWrap/>
            <w:hideMark/>
          </w:tcPr>
          <w:p w14:paraId="7D385D47"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-0.031**</w:t>
            </w:r>
          </w:p>
          <w:p w14:paraId="765F614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(0.014)</w:t>
            </w:r>
          </w:p>
        </w:tc>
      </w:tr>
      <w:tr w:rsidR="00197BB6" w:rsidRPr="00197BB6" w14:paraId="1734DD6A" w14:textId="77777777" w:rsidTr="009E69CE">
        <w:trPr>
          <w:trHeight w:val="262"/>
        </w:trPr>
        <w:tc>
          <w:tcPr>
            <w:tcW w:w="4679" w:type="dxa"/>
            <w:tcBorders>
              <w:top w:val="single" w:sz="4" w:space="0" w:color="auto"/>
              <w:left w:val="single" w:sz="4" w:space="0" w:color="auto"/>
              <w:bottom w:val="single" w:sz="4" w:space="0" w:color="auto"/>
            </w:tcBorders>
            <w:hideMark/>
          </w:tcPr>
          <w:p w14:paraId="5494BD17"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Board Independence </w:t>
            </w:r>
          </w:p>
        </w:tc>
        <w:tc>
          <w:tcPr>
            <w:tcW w:w="1842" w:type="dxa"/>
            <w:tcBorders>
              <w:top w:val="single" w:sz="4" w:space="0" w:color="auto"/>
              <w:bottom w:val="single" w:sz="4" w:space="0" w:color="auto"/>
            </w:tcBorders>
            <w:noWrap/>
            <w:hideMark/>
          </w:tcPr>
          <w:p w14:paraId="6926FEB5" w14:textId="2B01E9CA"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0.017</w:t>
            </w:r>
          </w:p>
          <w:p w14:paraId="1806606A" w14:textId="0551A1FB"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4A276A">
              <w:rPr>
                <w:rFonts w:ascii="Times New Roman" w:eastAsia="DengXian" w:hAnsi="Times New Roman" w:cs="Times New Roman"/>
                <w:sz w:val="20"/>
                <w:szCs w:val="20"/>
              </w:rPr>
              <w:t>10</w:t>
            </w:r>
            <w:r w:rsidRPr="001278ED">
              <w:rPr>
                <w:rFonts w:ascii="Times New Roman" w:eastAsia="DengXian" w:hAnsi="Times New Roman" w:cs="Times New Roman"/>
                <w:sz w:val="20"/>
                <w:szCs w:val="20"/>
              </w:rPr>
              <w:t>)</w:t>
            </w:r>
          </w:p>
        </w:tc>
        <w:tc>
          <w:tcPr>
            <w:tcW w:w="3119" w:type="dxa"/>
            <w:tcBorders>
              <w:top w:val="single" w:sz="4" w:space="0" w:color="auto"/>
              <w:bottom w:val="single" w:sz="4" w:space="0" w:color="auto"/>
              <w:right w:val="single" w:sz="4" w:space="0" w:color="auto"/>
            </w:tcBorders>
            <w:noWrap/>
            <w:hideMark/>
          </w:tcPr>
          <w:p w14:paraId="47AD833F" w14:textId="005F70E8"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0.017</w:t>
            </w:r>
          </w:p>
          <w:p w14:paraId="6690DF53" w14:textId="245A4F95"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4A276A">
              <w:rPr>
                <w:rFonts w:ascii="Times New Roman" w:eastAsia="DengXian" w:hAnsi="Times New Roman" w:cs="Times New Roman"/>
                <w:sz w:val="20"/>
                <w:szCs w:val="20"/>
              </w:rPr>
              <w:t>11</w:t>
            </w:r>
            <w:r w:rsidRPr="001278ED">
              <w:rPr>
                <w:rFonts w:ascii="Times New Roman" w:eastAsia="DengXian" w:hAnsi="Times New Roman" w:cs="Times New Roman"/>
                <w:sz w:val="20"/>
                <w:szCs w:val="20"/>
              </w:rPr>
              <w:t>)</w:t>
            </w:r>
          </w:p>
          <w:p w14:paraId="5ED47261" w14:textId="77777777" w:rsidR="00197BB6" w:rsidRPr="001278ED" w:rsidRDefault="00197BB6" w:rsidP="00197BB6">
            <w:pPr>
              <w:spacing w:after="0"/>
              <w:jc w:val="both"/>
              <w:rPr>
                <w:rFonts w:ascii="Times New Roman" w:eastAsia="DengXian" w:hAnsi="Times New Roman" w:cs="Times New Roman"/>
                <w:sz w:val="20"/>
                <w:szCs w:val="20"/>
              </w:rPr>
            </w:pPr>
          </w:p>
        </w:tc>
      </w:tr>
      <w:tr w:rsidR="00197BB6" w:rsidRPr="00197BB6" w14:paraId="21AAF0E0" w14:textId="77777777" w:rsidTr="009E69CE">
        <w:trPr>
          <w:trHeight w:val="262"/>
        </w:trPr>
        <w:tc>
          <w:tcPr>
            <w:tcW w:w="4679" w:type="dxa"/>
            <w:tcBorders>
              <w:top w:val="single" w:sz="4" w:space="0" w:color="auto"/>
              <w:left w:val="single" w:sz="4" w:space="0" w:color="auto"/>
              <w:bottom w:val="single" w:sz="4" w:space="0" w:color="auto"/>
            </w:tcBorders>
            <w:hideMark/>
          </w:tcPr>
          <w:p w14:paraId="621EEDB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Size</w:t>
            </w:r>
          </w:p>
        </w:tc>
        <w:tc>
          <w:tcPr>
            <w:tcW w:w="1842" w:type="dxa"/>
            <w:tcBorders>
              <w:top w:val="single" w:sz="4" w:space="0" w:color="auto"/>
              <w:bottom w:val="single" w:sz="4" w:space="0" w:color="auto"/>
            </w:tcBorders>
            <w:noWrap/>
            <w:hideMark/>
          </w:tcPr>
          <w:p w14:paraId="579381BE" w14:textId="7A286521"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595E2F">
              <w:rPr>
                <w:rFonts w:ascii="Times New Roman" w:eastAsia="DengXian" w:hAnsi="Times New Roman" w:cs="Times New Roman"/>
                <w:sz w:val="20"/>
                <w:szCs w:val="20"/>
              </w:rPr>
              <w:t>***</w:t>
            </w:r>
          </w:p>
          <w:p w14:paraId="50E52931" w14:textId="7246A4D1"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w:t>
            </w:r>
            <w:r w:rsidR="00595E2F">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3119" w:type="dxa"/>
            <w:tcBorders>
              <w:top w:val="single" w:sz="4" w:space="0" w:color="auto"/>
              <w:bottom w:val="single" w:sz="4" w:space="0" w:color="auto"/>
              <w:right w:val="single" w:sz="4" w:space="0" w:color="auto"/>
            </w:tcBorders>
            <w:noWrap/>
            <w:hideMark/>
          </w:tcPr>
          <w:p w14:paraId="026A2E79" w14:textId="22A85383"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595E2F">
              <w:rPr>
                <w:rFonts w:ascii="Times New Roman" w:eastAsia="DengXian" w:hAnsi="Times New Roman" w:cs="Times New Roman"/>
                <w:sz w:val="20"/>
                <w:szCs w:val="20"/>
              </w:rPr>
              <w:t>***</w:t>
            </w:r>
          </w:p>
          <w:p w14:paraId="3E857A20" w14:textId="4A5857F1"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w:t>
            </w:r>
            <w:r w:rsidR="00595E2F">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46E9118D" w14:textId="77777777" w:rsidTr="009E69CE">
        <w:trPr>
          <w:trHeight w:val="262"/>
        </w:trPr>
        <w:tc>
          <w:tcPr>
            <w:tcW w:w="4679" w:type="dxa"/>
            <w:tcBorders>
              <w:top w:val="single" w:sz="4" w:space="0" w:color="auto"/>
              <w:left w:val="single" w:sz="4" w:space="0" w:color="auto"/>
              <w:bottom w:val="single" w:sz="4" w:space="0" w:color="auto"/>
            </w:tcBorders>
            <w:hideMark/>
          </w:tcPr>
          <w:p w14:paraId="35E78449"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842" w:type="dxa"/>
            <w:tcBorders>
              <w:top w:val="single" w:sz="4" w:space="0" w:color="auto"/>
              <w:bottom w:val="single" w:sz="4" w:space="0" w:color="auto"/>
            </w:tcBorders>
            <w:noWrap/>
            <w:hideMark/>
          </w:tcPr>
          <w:p w14:paraId="0DCAC63B" w14:textId="7AD0434F"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17442C">
              <w:rPr>
                <w:rFonts w:ascii="Times New Roman" w:eastAsia="DengXian" w:hAnsi="Times New Roman" w:cs="Times New Roman"/>
                <w:sz w:val="20"/>
                <w:szCs w:val="20"/>
              </w:rPr>
              <w:t>*</w:t>
            </w:r>
          </w:p>
          <w:p w14:paraId="37237384"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3119" w:type="dxa"/>
            <w:tcBorders>
              <w:top w:val="single" w:sz="4" w:space="0" w:color="auto"/>
              <w:bottom w:val="single" w:sz="4" w:space="0" w:color="auto"/>
              <w:right w:val="single" w:sz="4" w:space="0" w:color="auto"/>
            </w:tcBorders>
            <w:noWrap/>
            <w:hideMark/>
          </w:tcPr>
          <w:p w14:paraId="66135DA0" w14:textId="22B3347F"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17442C">
              <w:rPr>
                <w:rFonts w:ascii="Times New Roman" w:eastAsia="DengXian" w:hAnsi="Times New Roman" w:cs="Times New Roman"/>
                <w:sz w:val="20"/>
                <w:szCs w:val="20"/>
              </w:rPr>
              <w:t>*</w:t>
            </w:r>
          </w:p>
          <w:p w14:paraId="0FFBB8B1"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4B0B3EA9" w14:textId="77777777" w:rsidTr="009E69CE">
        <w:trPr>
          <w:trHeight w:val="262"/>
        </w:trPr>
        <w:tc>
          <w:tcPr>
            <w:tcW w:w="4679" w:type="dxa"/>
            <w:tcBorders>
              <w:top w:val="single" w:sz="4" w:space="0" w:color="auto"/>
              <w:left w:val="single" w:sz="4" w:space="0" w:color="auto"/>
              <w:bottom w:val="single" w:sz="4" w:space="0" w:color="auto"/>
            </w:tcBorders>
            <w:hideMark/>
          </w:tcPr>
          <w:p w14:paraId="7653315A"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842" w:type="dxa"/>
            <w:tcBorders>
              <w:top w:val="single" w:sz="4" w:space="0" w:color="auto"/>
              <w:bottom w:val="single" w:sz="4" w:space="0" w:color="auto"/>
            </w:tcBorders>
            <w:noWrap/>
            <w:hideMark/>
          </w:tcPr>
          <w:p w14:paraId="70992F72" w14:textId="55B0CDB4"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3FBE1C07" w14:textId="72080DA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3119" w:type="dxa"/>
            <w:tcBorders>
              <w:top w:val="single" w:sz="4" w:space="0" w:color="auto"/>
              <w:bottom w:val="single" w:sz="4" w:space="0" w:color="auto"/>
              <w:right w:val="single" w:sz="4" w:space="0" w:color="auto"/>
            </w:tcBorders>
            <w:noWrap/>
            <w:hideMark/>
          </w:tcPr>
          <w:p w14:paraId="7B461CDE" w14:textId="4507C22B"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4BCE792B" w14:textId="3A00C3D8"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1FAB0FEF" w14:textId="77777777" w:rsidTr="009E69CE">
        <w:trPr>
          <w:trHeight w:val="262"/>
        </w:trPr>
        <w:tc>
          <w:tcPr>
            <w:tcW w:w="4679" w:type="dxa"/>
            <w:tcBorders>
              <w:top w:val="single" w:sz="4" w:space="0" w:color="auto"/>
              <w:left w:val="single" w:sz="4" w:space="0" w:color="auto"/>
              <w:bottom w:val="single" w:sz="4" w:space="0" w:color="auto"/>
            </w:tcBorders>
            <w:hideMark/>
          </w:tcPr>
          <w:p w14:paraId="096FC3A6"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St Borrowing/TA</w:t>
            </w:r>
          </w:p>
        </w:tc>
        <w:tc>
          <w:tcPr>
            <w:tcW w:w="1842" w:type="dxa"/>
            <w:tcBorders>
              <w:top w:val="single" w:sz="4" w:space="0" w:color="auto"/>
              <w:bottom w:val="single" w:sz="4" w:space="0" w:color="auto"/>
            </w:tcBorders>
            <w:noWrap/>
            <w:hideMark/>
          </w:tcPr>
          <w:p w14:paraId="1FB15A26"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0.084***</w:t>
            </w:r>
          </w:p>
          <w:p w14:paraId="71DC2909"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(0.013)</w:t>
            </w:r>
          </w:p>
        </w:tc>
        <w:tc>
          <w:tcPr>
            <w:tcW w:w="3119" w:type="dxa"/>
            <w:tcBorders>
              <w:top w:val="single" w:sz="4" w:space="0" w:color="auto"/>
              <w:bottom w:val="single" w:sz="4" w:space="0" w:color="auto"/>
              <w:right w:val="single" w:sz="4" w:space="0" w:color="auto"/>
            </w:tcBorders>
            <w:noWrap/>
            <w:hideMark/>
          </w:tcPr>
          <w:p w14:paraId="261F382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0.087***</w:t>
            </w:r>
          </w:p>
          <w:p w14:paraId="16BB049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(0.014)</w:t>
            </w:r>
          </w:p>
        </w:tc>
      </w:tr>
      <w:tr w:rsidR="00197BB6" w:rsidRPr="00197BB6" w14:paraId="0F44EAA6" w14:textId="77777777" w:rsidTr="009E69CE">
        <w:trPr>
          <w:trHeight w:val="262"/>
        </w:trPr>
        <w:tc>
          <w:tcPr>
            <w:tcW w:w="4679" w:type="dxa"/>
            <w:tcBorders>
              <w:top w:val="single" w:sz="4" w:space="0" w:color="auto"/>
              <w:left w:val="single" w:sz="4" w:space="0" w:color="auto"/>
              <w:bottom w:val="single" w:sz="4" w:space="0" w:color="auto"/>
            </w:tcBorders>
            <w:hideMark/>
          </w:tcPr>
          <w:p w14:paraId="008F14D3"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Loans/TA</w:t>
            </w:r>
          </w:p>
        </w:tc>
        <w:tc>
          <w:tcPr>
            <w:tcW w:w="1842" w:type="dxa"/>
            <w:tcBorders>
              <w:top w:val="single" w:sz="4" w:space="0" w:color="auto"/>
              <w:bottom w:val="single" w:sz="4" w:space="0" w:color="auto"/>
            </w:tcBorders>
            <w:noWrap/>
            <w:hideMark/>
          </w:tcPr>
          <w:p w14:paraId="0C1EA3B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0.160***</w:t>
            </w:r>
          </w:p>
          <w:p w14:paraId="0E7A8A4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(0.029)</w:t>
            </w:r>
          </w:p>
        </w:tc>
        <w:tc>
          <w:tcPr>
            <w:tcW w:w="3119" w:type="dxa"/>
            <w:tcBorders>
              <w:top w:val="single" w:sz="4" w:space="0" w:color="auto"/>
              <w:bottom w:val="single" w:sz="4" w:space="0" w:color="auto"/>
              <w:right w:val="single" w:sz="4" w:space="0" w:color="auto"/>
            </w:tcBorders>
            <w:noWrap/>
            <w:hideMark/>
          </w:tcPr>
          <w:p w14:paraId="0E16B380"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0.155***</w:t>
            </w:r>
          </w:p>
          <w:p w14:paraId="17F0E319"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(0.029)</w:t>
            </w:r>
          </w:p>
        </w:tc>
      </w:tr>
      <w:tr w:rsidR="00197BB6" w:rsidRPr="00197BB6" w14:paraId="29A3C15A" w14:textId="77777777" w:rsidTr="009E69CE">
        <w:trPr>
          <w:trHeight w:val="262"/>
        </w:trPr>
        <w:tc>
          <w:tcPr>
            <w:tcW w:w="4679" w:type="dxa"/>
            <w:tcBorders>
              <w:top w:val="single" w:sz="4" w:space="0" w:color="auto"/>
              <w:left w:val="single" w:sz="4" w:space="0" w:color="auto"/>
              <w:bottom w:val="single" w:sz="4" w:space="0" w:color="auto"/>
            </w:tcBorders>
            <w:hideMark/>
          </w:tcPr>
          <w:p w14:paraId="61EA92B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842" w:type="dxa"/>
            <w:tcBorders>
              <w:top w:val="single" w:sz="4" w:space="0" w:color="auto"/>
              <w:bottom w:val="single" w:sz="4" w:space="0" w:color="auto"/>
            </w:tcBorders>
            <w:noWrap/>
            <w:hideMark/>
          </w:tcPr>
          <w:p w14:paraId="7F0C8090" w14:textId="4FF1BD49"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1DAD0E4C" w14:textId="397094D9"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3119" w:type="dxa"/>
            <w:tcBorders>
              <w:top w:val="single" w:sz="4" w:space="0" w:color="auto"/>
              <w:bottom w:val="single" w:sz="4" w:space="0" w:color="auto"/>
              <w:right w:val="single" w:sz="4" w:space="0" w:color="auto"/>
            </w:tcBorders>
            <w:noWrap/>
            <w:hideMark/>
          </w:tcPr>
          <w:p w14:paraId="130A485D" w14:textId="07F7687F"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0C86C798" w14:textId="2F0B11F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54C54173" w14:textId="77777777" w:rsidTr="009E69CE">
        <w:trPr>
          <w:trHeight w:val="262"/>
        </w:trPr>
        <w:tc>
          <w:tcPr>
            <w:tcW w:w="4679" w:type="dxa"/>
            <w:tcBorders>
              <w:top w:val="single" w:sz="4" w:space="0" w:color="auto"/>
              <w:left w:val="single" w:sz="4" w:space="0" w:color="auto"/>
              <w:bottom w:val="single" w:sz="4" w:space="0" w:color="auto"/>
            </w:tcBorders>
            <w:hideMark/>
          </w:tcPr>
          <w:p w14:paraId="0A3D56D7" w14:textId="43F5161A" w:rsidR="00197BB6" w:rsidRPr="001278ED" w:rsidRDefault="0017442C" w:rsidP="00197BB6">
            <w:pPr>
              <w:spacing w:after="0"/>
              <w:jc w:val="both"/>
              <w:rPr>
                <w:rFonts w:ascii="Times New Roman" w:eastAsia="DengXian" w:hAnsi="Times New Roman" w:cs="Times New Roman"/>
                <w:sz w:val="20"/>
                <w:szCs w:val="20"/>
              </w:rPr>
            </w:pPr>
            <w:r>
              <w:rPr>
                <w:rFonts w:ascii="Times New Roman" w:eastAsia="DengXian" w:hAnsi="Times New Roman" w:cs="Times New Roman"/>
                <w:sz w:val="20"/>
                <w:szCs w:val="20"/>
              </w:rPr>
              <w:t>Bank</w:t>
            </w:r>
            <w:r w:rsidR="00197BB6" w:rsidRPr="001278ED">
              <w:rPr>
                <w:rFonts w:ascii="Times New Roman" w:eastAsia="DengXian" w:hAnsi="Times New Roman" w:cs="Times New Roman"/>
                <w:sz w:val="20"/>
                <w:szCs w:val="20"/>
              </w:rPr>
              <w:t xml:space="preserve"> Size</w:t>
            </w:r>
          </w:p>
        </w:tc>
        <w:tc>
          <w:tcPr>
            <w:tcW w:w="1842" w:type="dxa"/>
            <w:tcBorders>
              <w:top w:val="single" w:sz="4" w:space="0" w:color="auto"/>
              <w:bottom w:val="single" w:sz="4" w:space="0" w:color="auto"/>
            </w:tcBorders>
            <w:noWrap/>
            <w:hideMark/>
          </w:tcPr>
          <w:p w14:paraId="6E3931F8" w14:textId="1E833F04"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233EFC51" w14:textId="122C85AF"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3119" w:type="dxa"/>
            <w:tcBorders>
              <w:top w:val="single" w:sz="4" w:space="0" w:color="auto"/>
              <w:bottom w:val="single" w:sz="4" w:space="0" w:color="auto"/>
              <w:right w:val="single" w:sz="4" w:space="0" w:color="auto"/>
            </w:tcBorders>
            <w:noWrap/>
            <w:hideMark/>
          </w:tcPr>
          <w:p w14:paraId="426287C4" w14:textId="2C154476"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58FF49F6" w14:textId="511144A5"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5F36843B" w14:textId="77777777" w:rsidTr="009E69CE">
        <w:trPr>
          <w:trHeight w:val="262"/>
        </w:trPr>
        <w:tc>
          <w:tcPr>
            <w:tcW w:w="4679" w:type="dxa"/>
            <w:tcBorders>
              <w:top w:val="single" w:sz="4" w:space="0" w:color="auto"/>
              <w:left w:val="single" w:sz="4" w:space="0" w:color="auto"/>
              <w:bottom w:val="single" w:sz="4" w:space="0" w:color="auto"/>
            </w:tcBorders>
            <w:hideMark/>
          </w:tcPr>
          <w:p w14:paraId="2E6CC5E0"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842" w:type="dxa"/>
            <w:tcBorders>
              <w:top w:val="single" w:sz="4" w:space="0" w:color="auto"/>
              <w:bottom w:val="single" w:sz="4" w:space="0" w:color="auto"/>
            </w:tcBorders>
            <w:noWrap/>
            <w:hideMark/>
          </w:tcPr>
          <w:p w14:paraId="1DEFE7D6"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179DBED5"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c>
          <w:tcPr>
            <w:tcW w:w="3119" w:type="dxa"/>
            <w:tcBorders>
              <w:top w:val="single" w:sz="4" w:space="0" w:color="auto"/>
              <w:bottom w:val="single" w:sz="4" w:space="0" w:color="auto"/>
              <w:right w:val="single" w:sz="4" w:space="0" w:color="auto"/>
            </w:tcBorders>
            <w:noWrap/>
            <w:hideMark/>
          </w:tcPr>
          <w:p w14:paraId="19AEACCD"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5D27E985"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r>
      <w:tr w:rsidR="00197BB6" w:rsidRPr="00197BB6" w14:paraId="5B9360B9" w14:textId="77777777" w:rsidTr="009E69CE">
        <w:trPr>
          <w:trHeight w:val="262"/>
        </w:trPr>
        <w:tc>
          <w:tcPr>
            <w:tcW w:w="4679" w:type="dxa"/>
            <w:tcBorders>
              <w:top w:val="single" w:sz="4" w:space="0" w:color="auto"/>
              <w:left w:val="single" w:sz="4" w:space="0" w:color="auto"/>
              <w:bottom w:val="single" w:sz="4" w:space="0" w:color="auto"/>
            </w:tcBorders>
            <w:hideMark/>
          </w:tcPr>
          <w:p w14:paraId="497BC15F"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Constant</w:t>
            </w:r>
          </w:p>
        </w:tc>
        <w:tc>
          <w:tcPr>
            <w:tcW w:w="1842" w:type="dxa"/>
            <w:tcBorders>
              <w:top w:val="single" w:sz="4" w:space="0" w:color="auto"/>
              <w:bottom w:val="single" w:sz="4" w:space="0" w:color="auto"/>
            </w:tcBorders>
            <w:noWrap/>
            <w:hideMark/>
          </w:tcPr>
          <w:p w14:paraId="2BB62F9B"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0.051***</w:t>
            </w:r>
          </w:p>
          <w:p w14:paraId="074D1BD6"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c>
          <w:tcPr>
            <w:tcW w:w="3119" w:type="dxa"/>
            <w:tcBorders>
              <w:top w:val="single" w:sz="4" w:space="0" w:color="auto"/>
              <w:bottom w:val="single" w:sz="4" w:space="0" w:color="auto"/>
              <w:right w:val="single" w:sz="4" w:space="0" w:color="auto"/>
            </w:tcBorders>
            <w:noWrap/>
            <w:hideMark/>
          </w:tcPr>
          <w:p w14:paraId="3431A201"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0.052***</w:t>
            </w:r>
          </w:p>
          <w:p w14:paraId="6F20E238"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r>
      <w:tr w:rsidR="00197BB6" w:rsidRPr="00197BB6" w14:paraId="28666E57" w14:textId="77777777" w:rsidTr="009E69CE">
        <w:trPr>
          <w:trHeight w:val="262"/>
        </w:trPr>
        <w:tc>
          <w:tcPr>
            <w:tcW w:w="4679" w:type="dxa"/>
            <w:tcBorders>
              <w:top w:val="single" w:sz="4" w:space="0" w:color="auto"/>
              <w:left w:val="single" w:sz="4" w:space="0" w:color="auto"/>
              <w:bottom w:val="single" w:sz="4" w:space="0" w:color="auto"/>
            </w:tcBorders>
            <w:hideMark/>
          </w:tcPr>
          <w:p w14:paraId="3FF28614"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Firm FE</w:t>
            </w:r>
          </w:p>
        </w:tc>
        <w:tc>
          <w:tcPr>
            <w:tcW w:w="1842" w:type="dxa"/>
            <w:tcBorders>
              <w:top w:val="single" w:sz="4" w:space="0" w:color="auto"/>
              <w:bottom w:val="single" w:sz="4" w:space="0" w:color="auto"/>
            </w:tcBorders>
            <w:noWrap/>
            <w:hideMark/>
          </w:tcPr>
          <w:p w14:paraId="560E842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3119" w:type="dxa"/>
            <w:tcBorders>
              <w:top w:val="single" w:sz="4" w:space="0" w:color="auto"/>
              <w:bottom w:val="single" w:sz="4" w:space="0" w:color="auto"/>
              <w:right w:val="single" w:sz="4" w:space="0" w:color="auto"/>
            </w:tcBorders>
            <w:noWrap/>
            <w:hideMark/>
          </w:tcPr>
          <w:p w14:paraId="05F1CD87"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97BB6" w14:paraId="55E1E3DC" w14:textId="77777777" w:rsidTr="009E69CE">
        <w:trPr>
          <w:trHeight w:val="262"/>
        </w:trPr>
        <w:tc>
          <w:tcPr>
            <w:tcW w:w="4679" w:type="dxa"/>
            <w:tcBorders>
              <w:top w:val="single" w:sz="4" w:space="0" w:color="auto"/>
              <w:left w:val="single" w:sz="4" w:space="0" w:color="auto"/>
              <w:bottom w:val="single" w:sz="4" w:space="0" w:color="auto"/>
            </w:tcBorders>
            <w:hideMark/>
          </w:tcPr>
          <w:p w14:paraId="7CA3BF37"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1842" w:type="dxa"/>
            <w:tcBorders>
              <w:top w:val="single" w:sz="4" w:space="0" w:color="auto"/>
              <w:bottom w:val="single" w:sz="4" w:space="0" w:color="auto"/>
            </w:tcBorders>
            <w:noWrap/>
            <w:hideMark/>
          </w:tcPr>
          <w:p w14:paraId="30EBA95A"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3119" w:type="dxa"/>
            <w:tcBorders>
              <w:top w:val="single" w:sz="4" w:space="0" w:color="auto"/>
              <w:bottom w:val="single" w:sz="4" w:space="0" w:color="auto"/>
              <w:right w:val="single" w:sz="4" w:space="0" w:color="auto"/>
            </w:tcBorders>
            <w:noWrap/>
            <w:hideMark/>
          </w:tcPr>
          <w:p w14:paraId="5BCCABA6"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97BB6" w14:paraId="7F0CC6AB" w14:textId="77777777" w:rsidTr="009E69CE">
        <w:trPr>
          <w:trHeight w:val="262"/>
        </w:trPr>
        <w:tc>
          <w:tcPr>
            <w:tcW w:w="4679" w:type="dxa"/>
            <w:tcBorders>
              <w:top w:val="single" w:sz="4" w:space="0" w:color="auto"/>
              <w:left w:val="single" w:sz="4" w:space="0" w:color="auto"/>
              <w:bottom w:val="single" w:sz="4" w:space="0" w:color="auto"/>
            </w:tcBorders>
            <w:hideMark/>
          </w:tcPr>
          <w:p w14:paraId="55EF3F9E"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1842" w:type="dxa"/>
            <w:tcBorders>
              <w:top w:val="single" w:sz="4" w:space="0" w:color="auto"/>
              <w:bottom w:val="single" w:sz="4" w:space="0" w:color="auto"/>
            </w:tcBorders>
            <w:noWrap/>
            <w:hideMark/>
          </w:tcPr>
          <w:p w14:paraId="5668824A"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c>
          <w:tcPr>
            <w:tcW w:w="3119" w:type="dxa"/>
            <w:tcBorders>
              <w:top w:val="single" w:sz="4" w:space="0" w:color="auto"/>
              <w:bottom w:val="single" w:sz="4" w:space="0" w:color="auto"/>
              <w:right w:val="single" w:sz="4" w:space="0" w:color="auto"/>
            </w:tcBorders>
            <w:noWrap/>
            <w:hideMark/>
          </w:tcPr>
          <w:p w14:paraId="025B2E53"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r>
      <w:tr w:rsidR="00197BB6" w:rsidRPr="00197BB6" w14:paraId="537DE637" w14:textId="77777777" w:rsidTr="009E69CE">
        <w:trPr>
          <w:trHeight w:val="262"/>
        </w:trPr>
        <w:tc>
          <w:tcPr>
            <w:tcW w:w="4679" w:type="dxa"/>
            <w:tcBorders>
              <w:top w:val="single" w:sz="4" w:space="0" w:color="auto"/>
              <w:left w:val="single" w:sz="4" w:space="0" w:color="auto"/>
              <w:bottom w:val="single" w:sz="4" w:space="0" w:color="auto"/>
            </w:tcBorders>
            <w:hideMark/>
          </w:tcPr>
          <w:p w14:paraId="282E87E2"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R-squared</w:t>
            </w:r>
          </w:p>
        </w:tc>
        <w:tc>
          <w:tcPr>
            <w:tcW w:w="1842" w:type="dxa"/>
            <w:tcBorders>
              <w:top w:val="single" w:sz="4" w:space="0" w:color="auto"/>
              <w:bottom w:val="single" w:sz="4" w:space="0" w:color="auto"/>
            </w:tcBorders>
            <w:noWrap/>
            <w:hideMark/>
          </w:tcPr>
          <w:p w14:paraId="1C1FB9F4"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0.249</w:t>
            </w:r>
          </w:p>
        </w:tc>
        <w:tc>
          <w:tcPr>
            <w:tcW w:w="3119" w:type="dxa"/>
            <w:tcBorders>
              <w:top w:val="single" w:sz="4" w:space="0" w:color="auto"/>
              <w:bottom w:val="single" w:sz="4" w:space="0" w:color="auto"/>
              <w:right w:val="single" w:sz="4" w:space="0" w:color="auto"/>
            </w:tcBorders>
            <w:noWrap/>
            <w:hideMark/>
          </w:tcPr>
          <w:p w14:paraId="082D78BF" w14:textId="77777777" w:rsidR="00197BB6" w:rsidRPr="001278ED" w:rsidRDefault="00197BB6" w:rsidP="00197BB6">
            <w:pPr>
              <w:spacing w:after="0"/>
              <w:jc w:val="both"/>
              <w:rPr>
                <w:rFonts w:ascii="Times New Roman" w:eastAsia="DengXian" w:hAnsi="Times New Roman" w:cs="Times New Roman"/>
                <w:sz w:val="20"/>
                <w:szCs w:val="20"/>
              </w:rPr>
            </w:pPr>
            <w:r w:rsidRPr="001278ED">
              <w:rPr>
                <w:rFonts w:ascii="Times New Roman" w:eastAsia="DengXian" w:hAnsi="Times New Roman" w:cs="Times New Roman"/>
                <w:sz w:val="20"/>
                <w:szCs w:val="20"/>
              </w:rPr>
              <w:t>0.252</w:t>
            </w:r>
          </w:p>
        </w:tc>
      </w:tr>
      <w:bookmarkEnd w:id="63"/>
    </w:tbl>
    <w:p w14:paraId="1FF5B9FA" w14:textId="77777777" w:rsidR="00197BB6" w:rsidRPr="00197BB6" w:rsidRDefault="00197BB6" w:rsidP="00197BB6">
      <w:pPr>
        <w:rPr>
          <w:rFonts w:ascii="Calibri" w:eastAsia="Times New Roman" w:hAnsi="Calibri" w:cs="Times New Roman"/>
        </w:rPr>
      </w:pPr>
    </w:p>
    <w:p w14:paraId="30EC782C" w14:textId="77777777" w:rsidR="00197BB6" w:rsidRPr="00197BB6" w:rsidRDefault="00197BB6" w:rsidP="00197BB6">
      <w:pPr>
        <w:rPr>
          <w:rFonts w:ascii="Calibri" w:eastAsia="Times New Roman" w:hAnsi="Calibri" w:cs="Times New Roman"/>
        </w:rPr>
      </w:pPr>
    </w:p>
    <w:p w14:paraId="7ACB0D57" w14:textId="3017024A" w:rsidR="00E30E2D" w:rsidRDefault="00E30E2D">
      <w:pPr>
        <w:rPr>
          <w:rFonts w:ascii="Calibri" w:eastAsia="Times New Roman" w:hAnsi="Calibri" w:cs="Times New Roman"/>
        </w:rPr>
      </w:pPr>
      <w:r>
        <w:rPr>
          <w:rFonts w:ascii="Calibri" w:eastAsia="Times New Roman" w:hAnsi="Calibri" w:cs="Times New Roman"/>
        </w:rPr>
        <w:br w:type="page"/>
      </w:r>
    </w:p>
    <w:p w14:paraId="7DBFA5A0" w14:textId="77777777" w:rsidR="00197BB6" w:rsidRPr="00197BB6" w:rsidRDefault="00197BB6" w:rsidP="00197BB6">
      <w:pPr>
        <w:rPr>
          <w:rFonts w:ascii="Calibri" w:eastAsia="Times New Roman" w:hAnsi="Calibri" w:cs="Times New Roman"/>
        </w:rPr>
      </w:pPr>
    </w:p>
    <w:p w14:paraId="372E7A82" w14:textId="61921389"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64" w:name="_Toc132383482"/>
      <w:bookmarkStart w:id="65" w:name="_Toc132386096"/>
      <w:bookmarkStart w:id="66" w:name="_Toc132437288"/>
      <w:r w:rsidRPr="00E30E2D">
        <w:rPr>
          <w:rFonts w:ascii="Times New Roman" w:hAnsi="Times New Roman" w:cs="Times New Roman"/>
          <w:b/>
          <w:bCs/>
          <w:i w:val="0"/>
          <w:iCs w:val="0"/>
          <w:color w:val="000000" w:themeColor="text1"/>
          <w:sz w:val="28"/>
          <w:szCs w:val="28"/>
        </w:rPr>
        <w:t>Table 3.</w:t>
      </w:r>
      <w:r w:rsidR="001435EA">
        <w:rPr>
          <w:rFonts w:ascii="Times New Roman" w:hAnsi="Times New Roman" w:cs="Times New Roman"/>
          <w:b/>
          <w:bCs/>
          <w:i w:val="0"/>
          <w:iCs w:val="0"/>
          <w:color w:val="000000" w:themeColor="text1"/>
          <w:sz w:val="28"/>
          <w:szCs w:val="28"/>
        </w:rPr>
        <w:t>5</w:t>
      </w:r>
      <w:r w:rsidRPr="00E30E2D">
        <w:rPr>
          <w:rFonts w:ascii="Times New Roman" w:hAnsi="Times New Roman" w:cs="Times New Roman"/>
          <w:b/>
          <w:bCs/>
          <w:i w:val="0"/>
          <w:iCs w:val="0"/>
          <w:color w:val="000000" w:themeColor="text1"/>
          <w:sz w:val="28"/>
          <w:szCs w:val="28"/>
        </w:rPr>
        <w:t>. Female CRO and Moderating Role of Gender Diversity at Risk Committee</w:t>
      </w:r>
      <w:bookmarkEnd w:id="64"/>
      <w:bookmarkEnd w:id="65"/>
      <w:bookmarkEnd w:id="66"/>
    </w:p>
    <w:tbl>
      <w:tblPr>
        <w:tblpPr w:leftFromText="180" w:rightFromText="180" w:vertAnchor="text" w:horzAnchor="margin" w:tblpY="246"/>
        <w:tblW w:w="5155" w:type="pct"/>
        <w:tblCellMar>
          <w:left w:w="0" w:type="dxa"/>
          <w:right w:w="0" w:type="dxa"/>
        </w:tblCellMar>
        <w:tblLook w:val="0600" w:firstRow="0" w:lastRow="0" w:firstColumn="0" w:lastColumn="0" w:noHBand="1" w:noVBand="1"/>
      </w:tblPr>
      <w:tblGrid>
        <w:gridCol w:w="3919"/>
        <w:gridCol w:w="2507"/>
        <w:gridCol w:w="3343"/>
      </w:tblGrid>
      <w:tr w:rsidR="00197BB6" w:rsidRPr="00197BB6" w14:paraId="7FB46C59" w14:textId="77777777" w:rsidTr="00DE7639">
        <w:trPr>
          <w:trHeight w:val="352"/>
        </w:trPr>
        <w:tc>
          <w:tcPr>
            <w:tcW w:w="5000" w:type="pct"/>
            <w:gridSpan w:val="3"/>
            <w:tcMar>
              <w:top w:w="15" w:type="dxa"/>
              <w:left w:w="75" w:type="dxa"/>
              <w:bottom w:w="0" w:type="dxa"/>
              <w:right w:w="75" w:type="dxa"/>
            </w:tcMar>
          </w:tcPr>
          <w:p w14:paraId="5ACBCF3F" w14:textId="77777777" w:rsidR="00197BB6" w:rsidRPr="00197BB6" w:rsidRDefault="00197BB6" w:rsidP="00DE7639">
            <w:pPr>
              <w:spacing w:after="0"/>
              <w:rPr>
                <w:rFonts w:ascii="Times New Roman" w:eastAsia="DengXian" w:hAnsi="Times New Roman" w:cs="Times New Roman"/>
                <w:b/>
                <w:bCs/>
                <w:caps/>
                <w:color w:val="262626"/>
                <w:spacing w:val="-10"/>
                <w:kern w:val="24"/>
              </w:rPr>
            </w:pPr>
            <w:r w:rsidRPr="00197BB6">
              <w:rPr>
                <w:rFonts w:ascii="Times New Roman" w:eastAsia="DengXian" w:hAnsi="Times New Roman" w:cs="Times New Roman"/>
                <w:b/>
                <w:bCs/>
                <w:caps/>
                <w:color w:val="262626"/>
                <w:spacing w:val="-10"/>
                <w:kern w:val="24"/>
              </w:rPr>
              <w:t xml:space="preserve"> </w:t>
            </w:r>
          </w:p>
          <w:p w14:paraId="35079A3A" w14:textId="2354AE37" w:rsidR="00197BB6" w:rsidRPr="00197BB6" w:rsidRDefault="00197BB6" w:rsidP="00DE7639">
            <w:pPr>
              <w:spacing w:after="0"/>
              <w:jc w:val="both"/>
              <w:rPr>
                <w:rFonts w:ascii="Times New Roman" w:eastAsia="DengXian" w:hAnsi="Times New Roman" w:cs="Times New Roman"/>
              </w:rPr>
            </w:pPr>
            <w:r w:rsidRPr="00197BB6">
              <w:rPr>
                <w:rFonts w:ascii="Times New Roman" w:eastAsia="DengXian" w:hAnsi="Times New Roman" w:cs="Times New Roman"/>
              </w:rPr>
              <w:t>This table reports the moderating role of gender diversity at R.C. on female CRO and bank risk</w:t>
            </w:r>
            <w:r w:rsidR="00963CA8">
              <w:rPr>
                <w:rFonts w:ascii="Times New Roman" w:eastAsia="DengXian" w:hAnsi="Times New Roman" w:cs="Times New Roman"/>
              </w:rPr>
              <w:t>, and c</w:t>
            </w:r>
            <w:r w:rsidRPr="00197BB6">
              <w:rPr>
                <w:rFonts w:ascii="Times New Roman" w:eastAsia="DengXian" w:hAnsi="Times New Roman" w:cs="Times New Roman"/>
              </w:rPr>
              <w:t>olumn 2 reports the regression results of this relationship. The risk proxy is Aggregate risk</w:t>
            </w:r>
            <w:r w:rsidR="00567377">
              <w:rPr>
                <w:rFonts w:ascii="Times New Roman" w:eastAsia="DengXian" w:hAnsi="Times New Roman" w:cs="Times New Roman"/>
              </w:rPr>
              <w:t>;</w:t>
            </w:r>
            <w:r w:rsidRPr="00197BB6">
              <w:rPr>
                <w:rFonts w:ascii="Times New Roman" w:eastAsia="DengXian" w:hAnsi="Times New Roman" w:cs="Times New Roman"/>
              </w:rPr>
              <w:t xml:space="preserve"> gender diversity on R.C. is measured as the % of female</w:t>
            </w:r>
            <w:r w:rsidR="00567377">
              <w:rPr>
                <w:rFonts w:ascii="Times New Roman" w:eastAsia="DengXian" w:hAnsi="Times New Roman" w:cs="Times New Roman"/>
              </w:rPr>
              <w:t>s</w:t>
            </w:r>
            <w:r w:rsidRPr="00197BB6">
              <w:rPr>
                <w:rFonts w:ascii="Times New Roman" w:eastAsia="DengXian" w:hAnsi="Times New Roman" w:cs="Times New Roman"/>
              </w:rPr>
              <w:t xml:space="preserve"> on R.C. to </w:t>
            </w:r>
            <w:r w:rsidR="00963CA8">
              <w:rPr>
                <w:rFonts w:ascii="Times New Roman" w:eastAsia="DengXian" w:hAnsi="Times New Roman" w:cs="Times New Roman"/>
              </w:rPr>
              <w:t xml:space="preserve">the </w:t>
            </w:r>
            <w:r w:rsidRPr="00197BB6">
              <w:rPr>
                <w:rFonts w:ascii="Times New Roman" w:eastAsia="DengXian" w:hAnsi="Times New Roman" w:cs="Times New Roman"/>
              </w:rPr>
              <w:t xml:space="preserve">size of R.C. The rest of the right-hand side variables are </w:t>
            </w:r>
            <w:r w:rsidR="00567377">
              <w:rPr>
                <w:rFonts w:ascii="Times New Roman" w:eastAsia="DengXian" w:hAnsi="Times New Roman" w:cs="Times New Roman"/>
              </w:rPr>
              <w:t xml:space="preserve">the </w:t>
            </w:r>
            <w:r w:rsidRPr="00197BB6">
              <w:rPr>
                <w:rFonts w:ascii="Times New Roman" w:eastAsia="DengXian" w:hAnsi="Times New Roman" w:cs="Times New Roman"/>
              </w:rPr>
              <w:t xml:space="preserve">same as baseline regression. We control for Year and </w:t>
            </w:r>
            <w:r w:rsidR="00963CA8">
              <w:rPr>
                <w:rFonts w:ascii="Times New Roman" w:eastAsia="DengXian" w:hAnsi="Times New Roman" w:cs="Times New Roman"/>
              </w:rPr>
              <w:t>bank</w:t>
            </w:r>
            <w:r w:rsidRPr="00197BB6">
              <w:rPr>
                <w:rFonts w:ascii="Times New Roman" w:eastAsia="DengXian" w:hAnsi="Times New Roman" w:cs="Times New Roman"/>
              </w:rPr>
              <w:t xml:space="preserve"> F.E. Standard errors are reported in parentheses. ***, **, * indicates significance at the 1, 5, </w:t>
            </w:r>
            <w:r w:rsidR="00963CA8">
              <w:rPr>
                <w:rFonts w:ascii="Times New Roman" w:eastAsia="DengXian" w:hAnsi="Times New Roman" w:cs="Times New Roman"/>
              </w:rPr>
              <w:t xml:space="preserve">and </w:t>
            </w:r>
            <w:r w:rsidRPr="00197BB6">
              <w:rPr>
                <w:rFonts w:ascii="Times New Roman" w:eastAsia="DengXian" w:hAnsi="Times New Roman" w:cs="Times New Roman"/>
              </w:rPr>
              <w:t>10 percent levels, respectively</w:t>
            </w:r>
          </w:p>
        </w:tc>
      </w:tr>
      <w:tr w:rsidR="00197BB6" w:rsidRPr="00197BB6" w14:paraId="1FFC8544" w14:textId="77777777" w:rsidTr="00DE7639">
        <w:trPr>
          <w:trHeight w:val="352"/>
        </w:trPr>
        <w:tc>
          <w:tcPr>
            <w:tcW w:w="2006" w:type="pct"/>
            <w:tcBorders>
              <w:bottom w:val="single" w:sz="4" w:space="0" w:color="auto"/>
            </w:tcBorders>
            <w:tcMar>
              <w:top w:w="15" w:type="dxa"/>
              <w:left w:w="75" w:type="dxa"/>
              <w:bottom w:w="0" w:type="dxa"/>
              <w:right w:w="75" w:type="dxa"/>
            </w:tcMar>
            <w:hideMark/>
          </w:tcPr>
          <w:p w14:paraId="47AD84E6" w14:textId="77777777" w:rsidR="00197BB6" w:rsidRPr="00197BB6" w:rsidRDefault="00197BB6" w:rsidP="00DE7639">
            <w:pPr>
              <w:spacing w:after="0"/>
              <w:rPr>
                <w:rFonts w:ascii="Times New Roman" w:eastAsia="DengXian" w:hAnsi="Times New Roman" w:cs="Times New Roman"/>
                <w:b/>
                <w:bCs/>
                <w:i/>
                <w:iCs/>
              </w:rPr>
            </w:pPr>
            <w:r w:rsidRPr="00197BB6">
              <w:rPr>
                <w:rFonts w:ascii="Times New Roman" w:eastAsia="DengXian" w:hAnsi="Times New Roman" w:cs="Times New Roman"/>
                <w:b/>
                <w:bCs/>
                <w:i/>
                <w:iCs/>
              </w:rPr>
              <w:t> </w:t>
            </w:r>
          </w:p>
        </w:tc>
        <w:tc>
          <w:tcPr>
            <w:tcW w:w="1283" w:type="pct"/>
            <w:tcBorders>
              <w:bottom w:val="single" w:sz="4" w:space="0" w:color="auto"/>
            </w:tcBorders>
            <w:tcMar>
              <w:top w:w="15" w:type="dxa"/>
              <w:left w:w="75" w:type="dxa"/>
              <w:bottom w:w="0" w:type="dxa"/>
              <w:right w:w="75" w:type="dxa"/>
            </w:tcMar>
            <w:hideMark/>
          </w:tcPr>
          <w:p w14:paraId="66D03B0D" w14:textId="77777777" w:rsidR="00197BB6" w:rsidRPr="00197BB6" w:rsidRDefault="00197BB6" w:rsidP="00DE7639">
            <w:pPr>
              <w:spacing w:after="0"/>
              <w:rPr>
                <w:rFonts w:ascii="Times New Roman" w:eastAsia="DengXian" w:hAnsi="Times New Roman" w:cs="Times New Roman"/>
                <w:b/>
                <w:bCs/>
                <w:i/>
                <w:iCs/>
              </w:rPr>
            </w:pPr>
            <w:r w:rsidRPr="00197BB6">
              <w:rPr>
                <w:rFonts w:ascii="Times New Roman" w:eastAsia="DengXian" w:hAnsi="Times New Roman" w:cs="Times New Roman"/>
                <w:b/>
                <w:bCs/>
                <w:i/>
                <w:iCs/>
              </w:rPr>
              <w:t>(1)</w:t>
            </w:r>
          </w:p>
        </w:tc>
        <w:tc>
          <w:tcPr>
            <w:tcW w:w="1711" w:type="pct"/>
            <w:tcBorders>
              <w:bottom w:val="single" w:sz="4" w:space="0" w:color="auto"/>
            </w:tcBorders>
            <w:tcMar>
              <w:top w:w="15" w:type="dxa"/>
              <w:left w:w="75" w:type="dxa"/>
              <w:bottom w:w="0" w:type="dxa"/>
              <w:right w:w="75" w:type="dxa"/>
            </w:tcMar>
            <w:hideMark/>
          </w:tcPr>
          <w:p w14:paraId="5D765735" w14:textId="77777777" w:rsidR="00197BB6" w:rsidRPr="00197BB6" w:rsidRDefault="00197BB6" w:rsidP="00DE7639">
            <w:pPr>
              <w:spacing w:after="0"/>
              <w:rPr>
                <w:rFonts w:ascii="Times New Roman" w:eastAsia="DengXian" w:hAnsi="Times New Roman" w:cs="Times New Roman"/>
                <w:b/>
                <w:bCs/>
                <w:i/>
                <w:iCs/>
              </w:rPr>
            </w:pPr>
            <w:r w:rsidRPr="00197BB6">
              <w:rPr>
                <w:rFonts w:ascii="Times New Roman" w:eastAsia="DengXian" w:hAnsi="Times New Roman" w:cs="Times New Roman"/>
                <w:b/>
                <w:bCs/>
                <w:i/>
                <w:iCs/>
              </w:rPr>
              <w:t>(2)</w:t>
            </w:r>
          </w:p>
        </w:tc>
      </w:tr>
      <w:tr w:rsidR="00197BB6" w:rsidRPr="00197BB6" w14:paraId="1ED549CC"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35914298"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VARIABLES</w:t>
            </w:r>
          </w:p>
        </w:tc>
        <w:tc>
          <w:tcPr>
            <w:tcW w:w="1283" w:type="pct"/>
            <w:tcBorders>
              <w:top w:val="single" w:sz="4" w:space="0" w:color="auto"/>
              <w:bottom w:val="single" w:sz="4" w:space="0" w:color="auto"/>
            </w:tcBorders>
            <w:tcMar>
              <w:top w:w="15" w:type="dxa"/>
              <w:left w:w="75" w:type="dxa"/>
              <w:bottom w:w="0" w:type="dxa"/>
              <w:right w:w="75" w:type="dxa"/>
            </w:tcMar>
            <w:hideMark/>
          </w:tcPr>
          <w:p w14:paraId="20B4803C"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c>
          <w:tcPr>
            <w:tcW w:w="1711" w:type="pct"/>
            <w:tcBorders>
              <w:top w:val="single" w:sz="4" w:space="0" w:color="auto"/>
              <w:bottom w:val="single" w:sz="4" w:space="0" w:color="auto"/>
              <w:right w:val="single" w:sz="4" w:space="0" w:color="auto"/>
            </w:tcBorders>
          </w:tcPr>
          <w:p w14:paraId="47A84E6B"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r>
      <w:tr w:rsidR="00197BB6" w:rsidRPr="00197BB6" w14:paraId="7F3B8548" w14:textId="77777777" w:rsidTr="00DE7639">
        <w:trPr>
          <w:trHeight w:val="352"/>
        </w:trPr>
        <w:tc>
          <w:tcPr>
            <w:tcW w:w="2006" w:type="pct"/>
            <w:tcBorders>
              <w:top w:val="single" w:sz="4" w:space="0" w:color="auto"/>
              <w:left w:val="single" w:sz="4" w:space="0" w:color="auto"/>
            </w:tcBorders>
            <w:tcMar>
              <w:top w:w="15" w:type="dxa"/>
              <w:left w:w="75" w:type="dxa"/>
              <w:bottom w:w="0" w:type="dxa"/>
              <w:right w:w="75" w:type="dxa"/>
            </w:tcMar>
            <w:hideMark/>
          </w:tcPr>
          <w:p w14:paraId="777CD24D"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 </w:t>
            </w:r>
          </w:p>
        </w:tc>
        <w:tc>
          <w:tcPr>
            <w:tcW w:w="1283" w:type="pct"/>
            <w:tcBorders>
              <w:top w:val="single" w:sz="4" w:space="0" w:color="auto"/>
            </w:tcBorders>
            <w:tcMar>
              <w:top w:w="15" w:type="dxa"/>
              <w:left w:w="75" w:type="dxa"/>
              <w:bottom w:w="0" w:type="dxa"/>
              <w:right w:w="75" w:type="dxa"/>
            </w:tcMar>
            <w:hideMark/>
          </w:tcPr>
          <w:p w14:paraId="0A9CC0D9"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 </w:t>
            </w:r>
          </w:p>
        </w:tc>
        <w:tc>
          <w:tcPr>
            <w:tcW w:w="1711" w:type="pct"/>
            <w:tcBorders>
              <w:top w:val="single" w:sz="4" w:space="0" w:color="auto"/>
              <w:right w:val="single" w:sz="4" w:space="0" w:color="auto"/>
            </w:tcBorders>
            <w:tcMar>
              <w:top w:w="15" w:type="dxa"/>
              <w:left w:w="75" w:type="dxa"/>
              <w:bottom w:w="0" w:type="dxa"/>
              <w:right w:w="75" w:type="dxa"/>
            </w:tcMar>
            <w:hideMark/>
          </w:tcPr>
          <w:p w14:paraId="3A9EF576" w14:textId="77777777" w:rsidR="00197BB6" w:rsidRPr="001278ED" w:rsidRDefault="00197BB6" w:rsidP="00DE7639">
            <w:pPr>
              <w:spacing w:after="0"/>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 </w:t>
            </w:r>
          </w:p>
        </w:tc>
      </w:tr>
      <w:tr w:rsidR="00197BB6" w:rsidRPr="00197BB6" w14:paraId="6868192D" w14:textId="77777777" w:rsidTr="00DE7639">
        <w:trPr>
          <w:trHeight w:val="352"/>
        </w:trPr>
        <w:tc>
          <w:tcPr>
            <w:tcW w:w="2006" w:type="pct"/>
            <w:tcBorders>
              <w:left w:val="single" w:sz="4" w:space="0" w:color="auto"/>
              <w:bottom w:val="single" w:sz="4" w:space="0" w:color="auto"/>
            </w:tcBorders>
            <w:tcMar>
              <w:top w:w="15" w:type="dxa"/>
              <w:left w:w="75" w:type="dxa"/>
              <w:bottom w:w="0" w:type="dxa"/>
              <w:right w:w="75" w:type="dxa"/>
            </w:tcMar>
            <w:hideMark/>
          </w:tcPr>
          <w:p w14:paraId="29751E0F"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w:t>
            </w:r>
          </w:p>
        </w:tc>
        <w:tc>
          <w:tcPr>
            <w:tcW w:w="1283" w:type="pct"/>
            <w:tcBorders>
              <w:bottom w:val="single" w:sz="4" w:space="0" w:color="auto"/>
            </w:tcBorders>
            <w:tcMar>
              <w:top w:w="15" w:type="dxa"/>
              <w:left w:w="75" w:type="dxa"/>
              <w:bottom w:w="0" w:type="dxa"/>
              <w:right w:w="75" w:type="dxa"/>
            </w:tcMar>
            <w:hideMark/>
          </w:tcPr>
          <w:p w14:paraId="0D0EE584"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0F87B80C"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1711" w:type="pct"/>
            <w:tcBorders>
              <w:bottom w:val="single" w:sz="4" w:space="0" w:color="auto"/>
              <w:right w:val="single" w:sz="4" w:space="0" w:color="auto"/>
            </w:tcBorders>
            <w:tcMar>
              <w:top w:w="15" w:type="dxa"/>
              <w:left w:w="75" w:type="dxa"/>
              <w:bottom w:w="0" w:type="dxa"/>
              <w:right w:w="75" w:type="dxa"/>
            </w:tcMar>
            <w:hideMark/>
          </w:tcPr>
          <w:p w14:paraId="64AC559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p w14:paraId="425C424B"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4459F447"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7C9ABCB2"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on R.C.</w:t>
            </w:r>
          </w:p>
        </w:tc>
        <w:tc>
          <w:tcPr>
            <w:tcW w:w="1283" w:type="pct"/>
            <w:tcBorders>
              <w:top w:val="single" w:sz="4" w:space="0" w:color="auto"/>
              <w:bottom w:val="single" w:sz="4" w:space="0" w:color="auto"/>
            </w:tcBorders>
            <w:tcMar>
              <w:top w:w="15" w:type="dxa"/>
              <w:left w:w="75" w:type="dxa"/>
              <w:bottom w:w="0" w:type="dxa"/>
              <w:right w:w="75" w:type="dxa"/>
            </w:tcMar>
            <w:hideMark/>
          </w:tcPr>
          <w:p w14:paraId="5745E15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-0.008***</w:t>
            </w:r>
          </w:p>
          <w:p w14:paraId="2EE29701"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45C7D762"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p w14:paraId="1E9E9229"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r>
      <w:tr w:rsidR="00197BB6" w:rsidRPr="00197BB6" w14:paraId="39DAC198" w14:textId="77777777" w:rsidTr="00DE7639">
        <w:trPr>
          <w:trHeight w:val="369"/>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49FD294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CRO_Presence* Female on R.C.</w:t>
            </w:r>
          </w:p>
        </w:tc>
        <w:tc>
          <w:tcPr>
            <w:tcW w:w="1283" w:type="pct"/>
            <w:tcBorders>
              <w:top w:val="single" w:sz="4" w:space="0" w:color="auto"/>
              <w:bottom w:val="single" w:sz="4" w:space="0" w:color="auto"/>
            </w:tcBorders>
            <w:tcMar>
              <w:top w:w="15" w:type="dxa"/>
              <w:left w:w="75" w:type="dxa"/>
              <w:bottom w:w="0" w:type="dxa"/>
              <w:right w:w="75" w:type="dxa"/>
            </w:tcMar>
            <w:hideMark/>
          </w:tcPr>
          <w:p w14:paraId="1025485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 </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0154BFEC"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-0.022**</w:t>
            </w:r>
          </w:p>
          <w:p w14:paraId="2B536873" w14:textId="77777777" w:rsidR="00197BB6" w:rsidRPr="001278ED" w:rsidRDefault="00197BB6" w:rsidP="00DE7639">
            <w:pPr>
              <w:spacing w:after="0"/>
              <w:rPr>
                <w:rFonts w:ascii="Times New Roman" w:eastAsia="DengXian" w:hAnsi="Times New Roman" w:cs="Times New Roman"/>
                <w:sz w:val="20"/>
                <w:szCs w:val="20"/>
                <w:highlight w:val="yellow"/>
              </w:rPr>
            </w:pPr>
            <w:r w:rsidRPr="001278ED">
              <w:rPr>
                <w:rFonts w:ascii="Times New Roman" w:eastAsia="DengXian" w:hAnsi="Times New Roman" w:cs="Times New Roman"/>
                <w:sz w:val="20"/>
                <w:szCs w:val="20"/>
              </w:rPr>
              <w:t>(0.009)</w:t>
            </w:r>
          </w:p>
        </w:tc>
      </w:tr>
      <w:tr w:rsidR="00197BB6" w:rsidRPr="00197BB6" w14:paraId="4709055D"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1841C3F1"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Board Independence </w:t>
            </w:r>
          </w:p>
        </w:tc>
        <w:tc>
          <w:tcPr>
            <w:tcW w:w="1283" w:type="pct"/>
            <w:tcBorders>
              <w:top w:val="single" w:sz="4" w:space="0" w:color="auto"/>
              <w:bottom w:val="single" w:sz="4" w:space="0" w:color="auto"/>
            </w:tcBorders>
            <w:tcMar>
              <w:top w:w="15" w:type="dxa"/>
              <w:left w:w="75" w:type="dxa"/>
              <w:bottom w:w="0" w:type="dxa"/>
              <w:right w:w="75" w:type="dxa"/>
            </w:tcMar>
            <w:hideMark/>
          </w:tcPr>
          <w:p w14:paraId="2E06BCEF" w14:textId="33E658A9"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 0.015</w:t>
            </w:r>
          </w:p>
          <w:p w14:paraId="538AE222" w14:textId="659E7D1A"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17442C">
              <w:rPr>
                <w:rFonts w:ascii="Times New Roman" w:eastAsia="DengXian" w:hAnsi="Times New Roman" w:cs="Times New Roman"/>
                <w:sz w:val="20"/>
                <w:szCs w:val="20"/>
              </w:rPr>
              <w:t>30</w:t>
            </w:r>
            <w:r w:rsidRPr="001278ED">
              <w:rPr>
                <w:rFonts w:ascii="Times New Roman" w:eastAsia="DengXian" w:hAnsi="Times New Roman" w:cs="Times New Roman"/>
                <w:sz w:val="20"/>
                <w:szCs w:val="20"/>
              </w:rPr>
              <w:t>)</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12120CDE" w14:textId="135A9062"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0.016</w:t>
            </w:r>
          </w:p>
          <w:p w14:paraId="5984644F" w14:textId="2430B30D"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17442C">
              <w:rPr>
                <w:rFonts w:ascii="Times New Roman" w:eastAsia="DengXian" w:hAnsi="Times New Roman" w:cs="Times New Roman"/>
                <w:sz w:val="20"/>
                <w:szCs w:val="20"/>
              </w:rPr>
              <w:t>30</w:t>
            </w:r>
            <w:r w:rsidRPr="001278ED">
              <w:rPr>
                <w:rFonts w:ascii="Times New Roman" w:eastAsia="DengXian" w:hAnsi="Times New Roman" w:cs="Times New Roman"/>
                <w:sz w:val="20"/>
                <w:szCs w:val="20"/>
              </w:rPr>
              <w:t>)</w:t>
            </w:r>
          </w:p>
        </w:tc>
      </w:tr>
      <w:tr w:rsidR="00197BB6" w:rsidRPr="00197BB6" w14:paraId="0CFADB6D"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401F9262"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Size</w:t>
            </w:r>
          </w:p>
        </w:tc>
        <w:tc>
          <w:tcPr>
            <w:tcW w:w="1283" w:type="pct"/>
            <w:tcBorders>
              <w:top w:val="single" w:sz="4" w:space="0" w:color="auto"/>
              <w:bottom w:val="single" w:sz="4" w:space="0" w:color="auto"/>
            </w:tcBorders>
            <w:tcMar>
              <w:top w:w="15" w:type="dxa"/>
              <w:left w:w="75" w:type="dxa"/>
              <w:bottom w:w="0" w:type="dxa"/>
              <w:right w:w="75" w:type="dxa"/>
            </w:tcMar>
          </w:tcPr>
          <w:p w14:paraId="163F8C07" w14:textId="6F368F92"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17442C">
              <w:rPr>
                <w:rFonts w:ascii="Times New Roman" w:eastAsia="DengXian" w:hAnsi="Times New Roman" w:cs="Times New Roman"/>
                <w:sz w:val="20"/>
                <w:szCs w:val="20"/>
              </w:rPr>
              <w:t>***</w:t>
            </w:r>
          </w:p>
          <w:p w14:paraId="1EEB9487"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4EADCA6C" w14:textId="3B27964B"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17442C">
              <w:rPr>
                <w:rFonts w:ascii="Times New Roman" w:eastAsia="DengXian" w:hAnsi="Times New Roman" w:cs="Times New Roman"/>
                <w:sz w:val="20"/>
                <w:szCs w:val="20"/>
              </w:rPr>
              <w:t>***</w:t>
            </w:r>
          </w:p>
          <w:p w14:paraId="7C3B60BB"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7EE79B93"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0EC090E2"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283" w:type="pct"/>
            <w:tcBorders>
              <w:top w:val="single" w:sz="4" w:space="0" w:color="auto"/>
              <w:bottom w:val="single" w:sz="4" w:space="0" w:color="auto"/>
            </w:tcBorders>
            <w:tcMar>
              <w:top w:w="15" w:type="dxa"/>
              <w:left w:w="75" w:type="dxa"/>
              <w:bottom w:w="0" w:type="dxa"/>
              <w:right w:w="75" w:type="dxa"/>
            </w:tcMar>
          </w:tcPr>
          <w:p w14:paraId="0C82EEFE"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1617454B"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15C9F882"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004F57CA"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5E7AE6DB"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16484347"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283" w:type="pct"/>
            <w:tcBorders>
              <w:top w:val="single" w:sz="4" w:space="0" w:color="auto"/>
              <w:bottom w:val="single" w:sz="4" w:space="0" w:color="auto"/>
            </w:tcBorders>
            <w:tcMar>
              <w:top w:w="15" w:type="dxa"/>
              <w:left w:w="75" w:type="dxa"/>
              <w:bottom w:w="0" w:type="dxa"/>
              <w:right w:w="75" w:type="dxa"/>
            </w:tcMar>
          </w:tcPr>
          <w:p w14:paraId="6D49B9CE" w14:textId="58921A6D"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406A0AD3" w14:textId="78BD9F46"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3F2E0536" w14:textId="780CB058"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638ACA2C" w14:textId="1D942D14"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0122CF16"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2BF7367A"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St Borrowing/TA</w:t>
            </w:r>
          </w:p>
        </w:tc>
        <w:tc>
          <w:tcPr>
            <w:tcW w:w="1283" w:type="pct"/>
            <w:tcBorders>
              <w:top w:val="single" w:sz="4" w:space="0" w:color="auto"/>
              <w:bottom w:val="single" w:sz="4" w:space="0" w:color="auto"/>
            </w:tcBorders>
            <w:tcMar>
              <w:top w:w="15" w:type="dxa"/>
              <w:left w:w="75" w:type="dxa"/>
              <w:bottom w:w="0" w:type="dxa"/>
              <w:right w:w="75" w:type="dxa"/>
            </w:tcMar>
          </w:tcPr>
          <w:p w14:paraId="45F1B4C5"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0.082***</w:t>
            </w:r>
          </w:p>
          <w:p w14:paraId="64B0CA39"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(0.013)</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6D4AD2AF"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0.085***</w:t>
            </w:r>
          </w:p>
          <w:p w14:paraId="6A816594"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(0.013)</w:t>
            </w:r>
          </w:p>
        </w:tc>
      </w:tr>
      <w:tr w:rsidR="00197BB6" w:rsidRPr="00197BB6" w14:paraId="2A2C0FE6"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2F6F3D2F"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Loans/TA</w:t>
            </w:r>
          </w:p>
        </w:tc>
        <w:tc>
          <w:tcPr>
            <w:tcW w:w="1283" w:type="pct"/>
            <w:tcBorders>
              <w:top w:val="single" w:sz="4" w:space="0" w:color="auto"/>
              <w:bottom w:val="single" w:sz="4" w:space="0" w:color="auto"/>
            </w:tcBorders>
            <w:tcMar>
              <w:top w:w="15" w:type="dxa"/>
              <w:left w:w="75" w:type="dxa"/>
              <w:bottom w:w="0" w:type="dxa"/>
              <w:right w:w="75" w:type="dxa"/>
            </w:tcMar>
          </w:tcPr>
          <w:p w14:paraId="598B04C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0.157***</w:t>
            </w:r>
          </w:p>
          <w:p w14:paraId="4542F6F5"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(0.028)</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3509010D"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0.156***</w:t>
            </w:r>
          </w:p>
          <w:p w14:paraId="357A26B7"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(0.028)</w:t>
            </w:r>
          </w:p>
        </w:tc>
      </w:tr>
      <w:tr w:rsidR="00197BB6" w:rsidRPr="00197BB6" w14:paraId="2A13BB4A"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776AC717"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283" w:type="pct"/>
            <w:tcBorders>
              <w:top w:val="single" w:sz="4" w:space="0" w:color="auto"/>
              <w:bottom w:val="single" w:sz="4" w:space="0" w:color="auto"/>
            </w:tcBorders>
            <w:tcMar>
              <w:top w:w="15" w:type="dxa"/>
              <w:left w:w="75" w:type="dxa"/>
              <w:bottom w:w="0" w:type="dxa"/>
              <w:right w:w="75" w:type="dxa"/>
            </w:tcMar>
          </w:tcPr>
          <w:p w14:paraId="5664A3B5" w14:textId="19D61DA0"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6DE93563" w14:textId="463B4E21"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26B2009E" w14:textId="6C311B02"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15CE655F" w14:textId="32E5FF75"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3B6FC72B"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5204CE30" w14:textId="7182FF21" w:rsidR="00197BB6" w:rsidRPr="001278ED" w:rsidRDefault="0017442C" w:rsidP="00DE7639">
            <w:pPr>
              <w:spacing w:after="0"/>
              <w:rPr>
                <w:rFonts w:ascii="Times New Roman" w:eastAsia="DengXian" w:hAnsi="Times New Roman" w:cs="Times New Roman"/>
                <w:sz w:val="20"/>
                <w:szCs w:val="20"/>
              </w:rPr>
            </w:pPr>
            <w:r>
              <w:rPr>
                <w:rFonts w:ascii="Times New Roman" w:eastAsia="DengXian" w:hAnsi="Times New Roman" w:cs="Times New Roman"/>
                <w:sz w:val="20"/>
                <w:szCs w:val="20"/>
              </w:rPr>
              <w:t>Bank</w:t>
            </w:r>
            <w:r w:rsidR="00197BB6" w:rsidRPr="001278ED">
              <w:rPr>
                <w:rFonts w:ascii="Times New Roman" w:eastAsia="DengXian" w:hAnsi="Times New Roman" w:cs="Times New Roman"/>
                <w:sz w:val="20"/>
                <w:szCs w:val="20"/>
              </w:rPr>
              <w:t xml:space="preserve"> Size</w:t>
            </w:r>
          </w:p>
        </w:tc>
        <w:tc>
          <w:tcPr>
            <w:tcW w:w="1283" w:type="pct"/>
            <w:tcBorders>
              <w:top w:val="single" w:sz="4" w:space="0" w:color="auto"/>
              <w:bottom w:val="single" w:sz="4" w:space="0" w:color="auto"/>
            </w:tcBorders>
            <w:tcMar>
              <w:top w:w="15" w:type="dxa"/>
              <w:left w:w="75" w:type="dxa"/>
              <w:bottom w:w="0" w:type="dxa"/>
              <w:right w:w="75" w:type="dxa"/>
            </w:tcMar>
          </w:tcPr>
          <w:p w14:paraId="1D66EC25" w14:textId="7100ABB3"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107DFFB7" w14:textId="318B4B95"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2</w:t>
            </w:r>
            <w:r w:rsidRPr="001278ED">
              <w:rPr>
                <w:rFonts w:ascii="Times New Roman" w:eastAsia="DengXian" w:hAnsi="Times New Roman" w:cs="Times New Roman"/>
                <w:sz w:val="20"/>
                <w:szCs w:val="20"/>
              </w:rPr>
              <w:t>)</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4CC7D2C4" w14:textId="285F7B40"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17442C">
              <w:rPr>
                <w:rFonts w:ascii="Times New Roman" w:eastAsia="DengXian" w:hAnsi="Times New Roman" w:cs="Times New Roman"/>
                <w:sz w:val="20"/>
                <w:szCs w:val="20"/>
              </w:rPr>
              <w:t>***</w:t>
            </w:r>
          </w:p>
          <w:p w14:paraId="28ED8764" w14:textId="618F55D3"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17442C">
              <w:rPr>
                <w:rFonts w:ascii="Times New Roman" w:eastAsia="DengXian" w:hAnsi="Times New Roman" w:cs="Times New Roman"/>
                <w:sz w:val="20"/>
                <w:szCs w:val="20"/>
              </w:rPr>
              <w:t>2</w:t>
            </w:r>
            <w:r w:rsidRPr="001278ED">
              <w:rPr>
                <w:rFonts w:ascii="Times New Roman" w:eastAsia="DengXian" w:hAnsi="Times New Roman" w:cs="Times New Roman"/>
                <w:sz w:val="20"/>
                <w:szCs w:val="20"/>
              </w:rPr>
              <w:t>)</w:t>
            </w:r>
          </w:p>
        </w:tc>
      </w:tr>
      <w:tr w:rsidR="00197BB6" w:rsidRPr="00197BB6" w14:paraId="392FE9BD"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4A388D2B"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283" w:type="pct"/>
            <w:tcBorders>
              <w:top w:val="single" w:sz="4" w:space="0" w:color="auto"/>
              <w:bottom w:val="single" w:sz="4" w:space="0" w:color="auto"/>
            </w:tcBorders>
            <w:tcMar>
              <w:top w:w="15" w:type="dxa"/>
              <w:left w:w="75" w:type="dxa"/>
              <w:bottom w:w="0" w:type="dxa"/>
              <w:right w:w="75" w:type="dxa"/>
            </w:tcMar>
          </w:tcPr>
          <w:p w14:paraId="768C8E93"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09468315"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711F82D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60EB2D26"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r>
      <w:tr w:rsidR="00197BB6" w:rsidRPr="00197BB6" w14:paraId="25CEC711"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tcPr>
          <w:p w14:paraId="7E26D6D1"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Constant</w:t>
            </w:r>
          </w:p>
        </w:tc>
        <w:tc>
          <w:tcPr>
            <w:tcW w:w="1283" w:type="pct"/>
            <w:tcBorders>
              <w:top w:val="single" w:sz="4" w:space="0" w:color="auto"/>
              <w:bottom w:val="single" w:sz="4" w:space="0" w:color="auto"/>
            </w:tcBorders>
            <w:tcMar>
              <w:top w:w="15" w:type="dxa"/>
              <w:left w:w="75" w:type="dxa"/>
              <w:bottom w:w="0" w:type="dxa"/>
              <w:right w:w="75" w:type="dxa"/>
            </w:tcMar>
          </w:tcPr>
          <w:p w14:paraId="330C03FE"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0.047***</w:t>
            </w:r>
          </w:p>
          <w:p w14:paraId="6F01E8AF"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tcPr>
          <w:p w14:paraId="3748715E"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0.048</w:t>
            </w:r>
          </w:p>
          <w:p w14:paraId="7131FD49"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r>
      <w:tr w:rsidR="00197BB6" w:rsidRPr="00197BB6" w14:paraId="3794A342"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08B7A03C"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1283" w:type="pct"/>
            <w:tcBorders>
              <w:top w:val="single" w:sz="4" w:space="0" w:color="auto"/>
              <w:bottom w:val="single" w:sz="4" w:space="0" w:color="auto"/>
            </w:tcBorders>
            <w:tcMar>
              <w:top w:w="15" w:type="dxa"/>
              <w:left w:w="75" w:type="dxa"/>
              <w:bottom w:w="0" w:type="dxa"/>
              <w:right w:w="75" w:type="dxa"/>
            </w:tcMar>
            <w:hideMark/>
          </w:tcPr>
          <w:p w14:paraId="078AD519"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741DD581"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r>
      <w:tr w:rsidR="00197BB6" w:rsidRPr="00197BB6" w14:paraId="38EA9FF6"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5C47FC4F"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R-squared</w:t>
            </w:r>
          </w:p>
        </w:tc>
        <w:tc>
          <w:tcPr>
            <w:tcW w:w="1283" w:type="pct"/>
            <w:tcBorders>
              <w:top w:val="single" w:sz="4" w:space="0" w:color="auto"/>
              <w:bottom w:val="single" w:sz="4" w:space="0" w:color="auto"/>
            </w:tcBorders>
            <w:tcMar>
              <w:top w:w="15" w:type="dxa"/>
              <w:left w:w="75" w:type="dxa"/>
              <w:bottom w:w="0" w:type="dxa"/>
              <w:right w:w="75" w:type="dxa"/>
            </w:tcMar>
            <w:hideMark/>
          </w:tcPr>
          <w:p w14:paraId="50A73AAA"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0.253</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3A826F0A"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0.257</w:t>
            </w:r>
          </w:p>
        </w:tc>
      </w:tr>
      <w:tr w:rsidR="00197BB6" w:rsidRPr="00197BB6" w14:paraId="54034DDC"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1C07653B"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 Firm F.E.</w:t>
            </w:r>
          </w:p>
        </w:tc>
        <w:tc>
          <w:tcPr>
            <w:tcW w:w="1283" w:type="pct"/>
            <w:tcBorders>
              <w:top w:val="single" w:sz="4" w:space="0" w:color="auto"/>
              <w:bottom w:val="single" w:sz="4" w:space="0" w:color="auto"/>
            </w:tcBorders>
            <w:tcMar>
              <w:top w:w="15" w:type="dxa"/>
              <w:left w:w="75" w:type="dxa"/>
              <w:bottom w:w="0" w:type="dxa"/>
              <w:right w:w="75" w:type="dxa"/>
            </w:tcMar>
            <w:hideMark/>
          </w:tcPr>
          <w:p w14:paraId="62C33923"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7673D019"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Yes </w:t>
            </w:r>
          </w:p>
        </w:tc>
      </w:tr>
      <w:tr w:rsidR="00197BB6" w:rsidRPr="00197BB6" w14:paraId="739E6C48" w14:textId="77777777" w:rsidTr="00DE7639">
        <w:trPr>
          <w:trHeight w:val="352"/>
        </w:trPr>
        <w:tc>
          <w:tcPr>
            <w:tcW w:w="2006" w:type="pct"/>
            <w:tcBorders>
              <w:top w:val="single" w:sz="4" w:space="0" w:color="auto"/>
              <w:left w:val="single" w:sz="4" w:space="0" w:color="auto"/>
              <w:bottom w:val="single" w:sz="4" w:space="0" w:color="auto"/>
            </w:tcBorders>
            <w:tcMar>
              <w:top w:w="15" w:type="dxa"/>
              <w:left w:w="75" w:type="dxa"/>
              <w:bottom w:w="0" w:type="dxa"/>
              <w:right w:w="75" w:type="dxa"/>
            </w:tcMar>
            <w:hideMark/>
          </w:tcPr>
          <w:p w14:paraId="1DCED7A7"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1283" w:type="pct"/>
            <w:tcBorders>
              <w:top w:val="single" w:sz="4" w:space="0" w:color="auto"/>
              <w:bottom w:val="single" w:sz="4" w:space="0" w:color="auto"/>
            </w:tcBorders>
            <w:tcMar>
              <w:top w:w="15" w:type="dxa"/>
              <w:left w:w="75" w:type="dxa"/>
              <w:bottom w:w="0" w:type="dxa"/>
              <w:right w:w="75" w:type="dxa"/>
            </w:tcMar>
            <w:hideMark/>
          </w:tcPr>
          <w:p w14:paraId="2333D645"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1711" w:type="pct"/>
            <w:tcBorders>
              <w:top w:val="single" w:sz="4" w:space="0" w:color="auto"/>
              <w:bottom w:val="single" w:sz="4" w:space="0" w:color="auto"/>
              <w:right w:val="single" w:sz="4" w:space="0" w:color="auto"/>
            </w:tcBorders>
            <w:tcMar>
              <w:top w:w="15" w:type="dxa"/>
              <w:left w:w="75" w:type="dxa"/>
              <w:bottom w:w="0" w:type="dxa"/>
              <w:right w:w="75" w:type="dxa"/>
            </w:tcMar>
            <w:hideMark/>
          </w:tcPr>
          <w:p w14:paraId="16AFDC2D" w14:textId="77777777" w:rsidR="00197BB6" w:rsidRPr="001278ED" w:rsidRDefault="00197BB6" w:rsidP="00DE7639">
            <w:pPr>
              <w:spacing w:after="0"/>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bl>
    <w:p w14:paraId="1FAD005E" w14:textId="77777777" w:rsidR="00197BB6" w:rsidRPr="00197BB6" w:rsidRDefault="00197BB6" w:rsidP="00197BB6">
      <w:pPr>
        <w:rPr>
          <w:rFonts w:ascii="Calibri" w:eastAsia="Times New Roman" w:hAnsi="Calibri" w:cs="Times New Roman"/>
        </w:rPr>
      </w:pPr>
      <w:r w:rsidRPr="00197BB6">
        <w:rPr>
          <w:rFonts w:ascii="Calibri" w:eastAsia="Times New Roman" w:hAnsi="Calibri" w:cs="Times New Roman"/>
        </w:rPr>
        <w:br w:type="page"/>
      </w:r>
    </w:p>
    <w:p w14:paraId="0F4E5BD7" w14:textId="5AEF2F58"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67" w:name="_Toc132383483"/>
      <w:bookmarkStart w:id="68" w:name="_Toc132386097"/>
      <w:bookmarkStart w:id="69" w:name="_Toc132437289"/>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6</w:t>
      </w:r>
      <w:r w:rsidRPr="00E30E2D">
        <w:rPr>
          <w:rFonts w:ascii="Times New Roman" w:hAnsi="Times New Roman" w:cs="Times New Roman"/>
          <w:b/>
          <w:bCs/>
          <w:i w:val="0"/>
          <w:iCs w:val="0"/>
          <w:color w:val="000000" w:themeColor="text1"/>
          <w:sz w:val="28"/>
          <w:szCs w:val="28"/>
        </w:rPr>
        <w:t>. Female CRO and Moderating Role of CRO Reporting Line</w:t>
      </w:r>
      <w:bookmarkEnd w:id="67"/>
      <w:bookmarkEnd w:id="68"/>
      <w:bookmarkEnd w:id="69"/>
    </w:p>
    <w:tbl>
      <w:tblPr>
        <w:tblpPr w:leftFromText="180" w:rightFromText="180" w:vertAnchor="text" w:horzAnchor="margin" w:tblpXSpec="center" w:tblpY="321"/>
        <w:tblW w:w="8931" w:type="dxa"/>
        <w:tblLook w:val="04A0" w:firstRow="1" w:lastRow="0" w:firstColumn="1" w:lastColumn="0" w:noHBand="0" w:noVBand="1"/>
      </w:tblPr>
      <w:tblGrid>
        <w:gridCol w:w="3828"/>
        <w:gridCol w:w="1842"/>
        <w:gridCol w:w="3261"/>
      </w:tblGrid>
      <w:tr w:rsidR="00197BB6" w:rsidRPr="00197BB6" w14:paraId="48999DC8" w14:textId="77777777" w:rsidTr="009E69CE">
        <w:trPr>
          <w:trHeight w:val="2833"/>
        </w:trPr>
        <w:tc>
          <w:tcPr>
            <w:tcW w:w="8931" w:type="dxa"/>
            <w:gridSpan w:val="3"/>
            <w:tcBorders>
              <w:bottom w:val="single" w:sz="4" w:space="0" w:color="auto"/>
            </w:tcBorders>
          </w:tcPr>
          <w:p w14:paraId="15C79512" w14:textId="77777777" w:rsidR="00197BB6" w:rsidRPr="00197BB6" w:rsidRDefault="00197BB6" w:rsidP="00197BB6">
            <w:pPr>
              <w:spacing w:after="0" w:line="240" w:lineRule="auto"/>
              <w:rPr>
                <w:rFonts w:ascii="Times New Roman" w:eastAsia="DengXian" w:hAnsi="Times New Roman" w:cs="Arial"/>
                <w:lang w:eastAsia="zh-CN"/>
              </w:rPr>
            </w:pPr>
          </w:p>
          <w:p w14:paraId="566A5707" w14:textId="7F4F04D9" w:rsidR="00197BB6" w:rsidRPr="00197BB6" w:rsidRDefault="00197BB6" w:rsidP="00E30E2D">
            <w:pPr>
              <w:widowControl w:val="0"/>
              <w:autoSpaceDE w:val="0"/>
              <w:autoSpaceDN w:val="0"/>
              <w:adjustRightInd w:val="0"/>
              <w:spacing w:after="0" w:line="240" w:lineRule="auto"/>
              <w:jc w:val="both"/>
              <w:rPr>
                <w:rFonts w:ascii="Times New Roman" w:eastAsia="DengXian" w:hAnsi="Times New Roman" w:cs="Arial"/>
                <w:lang w:eastAsia="zh-CN"/>
              </w:rPr>
            </w:pPr>
            <w:r w:rsidRPr="00197BB6">
              <w:rPr>
                <w:rFonts w:ascii="Times New Roman" w:eastAsia="DengXian" w:hAnsi="Times New Roman" w:cs="Arial"/>
                <w:lang w:eastAsia="zh-CN"/>
              </w:rPr>
              <w:t>This table reports the moderating role of CRO reporting to the board on female CRO and bank risk. Column 2 reports the regression results of this relationship. The risk proxy is Aggregate risk</w:t>
            </w:r>
            <w:r w:rsidR="00E30E2D">
              <w:rPr>
                <w:rFonts w:ascii="Times New Roman" w:eastAsia="DengXian" w:hAnsi="Times New Roman" w:cs="Arial"/>
                <w:lang w:eastAsia="zh-CN"/>
              </w:rPr>
              <w:t>.</w:t>
            </w:r>
            <w:r w:rsidRPr="00197BB6">
              <w:rPr>
                <w:rFonts w:ascii="Times New Roman" w:eastAsia="DengXian" w:hAnsi="Times New Roman" w:cs="Arial"/>
                <w:lang w:eastAsia="zh-CN"/>
              </w:rPr>
              <w:t xml:space="preserve"> CRO reporting line is a dummy variable coded as 1 if CRO reports to the board</w:t>
            </w:r>
            <w:r w:rsidR="00E30E2D">
              <w:rPr>
                <w:rFonts w:ascii="Times New Roman" w:eastAsia="DengXian" w:hAnsi="Times New Roman" w:cs="Arial"/>
                <w:lang w:eastAsia="zh-CN"/>
              </w:rPr>
              <w:t>;</w:t>
            </w:r>
            <w:r w:rsidRPr="00197BB6">
              <w:rPr>
                <w:rFonts w:ascii="Times New Roman" w:eastAsia="DengXian" w:hAnsi="Times New Roman" w:cs="Arial"/>
                <w:lang w:eastAsia="zh-CN"/>
              </w:rPr>
              <w:t xml:space="preserve"> else 0</w:t>
            </w:r>
            <w:r w:rsidR="00E30E2D">
              <w:rPr>
                <w:rFonts w:ascii="Times New Roman" w:eastAsia="DengXian" w:hAnsi="Times New Roman" w:cs="Arial"/>
                <w:lang w:eastAsia="zh-CN"/>
              </w:rPr>
              <w:t xml:space="preserve">. </w:t>
            </w:r>
            <w:r w:rsidRPr="00197BB6">
              <w:rPr>
                <w:rFonts w:ascii="Times New Roman" w:eastAsia="DengXian" w:hAnsi="Times New Roman" w:cs="Arial"/>
                <w:lang w:eastAsia="zh-CN"/>
              </w:rPr>
              <w:t xml:space="preserve">Standard errors are reported in parentheses. ***, **, * indicate significance at the 1, 5, </w:t>
            </w:r>
            <w:r w:rsidR="00E30E2D">
              <w:rPr>
                <w:rFonts w:ascii="Times New Roman" w:eastAsia="DengXian" w:hAnsi="Times New Roman" w:cs="Arial"/>
                <w:lang w:eastAsia="zh-CN"/>
              </w:rPr>
              <w:t xml:space="preserve">and </w:t>
            </w:r>
            <w:r w:rsidRPr="00197BB6">
              <w:rPr>
                <w:rFonts w:ascii="Times New Roman" w:eastAsia="DengXian" w:hAnsi="Times New Roman" w:cs="Arial"/>
                <w:lang w:eastAsia="zh-CN"/>
              </w:rPr>
              <w:t>10 percent levels.</w:t>
            </w:r>
          </w:p>
        </w:tc>
      </w:tr>
      <w:tr w:rsidR="00197BB6" w:rsidRPr="00197BB6" w14:paraId="0614368F" w14:textId="77777777" w:rsidTr="009E69CE">
        <w:trPr>
          <w:trHeight w:val="262"/>
        </w:trPr>
        <w:tc>
          <w:tcPr>
            <w:tcW w:w="3828" w:type="dxa"/>
            <w:tcBorders>
              <w:top w:val="single" w:sz="4" w:space="0" w:color="auto"/>
              <w:left w:val="single" w:sz="4" w:space="0" w:color="auto"/>
              <w:bottom w:val="single" w:sz="4" w:space="0" w:color="auto"/>
            </w:tcBorders>
            <w:hideMark/>
          </w:tcPr>
          <w:p w14:paraId="4846CD42" w14:textId="77777777" w:rsidR="00197BB6" w:rsidRPr="001278ED" w:rsidRDefault="00197BB6" w:rsidP="00197BB6">
            <w:pPr>
              <w:spacing w:after="0" w:line="240" w:lineRule="auto"/>
              <w:rPr>
                <w:rFonts w:ascii="Times New Roman" w:eastAsia="DengXian" w:hAnsi="Times New Roman" w:cs="Arial"/>
                <w:b/>
                <w:bCs/>
                <w:sz w:val="20"/>
                <w:szCs w:val="20"/>
                <w:lang w:eastAsia="zh-CN"/>
              </w:rPr>
            </w:pPr>
          </w:p>
        </w:tc>
        <w:tc>
          <w:tcPr>
            <w:tcW w:w="1842" w:type="dxa"/>
            <w:tcBorders>
              <w:top w:val="single" w:sz="4" w:space="0" w:color="auto"/>
              <w:bottom w:val="single" w:sz="4" w:space="0" w:color="auto"/>
            </w:tcBorders>
            <w:noWrap/>
          </w:tcPr>
          <w:p w14:paraId="5F3D4161" w14:textId="77777777" w:rsidR="00197BB6" w:rsidRPr="001278ED" w:rsidRDefault="00197BB6" w:rsidP="00197BB6">
            <w:pPr>
              <w:spacing w:after="0" w:line="240" w:lineRule="auto"/>
              <w:jc w:val="center"/>
              <w:rPr>
                <w:rFonts w:ascii="Times New Roman" w:eastAsia="DengXian" w:hAnsi="Times New Roman" w:cs="Arial"/>
                <w:b/>
                <w:bCs/>
                <w:sz w:val="20"/>
                <w:szCs w:val="20"/>
                <w:lang w:eastAsia="zh-CN"/>
              </w:rPr>
            </w:pPr>
            <w:r w:rsidRPr="001278ED">
              <w:rPr>
                <w:rFonts w:ascii="Times New Roman" w:eastAsia="DengXian" w:hAnsi="Times New Roman" w:cs="Arial"/>
                <w:b/>
                <w:bCs/>
                <w:sz w:val="20"/>
                <w:szCs w:val="20"/>
                <w:lang w:eastAsia="zh-CN"/>
              </w:rPr>
              <w:t>(1)</w:t>
            </w:r>
          </w:p>
        </w:tc>
        <w:tc>
          <w:tcPr>
            <w:tcW w:w="3261" w:type="dxa"/>
            <w:tcBorders>
              <w:top w:val="single" w:sz="4" w:space="0" w:color="auto"/>
              <w:bottom w:val="single" w:sz="4" w:space="0" w:color="auto"/>
              <w:right w:val="single" w:sz="4" w:space="0" w:color="auto"/>
            </w:tcBorders>
          </w:tcPr>
          <w:p w14:paraId="4C020F5D" w14:textId="77777777" w:rsidR="00197BB6" w:rsidRPr="001278ED" w:rsidRDefault="00197BB6" w:rsidP="00197BB6">
            <w:pPr>
              <w:spacing w:after="0" w:line="240" w:lineRule="auto"/>
              <w:jc w:val="center"/>
              <w:rPr>
                <w:rFonts w:ascii="Times New Roman" w:eastAsia="DengXian" w:hAnsi="Times New Roman" w:cs="Arial"/>
                <w:b/>
                <w:bCs/>
                <w:sz w:val="20"/>
                <w:szCs w:val="20"/>
                <w:lang w:eastAsia="zh-CN"/>
              </w:rPr>
            </w:pPr>
            <w:r w:rsidRPr="001278ED">
              <w:rPr>
                <w:rFonts w:ascii="Times New Roman" w:eastAsia="DengXian" w:hAnsi="Times New Roman" w:cs="Arial"/>
                <w:b/>
                <w:bCs/>
                <w:sz w:val="20"/>
                <w:szCs w:val="20"/>
                <w:lang w:eastAsia="zh-CN"/>
              </w:rPr>
              <w:t>(2)</w:t>
            </w:r>
          </w:p>
        </w:tc>
      </w:tr>
      <w:tr w:rsidR="00197BB6" w:rsidRPr="00197BB6" w14:paraId="065A0870" w14:textId="77777777" w:rsidTr="009E69CE">
        <w:trPr>
          <w:trHeight w:val="55"/>
        </w:trPr>
        <w:tc>
          <w:tcPr>
            <w:tcW w:w="3828" w:type="dxa"/>
            <w:tcBorders>
              <w:top w:val="single" w:sz="4" w:space="0" w:color="auto"/>
              <w:left w:val="single" w:sz="4" w:space="0" w:color="auto"/>
            </w:tcBorders>
            <w:hideMark/>
          </w:tcPr>
          <w:p w14:paraId="507DC246" w14:textId="77777777" w:rsidR="00197BB6" w:rsidRPr="001278ED" w:rsidRDefault="00197BB6" w:rsidP="00197BB6">
            <w:pPr>
              <w:spacing w:after="0" w:line="240" w:lineRule="auto"/>
              <w:rPr>
                <w:rFonts w:ascii="Times New Roman" w:eastAsia="DengXian" w:hAnsi="Times New Roman" w:cs="Arial"/>
                <w:b/>
                <w:bCs/>
                <w:sz w:val="20"/>
                <w:szCs w:val="20"/>
                <w:lang w:eastAsia="zh-CN"/>
              </w:rPr>
            </w:pPr>
          </w:p>
        </w:tc>
        <w:tc>
          <w:tcPr>
            <w:tcW w:w="1842" w:type="dxa"/>
            <w:tcBorders>
              <w:top w:val="single" w:sz="4" w:space="0" w:color="auto"/>
            </w:tcBorders>
            <w:noWrap/>
            <w:hideMark/>
          </w:tcPr>
          <w:p w14:paraId="0392C55C" w14:textId="77777777" w:rsidR="00197BB6" w:rsidRPr="001278ED" w:rsidRDefault="00197BB6" w:rsidP="00197BB6">
            <w:pPr>
              <w:spacing w:after="0" w:line="240" w:lineRule="auto"/>
              <w:rPr>
                <w:rFonts w:ascii="Times New Roman" w:eastAsia="DengXian" w:hAnsi="Times New Roman" w:cs="Arial"/>
                <w:sz w:val="20"/>
                <w:szCs w:val="20"/>
                <w:lang w:eastAsia="zh-CN"/>
              </w:rPr>
            </w:pPr>
          </w:p>
        </w:tc>
        <w:tc>
          <w:tcPr>
            <w:tcW w:w="3261" w:type="dxa"/>
            <w:tcBorders>
              <w:top w:val="single" w:sz="4" w:space="0" w:color="auto"/>
              <w:right w:val="single" w:sz="4" w:space="0" w:color="auto"/>
            </w:tcBorders>
            <w:noWrap/>
            <w:hideMark/>
          </w:tcPr>
          <w:p w14:paraId="30AA0A4D" w14:textId="77777777" w:rsidR="00197BB6" w:rsidRPr="001278ED" w:rsidRDefault="00197BB6" w:rsidP="00197BB6">
            <w:pPr>
              <w:spacing w:after="0" w:line="240" w:lineRule="auto"/>
              <w:rPr>
                <w:rFonts w:ascii="Times New Roman" w:eastAsia="DengXian" w:hAnsi="Times New Roman" w:cs="Arial"/>
                <w:sz w:val="20"/>
                <w:szCs w:val="20"/>
                <w:lang w:eastAsia="zh-CN"/>
              </w:rPr>
            </w:pPr>
          </w:p>
        </w:tc>
      </w:tr>
      <w:tr w:rsidR="00197BB6" w:rsidRPr="00197BB6" w14:paraId="12272F6E" w14:textId="77777777" w:rsidTr="009E69CE">
        <w:trPr>
          <w:trHeight w:val="55"/>
        </w:trPr>
        <w:tc>
          <w:tcPr>
            <w:tcW w:w="3828" w:type="dxa"/>
            <w:tcBorders>
              <w:left w:val="single" w:sz="4" w:space="0" w:color="auto"/>
              <w:bottom w:val="single" w:sz="4" w:space="0" w:color="auto"/>
            </w:tcBorders>
          </w:tcPr>
          <w:p w14:paraId="470269B5" w14:textId="77777777" w:rsidR="00197BB6" w:rsidRPr="00E30E2D" w:rsidRDefault="00197BB6" w:rsidP="00197BB6">
            <w:pPr>
              <w:spacing w:after="0" w:line="240" w:lineRule="auto"/>
              <w:rPr>
                <w:rFonts w:ascii="Times New Roman" w:eastAsia="DengXian" w:hAnsi="Times New Roman" w:cs="Arial"/>
                <w:b/>
                <w:bCs/>
                <w:sz w:val="24"/>
                <w:szCs w:val="24"/>
                <w:lang w:eastAsia="zh-CN"/>
              </w:rPr>
            </w:pPr>
            <w:r w:rsidRPr="00E30E2D">
              <w:rPr>
                <w:rFonts w:ascii="Times New Roman" w:eastAsia="DengXian" w:hAnsi="Times New Roman" w:cs="Arial"/>
                <w:b/>
                <w:bCs/>
                <w:sz w:val="24"/>
                <w:szCs w:val="24"/>
                <w:lang w:eastAsia="zh-CN"/>
              </w:rPr>
              <w:t>VARIABLES</w:t>
            </w:r>
          </w:p>
        </w:tc>
        <w:tc>
          <w:tcPr>
            <w:tcW w:w="1842" w:type="dxa"/>
            <w:tcBorders>
              <w:bottom w:val="single" w:sz="4" w:space="0" w:color="auto"/>
            </w:tcBorders>
            <w:noWrap/>
          </w:tcPr>
          <w:p w14:paraId="429E275C" w14:textId="77777777" w:rsidR="00197BB6" w:rsidRPr="00E30E2D" w:rsidRDefault="00197BB6" w:rsidP="00197BB6">
            <w:pPr>
              <w:spacing w:after="0" w:line="240" w:lineRule="auto"/>
              <w:rPr>
                <w:rFonts w:ascii="Times New Roman" w:eastAsia="DengXian" w:hAnsi="Times New Roman" w:cs="Arial"/>
                <w:sz w:val="24"/>
                <w:szCs w:val="24"/>
                <w:lang w:eastAsia="zh-CN"/>
              </w:rPr>
            </w:pPr>
            <w:r w:rsidRPr="00E30E2D">
              <w:rPr>
                <w:rFonts w:ascii="Times New Roman" w:eastAsia="DengXian" w:hAnsi="Times New Roman" w:cs="Arial"/>
                <w:b/>
                <w:bCs/>
                <w:sz w:val="24"/>
                <w:szCs w:val="24"/>
                <w:lang w:eastAsia="zh-CN"/>
              </w:rPr>
              <w:t>Aggregate Risk</w:t>
            </w:r>
          </w:p>
        </w:tc>
        <w:tc>
          <w:tcPr>
            <w:tcW w:w="3261" w:type="dxa"/>
            <w:tcBorders>
              <w:bottom w:val="single" w:sz="4" w:space="0" w:color="auto"/>
              <w:right w:val="single" w:sz="4" w:space="0" w:color="auto"/>
            </w:tcBorders>
            <w:noWrap/>
          </w:tcPr>
          <w:p w14:paraId="4858CFC2" w14:textId="77777777" w:rsidR="00197BB6" w:rsidRPr="00E30E2D" w:rsidRDefault="00197BB6" w:rsidP="00197BB6">
            <w:pPr>
              <w:spacing w:after="0" w:line="240" w:lineRule="auto"/>
              <w:rPr>
                <w:rFonts w:ascii="Times New Roman" w:eastAsia="DengXian" w:hAnsi="Times New Roman" w:cs="Arial"/>
                <w:sz w:val="24"/>
                <w:szCs w:val="24"/>
                <w:lang w:eastAsia="zh-CN"/>
              </w:rPr>
            </w:pPr>
            <w:r w:rsidRPr="00E30E2D">
              <w:rPr>
                <w:rFonts w:ascii="Times New Roman" w:eastAsia="DengXian" w:hAnsi="Times New Roman" w:cs="Arial"/>
                <w:b/>
                <w:bCs/>
                <w:sz w:val="24"/>
                <w:szCs w:val="24"/>
                <w:lang w:eastAsia="zh-CN"/>
              </w:rPr>
              <w:t>Aggregate Risk</w:t>
            </w:r>
          </w:p>
        </w:tc>
      </w:tr>
      <w:tr w:rsidR="00197BB6" w:rsidRPr="00197BB6" w14:paraId="6A994870" w14:textId="77777777" w:rsidTr="009E69CE">
        <w:trPr>
          <w:trHeight w:val="262"/>
        </w:trPr>
        <w:tc>
          <w:tcPr>
            <w:tcW w:w="3828" w:type="dxa"/>
            <w:tcBorders>
              <w:top w:val="single" w:sz="4" w:space="0" w:color="auto"/>
              <w:left w:val="single" w:sz="4" w:space="0" w:color="auto"/>
              <w:bottom w:val="single" w:sz="4" w:space="0" w:color="auto"/>
            </w:tcBorders>
            <w:hideMark/>
          </w:tcPr>
          <w:p w14:paraId="04533C4C"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Female CRO</w:t>
            </w:r>
          </w:p>
        </w:tc>
        <w:tc>
          <w:tcPr>
            <w:tcW w:w="1842" w:type="dxa"/>
            <w:tcBorders>
              <w:top w:val="single" w:sz="4" w:space="0" w:color="auto"/>
              <w:bottom w:val="single" w:sz="4" w:space="0" w:color="auto"/>
            </w:tcBorders>
            <w:noWrap/>
            <w:hideMark/>
          </w:tcPr>
          <w:p w14:paraId="083CDEF8"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0.004**</w:t>
            </w:r>
          </w:p>
          <w:p w14:paraId="22427BC7"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c>
          <w:tcPr>
            <w:tcW w:w="3261" w:type="dxa"/>
            <w:tcBorders>
              <w:top w:val="single" w:sz="4" w:space="0" w:color="auto"/>
              <w:bottom w:val="single" w:sz="4" w:space="0" w:color="auto"/>
              <w:right w:val="single" w:sz="4" w:space="0" w:color="auto"/>
            </w:tcBorders>
            <w:noWrap/>
            <w:hideMark/>
          </w:tcPr>
          <w:p w14:paraId="6B93572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0.004**</w:t>
            </w:r>
          </w:p>
          <w:p w14:paraId="0E839FE2"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r>
      <w:tr w:rsidR="00197BB6" w:rsidRPr="00197BB6" w14:paraId="03D3C576" w14:textId="77777777" w:rsidTr="009E69CE">
        <w:trPr>
          <w:trHeight w:val="262"/>
        </w:trPr>
        <w:tc>
          <w:tcPr>
            <w:tcW w:w="3828" w:type="dxa"/>
            <w:tcBorders>
              <w:top w:val="single" w:sz="4" w:space="0" w:color="auto"/>
              <w:left w:val="single" w:sz="4" w:space="0" w:color="auto"/>
              <w:bottom w:val="single" w:sz="4" w:space="0" w:color="auto"/>
            </w:tcBorders>
            <w:hideMark/>
          </w:tcPr>
          <w:p w14:paraId="157CD864" w14:textId="77777777" w:rsidR="00197BB6" w:rsidRPr="001278ED" w:rsidRDefault="00197BB6" w:rsidP="00197BB6">
            <w:pPr>
              <w:spacing w:after="0" w:line="240" w:lineRule="auto"/>
              <w:rPr>
                <w:rFonts w:ascii="Times New Roman" w:eastAsia="DengXian" w:hAnsi="Times New Roman" w:cs="Arial"/>
                <w:sz w:val="20"/>
                <w:szCs w:val="20"/>
                <w:highlight w:val="yellow"/>
                <w:lang w:eastAsia="zh-CN"/>
              </w:rPr>
            </w:pPr>
            <w:r w:rsidRPr="001278ED">
              <w:rPr>
                <w:rFonts w:ascii="Times New Roman" w:eastAsia="DengXian" w:hAnsi="Times New Roman" w:cs="Arial"/>
                <w:sz w:val="20"/>
                <w:szCs w:val="20"/>
                <w:lang w:eastAsia="zh-CN"/>
              </w:rPr>
              <w:t>CRO Reporting to Board</w:t>
            </w:r>
          </w:p>
        </w:tc>
        <w:tc>
          <w:tcPr>
            <w:tcW w:w="1842" w:type="dxa"/>
            <w:tcBorders>
              <w:top w:val="single" w:sz="4" w:space="0" w:color="auto"/>
              <w:bottom w:val="single" w:sz="4" w:space="0" w:color="auto"/>
            </w:tcBorders>
            <w:noWrap/>
            <w:hideMark/>
          </w:tcPr>
          <w:p w14:paraId="718636C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-0.005***</w:t>
            </w:r>
          </w:p>
          <w:p w14:paraId="44F0C1A5"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c>
          <w:tcPr>
            <w:tcW w:w="3261" w:type="dxa"/>
            <w:tcBorders>
              <w:top w:val="single" w:sz="4" w:space="0" w:color="auto"/>
              <w:bottom w:val="single" w:sz="4" w:space="0" w:color="auto"/>
              <w:right w:val="single" w:sz="4" w:space="0" w:color="auto"/>
            </w:tcBorders>
            <w:noWrap/>
            <w:hideMark/>
          </w:tcPr>
          <w:p w14:paraId="63419DE6"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-0.005**</w:t>
            </w:r>
          </w:p>
          <w:p w14:paraId="67535AEB"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r>
      <w:tr w:rsidR="00197BB6" w:rsidRPr="00197BB6" w14:paraId="3AB99715" w14:textId="77777777" w:rsidTr="009E69CE">
        <w:trPr>
          <w:trHeight w:val="442"/>
        </w:trPr>
        <w:tc>
          <w:tcPr>
            <w:tcW w:w="3828" w:type="dxa"/>
            <w:tcBorders>
              <w:top w:val="single" w:sz="4" w:space="0" w:color="auto"/>
              <w:left w:val="single" w:sz="4" w:space="0" w:color="auto"/>
              <w:bottom w:val="single" w:sz="4" w:space="0" w:color="auto"/>
            </w:tcBorders>
            <w:hideMark/>
          </w:tcPr>
          <w:p w14:paraId="6E4AFC68"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Female CRO *CRO Reporting to Board</w:t>
            </w:r>
          </w:p>
        </w:tc>
        <w:tc>
          <w:tcPr>
            <w:tcW w:w="1842" w:type="dxa"/>
            <w:tcBorders>
              <w:top w:val="single" w:sz="4" w:space="0" w:color="auto"/>
              <w:bottom w:val="single" w:sz="4" w:space="0" w:color="auto"/>
            </w:tcBorders>
            <w:noWrap/>
            <w:hideMark/>
          </w:tcPr>
          <w:p w14:paraId="4DC218FE" w14:textId="77777777" w:rsidR="00197BB6" w:rsidRPr="001278ED" w:rsidRDefault="00197BB6" w:rsidP="00197BB6">
            <w:pPr>
              <w:spacing w:after="0" w:line="240" w:lineRule="auto"/>
              <w:rPr>
                <w:rFonts w:ascii="Times New Roman" w:eastAsia="DengXian" w:hAnsi="Times New Roman" w:cs="Arial"/>
                <w:sz w:val="20"/>
                <w:szCs w:val="20"/>
                <w:lang w:eastAsia="zh-CN"/>
              </w:rPr>
            </w:pPr>
          </w:p>
        </w:tc>
        <w:tc>
          <w:tcPr>
            <w:tcW w:w="3261" w:type="dxa"/>
            <w:tcBorders>
              <w:top w:val="single" w:sz="4" w:space="0" w:color="auto"/>
              <w:bottom w:val="single" w:sz="4" w:space="0" w:color="auto"/>
              <w:right w:val="single" w:sz="4" w:space="0" w:color="auto"/>
            </w:tcBorders>
            <w:noWrap/>
            <w:hideMark/>
          </w:tcPr>
          <w:p w14:paraId="2A45A1D0"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-0.014**</w:t>
            </w:r>
          </w:p>
          <w:p w14:paraId="4C5D84B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(0.003)</w:t>
            </w:r>
          </w:p>
        </w:tc>
      </w:tr>
      <w:tr w:rsidR="00197BB6" w:rsidRPr="00197BB6" w14:paraId="458BE9AD" w14:textId="77777777" w:rsidTr="009E69CE">
        <w:trPr>
          <w:trHeight w:val="262"/>
        </w:trPr>
        <w:tc>
          <w:tcPr>
            <w:tcW w:w="3828" w:type="dxa"/>
            <w:tcBorders>
              <w:top w:val="single" w:sz="4" w:space="0" w:color="auto"/>
              <w:left w:val="single" w:sz="4" w:space="0" w:color="auto"/>
              <w:bottom w:val="single" w:sz="4" w:space="0" w:color="auto"/>
            </w:tcBorders>
            <w:hideMark/>
          </w:tcPr>
          <w:p w14:paraId="7CE5CD5A"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 xml:space="preserve">Board Independence </w:t>
            </w:r>
          </w:p>
        </w:tc>
        <w:tc>
          <w:tcPr>
            <w:tcW w:w="1842" w:type="dxa"/>
            <w:tcBorders>
              <w:top w:val="single" w:sz="4" w:space="0" w:color="auto"/>
              <w:bottom w:val="single" w:sz="4" w:space="0" w:color="auto"/>
            </w:tcBorders>
            <w:noWrap/>
            <w:hideMark/>
          </w:tcPr>
          <w:p w14:paraId="1703F5E7" w14:textId="7547B39F"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0.017</w:t>
            </w:r>
          </w:p>
          <w:p w14:paraId="0DFD4A4E" w14:textId="058DE770"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w:t>
            </w:r>
            <w:r w:rsidR="0017442C">
              <w:rPr>
                <w:rFonts w:ascii="Times New Roman" w:eastAsia="DengXian" w:hAnsi="Times New Roman" w:cs="Arial"/>
                <w:sz w:val="20"/>
                <w:szCs w:val="20"/>
                <w:lang w:eastAsia="zh-CN"/>
              </w:rPr>
              <w:t>30</w:t>
            </w:r>
            <w:r w:rsidRPr="001278ED">
              <w:rPr>
                <w:rFonts w:ascii="Times New Roman" w:eastAsia="DengXian" w:hAnsi="Times New Roman" w:cs="Arial"/>
                <w:sz w:val="20"/>
                <w:szCs w:val="20"/>
                <w:lang w:eastAsia="zh-CN"/>
              </w:rPr>
              <w:t>)</w:t>
            </w:r>
          </w:p>
        </w:tc>
        <w:tc>
          <w:tcPr>
            <w:tcW w:w="3261" w:type="dxa"/>
            <w:tcBorders>
              <w:top w:val="single" w:sz="4" w:space="0" w:color="auto"/>
              <w:bottom w:val="single" w:sz="4" w:space="0" w:color="auto"/>
              <w:right w:val="single" w:sz="4" w:space="0" w:color="auto"/>
            </w:tcBorders>
            <w:noWrap/>
            <w:hideMark/>
          </w:tcPr>
          <w:p w14:paraId="49184C55" w14:textId="5D1B742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0.016</w:t>
            </w:r>
          </w:p>
          <w:p w14:paraId="443522FC" w14:textId="11426549"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w:t>
            </w:r>
            <w:r w:rsidR="0017442C">
              <w:rPr>
                <w:rFonts w:ascii="Times New Roman" w:eastAsia="DengXian" w:hAnsi="Times New Roman" w:cs="Arial"/>
                <w:sz w:val="20"/>
                <w:szCs w:val="20"/>
                <w:lang w:eastAsia="zh-CN"/>
              </w:rPr>
              <w:t>30</w:t>
            </w:r>
            <w:r w:rsidRPr="001278ED">
              <w:rPr>
                <w:rFonts w:ascii="Times New Roman" w:eastAsia="DengXian" w:hAnsi="Times New Roman" w:cs="Arial"/>
                <w:sz w:val="20"/>
                <w:szCs w:val="20"/>
                <w:lang w:eastAsia="zh-CN"/>
              </w:rPr>
              <w:t>)</w:t>
            </w:r>
          </w:p>
        </w:tc>
      </w:tr>
      <w:tr w:rsidR="00197BB6" w:rsidRPr="00197BB6" w14:paraId="0C5EAE8B" w14:textId="77777777" w:rsidTr="009E69CE">
        <w:trPr>
          <w:trHeight w:val="262"/>
        </w:trPr>
        <w:tc>
          <w:tcPr>
            <w:tcW w:w="3828" w:type="dxa"/>
            <w:tcBorders>
              <w:top w:val="single" w:sz="4" w:space="0" w:color="auto"/>
              <w:left w:val="single" w:sz="4" w:space="0" w:color="auto"/>
              <w:bottom w:val="single" w:sz="4" w:space="0" w:color="auto"/>
            </w:tcBorders>
            <w:hideMark/>
          </w:tcPr>
          <w:p w14:paraId="23905A4E"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Board Size</w:t>
            </w:r>
          </w:p>
        </w:tc>
        <w:tc>
          <w:tcPr>
            <w:tcW w:w="1842" w:type="dxa"/>
            <w:tcBorders>
              <w:top w:val="single" w:sz="4" w:space="0" w:color="auto"/>
              <w:bottom w:val="single" w:sz="4" w:space="0" w:color="auto"/>
            </w:tcBorders>
            <w:noWrap/>
            <w:hideMark/>
          </w:tcPr>
          <w:p w14:paraId="73E52E9C"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-0.003*</w:t>
            </w:r>
          </w:p>
          <w:p w14:paraId="3A3A136E"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(0.002)</w:t>
            </w:r>
          </w:p>
        </w:tc>
        <w:tc>
          <w:tcPr>
            <w:tcW w:w="3261" w:type="dxa"/>
            <w:tcBorders>
              <w:top w:val="single" w:sz="4" w:space="0" w:color="auto"/>
              <w:bottom w:val="single" w:sz="4" w:space="0" w:color="auto"/>
              <w:right w:val="single" w:sz="4" w:space="0" w:color="auto"/>
            </w:tcBorders>
            <w:noWrap/>
            <w:hideMark/>
          </w:tcPr>
          <w:p w14:paraId="61082712" w14:textId="3800FAB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-0.002</w:t>
            </w:r>
            <w:r w:rsidR="005A02CD">
              <w:rPr>
                <w:rFonts w:ascii="Times New Roman" w:eastAsia="DengXian" w:hAnsi="Times New Roman" w:cs="Arial"/>
                <w:sz w:val="20"/>
                <w:szCs w:val="20"/>
                <w:lang w:eastAsia="zh-CN"/>
              </w:rPr>
              <w:t>***</w:t>
            </w:r>
          </w:p>
          <w:p w14:paraId="10CFBBA7" w14:textId="36FC203A"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w:t>
            </w:r>
            <w:r w:rsidR="005A02CD">
              <w:rPr>
                <w:rFonts w:ascii="Times New Roman" w:eastAsia="DengXian" w:hAnsi="Times New Roman" w:cs="Arial"/>
                <w:sz w:val="20"/>
                <w:szCs w:val="20"/>
                <w:lang w:eastAsia="zh-CN"/>
              </w:rPr>
              <w:t>1</w:t>
            </w:r>
            <w:r w:rsidRPr="001278ED">
              <w:rPr>
                <w:rFonts w:ascii="Times New Roman" w:eastAsia="DengXian" w:hAnsi="Times New Roman" w:cs="Arial"/>
                <w:sz w:val="20"/>
                <w:szCs w:val="20"/>
                <w:lang w:eastAsia="zh-CN"/>
              </w:rPr>
              <w:t>)</w:t>
            </w:r>
          </w:p>
        </w:tc>
      </w:tr>
      <w:tr w:rsidR="00197BB6" w:rsidRPr="00197BB6" w14:paraId="448EA7FB" w14:textId="77777777" w:rsidTr="009E69CE">
        <w:trPr>
          <w:trHeight w:val="262"/>
        </w:trPr>
        <w:tc>
          <w:tcPr>
            <w:tcW w:w="3828" w:type="dxa"/>
            <w:tcBorders>
              <w:top w:val="single" w:sz="4" w:space="0" w:color="auto"/>
              <w:left w:val="single" w:sz="4" w:space="0" w:color="auto"/>
              <w:bottom w:val="single" w:sz="4" w:space="0" w:color="auto"/>
            </w:tcBorders>
            <w:hideMark/>
          </w:tcPr>
          <w:p w14:paraId="275AB8CE"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CEO Duality</w:t>
            </w:r>
          </w:p>
        </w:tc>
        <w:tc>
          <w:tcPr>
            <w:tcW w:w="1842" w:type="dxa"/>
            <w:tcBorders>
              <w:top w:val="single" w:sz="4" w:space="0" w:color="auto"/>
              <w:bottom w:val="single" w:sz="4" w:space="0" w:color="auto"/>
            </w:tcBorders>
            <w:noWrap/>
            <w:hideMark/>
          </w:tcPr>
          <w:p w14:paraId="5E70740D" w14:textId="1DAF8303"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0.002*</w:t>
            </w:r>
            <w:r w:rsidR="005A02CD">
              <w:rPr>
                <w:rFonts w:ascii="Times New Roman" w:eastAsia="DengXian" w:hAnsi="Times New Roman" w:cs="Arial"/>
                <w:sz w:val="20"/>
                <w:szCs w:val="20"/>
                <w:lang w:eastAsia="zh-CN"/>
              </w:rPr>
              <w:t>*</w:t>
            </w:r>
          </w:p>
          <w:p w14:paraId="1B20FFED"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c>
          <w:tcPr>
            <w:tcW w:w="3261" w:type="dxa"/>
            <w:tcBorders>
              <w:top w:val="single" w:sz="4" w:space="0" w:color="auto"/>
              <w:bottom w:val="single" w:sz="4" w:space="0" w:color="auto"/>
              <w:right w:val="single" w:sz="4" w:space="0" w:color="auto"/>
            </w:tcBorders>
            <w:noWrap/>
            <w:hideMark/>
          </w:tcPr>
          <w:p w14:paraId="5C06DB7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0.002**</w:t>
            </w:r>
          </w:p>
          <w:p w14:paraId="0E1E8987"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tc>
      </w:tr>
      <w:tr w:rsidR="00197BB6" w:rsidRPr="00197BB6" w14:paraId="053C0874" w14:textId="77777777" w:rsidTr="009E69CE">
        <w:trPr>
          <w:trHeight w:val="262"/>
        </w:trPr>
        <w:tc>
          <w:tcPr>
            <w:tcW w:w="3828" w:type="dxa"/>
            <w:tcBorders>
              <w:top w:val="single" w:sz="4" w:space="0" w:color="auto"/>
              <w:left w:val="single" w:sz="4" w:space="0" w:color="auto"/>
              <w:bottom w:val="single" w:sz="4" w:space="0" w:color="auto"/>
            </w:tcBorders>
            <w:hideMark/>
          </w:tcPr>
          <w:p w14:paraId="2FCF1AE8"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CEO Compensation</w:t>
            </w:r>
          </w:p>
        </w:tc>
        <w:tc>
          <w:tcPr>
            <w:tcW w:w="1842" w:type="dxa"/>
            <w:tcBorders>
              <w:top w:val="single" w:sz="4" w:space="0" w:color="auto"/>
              <w:bottom w:val="single" w:sz="4" w:space="0" w:color="auto"/>
            </w:tcBorders>
            <w:noWrap/>
            <w:hideMark/>
          </w:tcPr>
          <w:p w14:paraId="3747FE23"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p w14:paraId="5FED65F8" w14:textId="7CC2786B"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1</w:t>
            </w:r>
            <w:r w:rsidRPr="001278ED">
              <w:rPr>
                <w:rFonts w:ascii="Times New Roman" w:eastAsia="DengXian" w:hAnsi="Times New Roman" w:cs="Arial"/>
                <w:sz w:val="20"/>
                <w:szCs w:val="20"/>
                <w:lang w:eastAsia="zh-CN"/>
              </w:rPr>
              <w:t>)</w:t>
            </w:r>
          </w:p>
        </w:tc>
        <w:tc>
          <w:tcPr>
            <w:tcW w:w="3261" w:type="dxa"/>
            <w:tcBorders>
              <w:top w:val="single" w:sz="4" w:space="0" w:color="auto"/>
              <w:bottom w:val="single" w:sz="4" w:space="0" w:color="auto"/>
              <w:right w:val="single" w:sz="4" w:space="0" w:color="auto"/>
            </w:tcBorders>
            <w:noWrap/>
            <w:hideMark/>
          </w:tcPr>
          <w:p w14:paraId="316DD275"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p w14:paraId="5D2F938A" w14:textId="4B92AA84"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1</w:t>
            </w:r>
            <w:r w:rsidRPr="001278ED">
              <w:rPr>
                <w:rFonts w:ascii="Times New Roman" w:eastAsia="DengXian" w:hAnsi="Times New Roman" w:cs="Arial"/>
                <w:sz w:val="20"/>
                <w:szCs w:val="20"/>
                <w:lang w:eastAsia="zh-CN"/>
              </w:rPr>
              <w:t>)</w:t>
            </w:r>
          </w:p>
        </w:tc>
      </w:tr>
      <w:tr w:rsidR="00197BB6" w:rsidRPr="00197BB6" w14:paraId="6F103347" w14:textId="77777777" w:rsidTr="009E69CE">
        <w:trPr>
          <w:trHeight w:val="262"/>
        </w:trPr>
        <w:tc>
          <w:tcPr>
            <w:tcW w:w="3828" w:type="dxa"/>
            <w:tcBorders>
              <w:top w:val="single" w:sz="4" w:space="0" w:color="auto"/>
              <w:left w:val="single" w:sz="4" w:space="0" w:color="auto"/>
              <w:bottom w:val="single" w:sz="4" w:space="0" w:color="auto"/>
            </w:tcBorders>
            <w:hideMark/>
          </w:tcPr>
          <w:p w14:paraId="6B1CEC28"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St Borrowing/TA</w:t>
            </w:r>
          </w:p>
        </w:tc>
        <w:tc>
          <w:tcPr>
            <w:tcW w:w="1842" w:type="dxa"/>
            <w:tcBorders>
              <w:top w:val="single" w:sz="4" w:space="0" w:color="auto"/>
              <w:bottom w:val="single" w:sz="4" w:space="0" w:color="auto"/>
            </w:tcBorders>
            <w:noWrap/>
            <w:hideMark/>
          </w:tcPr>
          <w:p w14:paraId="4F9CA634"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0.082***</w:t>
            </w:r>
          </w:p>
          <w:p w14:paraId="47A0F37B"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(0.013)</w:t>
            </w:r>
          </w:p>
        </w:tc>
        <w:tc>
          <w:tcPr>
            <w:tcW w:w="3261" w:type="dxa"/>
            <w:tcBorders>
              <w:top w:val="single" w:sz="4" w:space="0" w:color="auto"/>
              <w:bottom w:val="single" w:sz="4" w:space="0" w:color="auto"/>
              <w:right w:val="single" w:sz="4" w:space="0" w:color="auto"/>
            </w:tcBorders>
            <w:noWrap/>
            <w:hideMark/>
          </w:tcPr>
          <w:p w14:paraId="04A98051"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0.079***</w:t>
            </w:r>
          </w:p>
          <w:p w14:paraId="75AC539A"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(0.014)</w:t>
            </w:r>
          </w:p>
        </w:tc>
      </w:tr>
      <w:tr w:rsidR="00197BB6" w:rsidRPr="00197BB6" w14:paraId="53203BEB" w14:textId="77777777" w:rsidTr="009E69CE">
        <w:trPr>
          <w:trHeight w:val="262"/>
        </w:trPr>
        <w:tc>
          <w:tcPr>
            <w:tcW w:w="3828" w:type="dxa"/>
            <w:tcBorders>
              <w:top w:val="single" w:sz="4" w:space="0" w:color="auto"/>
              <w:left w:val="single" w:sz="4" w:space="0" w:color="auto"/>
              <w:bottom w:val="single" w:sz="4" w:space="0" w:color="auto"/>
            </w:tcBorders>
            <w:hideMark/>
          </w:tcPr>
          <w:p w14:paraId="5B8C2034"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Bad Loans/TA</w:t>
            </w:r>
          </w:p>
        </w:tc>
        <w:tc>
          <w:tcPr>
            <w:tcW w:w="1842" w:type="dxa"/>
            <w:tcBorders>
              <w:top w:val="single" w:sz="4" w:space="0" w:color="auto"/>
              <w:bottom w:val="single" w:sz="4" w:space="0" w:color="auto"/>
            </w:tcBorders>
            <w:noWrap/>
            <w:hideMark/>
          </w:tcPr>
          <w:p w14:paraId="29BC5D02"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0.166***</w:t>
            </w:r>
          </w:p>
          <w:p w14:paraId="3A48E1B4"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(0.028)</w:t>
            </w:r>
          </w:p>
        </w:tc>
        <w:tc>
          <w:tcPr>
            <w:tcW w:w="3261" w:type="dxa"/>
            <w:tcBorders>
              <w:top w:val="single" w:sz="4" w:space="0" w:color="auto"/>
              <w:bottom w:val="single" w:sz="4" w:space="0" w:color="auto"/>
              <w:right w:val="single" w:sz="4" w:space="0" w:color="auto"/>
            </w:tcBorders>
            <w:noWrap/>
            <w:hideMark/>
          </w:tcPr>
          <w:p w14:paraId="19079747"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0.159***</w:t>
            </w:r>
          </w:p>
          <w:p w14:paraId="53432CF3"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(0.029)</w:t>
            </w:r>
          </w:p>
        </w:tc>
      </w:tr>
      <w:tr w:rsidR="00197BB6" w:rsidRPr="00197BB6" w14:paraId="491DA287" w14:textId="77777777" w:rsidTr="009E69CE">
        <w:trPr>
          <w:trHeight w:val="262"/>
        </w:trPr>
        <w:tc>
          <w:tcPr>
            <w:tcW w:w="3828" w:type="dxa"/>
            <w:tcBorders>
              <w:top w:val="single" w:sz="4" w:space="0" w:color="auto"/>
              <w:left w:val="single" w:sz="4" w:space="0" w:color="auto"/>
              <w:bottom w:val="single" w:sz="4" w:space="0" w:color="auto"/>
            </w:tcBorders>
            <w:hideMark/>
          </w:tcPr>
          <w:p w14:paraId="16A797D1"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Tier1 Ratio</w:t>
            </w:r>
          </w:p>
        </w:tc>
        <w:tc>
          <w:tcPr>
            <w:tcW w:w="1842" w:type="dxa"/>
            <w:tcBorders>
              <w:top w:val="single" w:sz="4" w:space="0" w:color="auto"/>
              <w:bottom w:val="single" w:sz="4" w:space="0" w:color="auto"/>
            </w:tcBorders>
            <w:noWrap/>
            <w:hideMark/>
          </w:tcPr>
          <w:p w14:paraId="3677E08D" w14:textId="54A4575A"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p w14:paraId="2FEE60D5" w14:textId="3FB809E3"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2</w:t>
            </w:r>
            <w:r w:rsidRPr="001278ED">
              <w:rPr>
                <w:rFonts w:ascii="Times New Roman" w:eastAsia="DengXian" w:hAnsi="Times New Roman" w:cs="Arial"/>
                <w:sz w:val="20"/>
                <w:szCs w:val="20"/>
                <w:lang w:eastAsia="zh-CN"/>
              </w:rPr>
              <w:t>)</w:t>
            </w:r>
          </w:p>
        </w:tc>
        <w:tc>
          <w:tcPr>
            <w:tcW w:w="3261" w:type="dxa"/>
            <w:tcBorders>
              <w:top w:val="single" w:sz="4" w:space="0" w:color="auto"/>
              <w:bottom w:val="single" w:sz="4" w:space="0" w:color="auto"/>
              <w:right w:val="single" w:sz="4" w:space="0" w:color="auto"/>
            </w:tcBorders>
            <w:noWrap/>
            <w:hideMark/>
          </w:tcPr>
          <w:p w14:paraId="67059C86" w14:textId="12601C6A"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p w14:paraId="5D52B604" w14:textId="0C2EC4E9"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2</w:t>
            </w:r>
            <w:r w:rsidRPr="001278ED">
              <w:rPr>
                <w:rFonts w:ascii="Times New Roman" w:eastAsia="DengXian" w:hAnsi="Times New Roman" w:cs="Arial"/>
                <w:sz w:val="20"/>
                <w:szCs w:val="20"/>
                <w:lang w:eastAsia="zh-CN"/>
              </w:rPr>
              <w:t>)</w:t>
            </w:r>
          </w:p>
        </w:tc>
      </w:tr>
      <w:tr w:rsidR="00197BB6" w:rsidRPr="00197BB6" w14:paraId="2A5ECC19" w14:textId="77777777" w:rsidTr="009E69CE">
        <w:trPr>
          <w:trHeight w:val="262"/>
        </w:trPr>
        <w:tc>
          <w:tcPr>
            <w:tcW w:w="3828" w:type="dxa"/>
            <w:tcBorders>
              <w:top w:val="single" w:sz="4" w:space="0" w:color="auto"/>
              <w:left w:val="single" w:sz="4" w:space="0" w:color="auto"/>
              <w:bottom w:val="single" w:sz="4" w:space="0" w:color="auto"/>
            </w:tcBorders>
            <w:hideMark/>
          </w:tcPr>
          <w:p w14:paraId="10F0DE2D" w14:textId="57F6CCA7" w:rsidR="00197BB6" w:rsidRPr="001278ED" w:rsidRDefault="0017442C" w:rsidP="00197BB6">
            <w:pPr>
              <w:spacing w:after="0" w:line="240" w:lineRule="auto"/>
              <w:rPr>
                <w:rFonts w:ascii="Times New Roman" w:eastAsia="DengXian" w:hAnsi="Times New Roman" w:cs="Arial"/>
                <w:sz w:val="20"/>
                <w:szCs w:val="20"/>
                <w:lang w:eastAsia="zh-CN"/>
              </w:rPr>
            </w:pPr>
            <w:r>
              <w:rPr>
                <w:rFonts w:ascii="Times New Roman" w:eastAsia="DengXian" w:hAnsi="Times New Roman" w:cs="Arial"/>
                <w:sz w:val="20"/>
                <w:szCs w:val="20"/>
                <w:lang w:eastAsia="zh-CN"/>
              </w:rPr>
              <w:t>Bank</w:t>
            </w:r>
            <w:r w:rsidR="00197BB6" w:rsidRPr="001278ED">
              <w:rPr>
                <w:rFonts w:ascii="Times New Roman" w:eastAsia="DengXian" w:hAnsi="Times New Roman" w:cs="Arial"/>
                <w:sz w:val="20"/>
                <w:szCs w:val="20"/>
                <w:lang w:eastAsia="zh-CN"/>
              </w:rPr>
              <w:t xml:space="preserve"> Size</w:t>
            </w:r>
          </w:p>
        </w:tc>
        <w:tc>
          <w:tcPr>
            <w:tcW w:w="1842" w:type="dxa"/>
            <w:tcBorders>
              <w:top w:val="single" w:sz="4" w:space="0" w:color="auto"/>
              <w:bottom w:val="single" w:sz="4" w:space="0" w:color="auto"/>
            </w:tcBorders>
            <w:noWrap/>
            <w:hideMark/>
          </w:tcPr>
          <w:p w14:paraId="0388229E" w14:textId="08659E70"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r w:rsidR="0017442C">
              <w:rPr>
                <w:rFonts w:ascii="Times New Roman" w:eastAsia="DengXian" w:hAnsi="Times New Roman" w:cs="Arial"/>
                <w:sz w:val="20"/>
                <w:szCs w:val="20"/>
                <w:lang w:eastAsia="zh-CN"/>
              </w:rPr>
              <w:t>*</w:t>
            </w:r>
          </w:p>
          <w:p w14:paraId="18A4B8B4" w14:textId="3215FFE1"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1</w:t>
            </w:r>
            <w:r w:rsidRPr="001278ED">
              <w:rPr>
                <w:rFonts w:ascii="Times New Roman" w:eastAsia="DengXian" w:hAnsi="Times New Roman" w:cs="Arial"/>
                <w:sz w:val="20"/>
                <w:szCs w:val="20"/>
                <w:lang w:eastAsia="zh-CN"/>
              </w:rPr>
              <w:t>)</w:t>
            </w:r>
          </w:p>
        </w:tc>
        <w:tc>
          <w:tcPr>
            <w:tcW w:w="3261" w:type="dxa"/>
            <w:tcBorders>
              <w:top w:val="single" w:sz="4" w:space="0" w:color="auto"/>
              <w:bottom w:val="single" w:sz="4" w:space="0" w:color="auto"/>
              <w:right w:val="single" w:sz="4" w:space="0" w:color="auto"/>
            </w:tcBorders>
            <w:noWrap/>
            <w:hideMark/>
          </w:tcPr>
          <w:p w14:paraId="024E98CD" w14:textId="4970D343"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0.001***</w:t>
            </w:r>
          </w:p>
          <w:p w14:paraId="1C48A7EC" w14:textId="11063315"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r w:rsidR="0017442C">
              <w:rPr>
                <w:rFonts w:ascii="Times New Roman" w:eastAsia="DengXian" w:hAnsi="Times New Roman" w:cs="Arial"/>
                <w:sz w:val="20"/>
                <w:szCs w:val="20"/>
                <w:lang w:eastAsia="zh-CN"/>
              </w:rPr>
              <w:t>1</w:t>
            </w:r>
            <w:r w:rsidRPr="001278ED">
              <w:rPr>
                <w:rFonts w:ascii="Times New Roman" w:eastAsia="DengXian" w:hAnsi="Times New Roman" w:cs="Arial"/>
                <w:sz w:val="20"/>
                <w:szCs w:val="20"/>
                <w:lang w:eastAsia="zh-CN"/>
              </w:rPr>
              <w:t>)</w:t>
            </w:r>
          </w:p>
        </w:tc>
      </w:tr>
      <w:tr w:rsidR="00197BB6" w:rsidRPr="00197BB6" w14:paraId="57DEA69D" w14:textId="77777777" w:rsidTr="009E69CE">
        <w:trPr>
          <w:trHeight w:val="262"/>
        </w:trPr>
        <w:tc>
          <w:tcPr>
            <w:tcW w:w="3828" w:type="dxa"/>
            <w:tcBorders>
              <w:top w:val="single" w:sz="4" w:space="0" w:color="auto"/>
              <w:left w:val="single" w:sz="4" w:space="0" w:color="auto"/>
              <w:bottom w:val="single" w:sz="4" w:space="0" w:color="auto"/>
            </w:tcBorders>
            <w:hideMark/>
          </w:tcPr>
          <w:p w14:paraId="11C8B0E1"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ROA</w:t>
            </w:r>
          </w:p>
        </w:tc>
        <w:tc>
          <w:tcPr>
            <w:tcW w:w="1842" w:type="dxa"/>
            <w:tcBorders>
              <w:top w:val="single" w:sz="4" w:space="0" w:color="auto"/>
              <w:bottom w:val="single" w:sz="4" w:space="0" w:color="auto"/>
            </w:tcBorders>
            <w:noWrap/>
            <w:hideMark/>
          </w:tcPr>
          <w:p w14:paraId="5B365A63"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-0.004***</w:t>
            </w:r>
          </w:p>
          <w:p w14:paraId="4F368013"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p>
        </w:tc>
        <w:tc>
          <w:tcPr>
            <w:tcW w:w="3261" w:type="dxa"/>
            <w:tcBorders>
              <w:top w:val="single" w:sz="4" w:space="0" w:color="auto"/>
              <w:bottom w:val="single" w:sz="4" w:space="0" w:color="auto"/>
              <w:right w:val="single" w:sz="4" w:space="0" w:color="auto"/>
            </w:tcBorders>
            <w:noWrap/>
            <w:hideMark/>
          </w:tcPr>
          <w:p w14:paraId="78DC3942"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-0.004***</w:t>
            </w:r>
          </w:p>
          <w:p w14:paraId="338D8972"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(0.000)</w:t>
            </w:r>
          </w:p>
        </w:tc>
      </w:tr>
      <w:tr w:rsidR="00197BB6" w:rsidRPr="00197BB6" w14:paraId="240BD67D" w14:textId="77777777" w:rsidTr="009E69CE">
        <w:trPr>
          <w:trHeight w:val="262"/>
        </w:trPr>
        <w:tc>
          <w:tcPr>
            <w:tcW w:w="3828" w:type="dxa"/>
            <w:tcBorders>
              <w:top w:val="single" w:sz="4" w:space="0" w:color="auto"/>
              <w:left w:val="single" w:sz="4" w:space="0" w:color="auto"/>
              <w:bottom w:val="single" w:sz="4" w:space="0" w:color="auto"/>
            </w:tcBorders>
            <w:hideMark/>
          </w:tcPr>
          <w:p w14:paraId="13AACAD3"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Constant</w:t>
            </w:r>
          </w:p>
        </w:tc>
        <w:tc>
          <w:tcPr>
            <w:tcW w:w="1842" w:type="dxa"/>
            <w:tcBorders>
              <w:top w:val="single" w:sz="4" w:space="0" w:color="auto"/>
              <w:bottom w:val="single" w:sz="4" w:space="0" w:color="auto"/>
            </w:tcBorders>
            <w:noWrap/>
            <w:hideMark/>
          </w:tcPr>
          <w:p w14:paraId="1A33C8D0"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0.053***</w:t>
            </w:r>
          </w:p>
          <w:p w14:paraId="4FAB83F7"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(0.006)</w:t>
            </w:r>
          </w:p>
        </w:tc>
        <w:tc>
          <w:tcPr>
            <w:tcW w:w="3261" w:type="dxa"/>
            <w:tcBorders>
              <w:top w:val="single" w:sz="4" w:space="0" w:color="auto"/>
              <w:bottom w:val="single" w:sz="4" w:space="0" w:color="auto"/>
              <w:right w:val="single" w:sz="4" w:space="0" w:color="auto"/>
            </w:tcBorders>
            <w:noWrap/>
            <w:hideMark/>
          </w:tcPr>
          <w:p w14:paraId="01F2819C"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0.052***</w:t>
            </w:r>
          </w:p>
          <w:p w14:paraId="4F630035"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(0.006)</w:t>
            </w:r>
          </w:p>
        </w:tc>
      </w:tr>
      <w:tr w:rsidR="00197BB6" w:rsidRPr="00197BB6" w14:paraId="5FAFD3A0" w14:textId="77777777" w:rsidTr="009E69CE">
        <w:trPr>
          <w:trHeight w:val="262"/>
        </w:trPr>
        <w:tc>
          <w:tcPr>
            <w:tcW w:w="3828" w:type="dxa"/>
            <w:tcBorders>
              <w:top w:val="single" w:sz="4" w:space="0" w:color="auto"/>
              <w:left w:val="single" w:sz="4" w:space="0" w:color="auto"/>
              <w:bottom w:val="single" w:sz="4" w:space="0" w:color="auto"/>
            </w:tcBorders>
            <w:hideMark/>
          </w:tcPr>
          <w:p w14:paraId="75302CBC"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Firm FE</w:t>
            </w:r>
          </w:p>
        </w:tc>
        <w:tc>
          <w:tcPr>
            <w:tcW w:w="1842" w:type="dxa"/>
            <w:tcBorders>
              <w:top w:val="single" w:sz="4" w:space="0" w:color="auto"/>
              <w:bottom w:val="single" w:sz="4" w:space="0" w:color="auto"/>
            </w:tcBorders>
            <w:noWrap/>
            <w:hideMark/>
          </w:tcPr>
          <w:p w14:paraId="54311265"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YES</w:t>
            </w:r>
          </w:p>
        </w:tc>
        <w:tc>
          <w:tcPr>
            <w:tcW w:w="3261" w:type="dxa"/>
            <w:tcBorders>
              <w:top w:val="single" w:sz="4" w:space="0" w:color="auto"/>
              <w:bottom w:val="single" w:sz="4" w:space="0" w:color="auto"/>
              <w:right w:val="single" w:sz="4" w:space="0" w:color="auto"/>
            </w:tcBorders>
            <w:noWrap/>
            <w:hideMark/>
          </w:tcPr>
          <w:p w14:paraId="799B8E52"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YES</w:t>
            </w:r>
          </w:p>
        </w:tc>
      </w:tr>
      <w:tr w:rsidR="00197BB6" w:rsidRPr="00197BB6" w14:paraId="11BCEF55" w14:textId="77777777" w:rsidTr="009E69CE">
        <w:trPr>
          <w:trHeight w:val="262"/>
        </w:trPr>
        <w:tc>
          <w:tcPr>
            <w:tcW w:w="3828" w:type="dxa"/>
            <w:tcBorders>
              <w:top w:val="single" w:sz="4" w:space="0" w:color="auto"/>
              <w:left w:val="single" w:sz="4" w:space="0" w:color="auto"/>
              <w:bottom w:val="single" w:sz="4" w:space="0" w:color="auto"/>
            </w:tcBorders>
            <w:hideMark/>
          </w:tcPr>
          <w:p w14:paraId="77569A6E"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Year FE</w:t>
            </w:r>
          </w:p>
        </w:tc>
        <w:tc>
          <w:tcPr>
            <w:tcW w:w="1842" w:type="dxa"/>
            <w:tcBorders>
              <w:top w:val="single" w:sz="4" w:space="0" w:color="auto"/>
              <w:bottom w:val="single" w:sz="4" w:space="0" w:color="auto"/>
            </w:tcBorders>
            <w:noWrap/>
            <w:hideMark/>
          </w:tcPr>
          <w:p w14:paraId="506F7116"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YES</w:t>
            </w:r>
          </w:p>
        </w:tc>
        <w:tc>
          <w:tcPr>
            <w:tcW w:w="3261" w:type="dxa"/>
            <w:tcBorders>
              <w:top w:val="single" w:sz="4" w:space="0" w:color="auto"/>
              <w:bottom w:val="single" w:sz="4" w:space="0" w:color="auto"/>
              <w:right w:val="single" w:sz="4" w:space="0" w:color="auto"/>
            </w:tcBorders>
            <w:noWrap/>
            <w:hideMark/>
          </w:tcPr>
          <w:p w14:paraId="5E522E0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YES</w:t>
            </w:r>
          </w:p>
        </w:tc>
      </w:tr>
      <w:tr w:rsidR="00197BB6" w:rsidRPr="00197BB6" w14:paraId="14FEB643" w14:textId="77777777" w:rsidTr="009E69CE">
        <w:trPr>
          <w:trHeight w:val="262"/>
        </w:trPr>
        <w:tc>
          <w:tcPr>
            <w:tcW w:w="3828" w:type="dxa"/>
            <w:tcBorders>
              <w:top w:val="single" w:sz="4" w:space="0" w:color="auto"/>
              <w:left w:val="single" w:sz="4" w:space="0" w:color="auto"/>
              <w:bottom w:val="single" w:sz="4" w:space="0" w:color="auto"/>
            </w:tcBorders>
            <w:hideMark/>
          </w:tcPr>
          <w:p w14:paraId="18363E1D"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Observations</w:t>
            </w:r>
          </w:p>
        </w:tc>
        <w:tc>
          <w:tcPr>
            <w:tcW w:w="1842" w:type="dxa"/>
            <w:tcBorders>
              <w:top w:val="single" w:sz="4" w:space="0" w:color="auto"/>
              <w:bottom w:val="single" w:sz="4" w:space="0" w:color="auto"/>
            </w:tcBorders>
            <w:noWrap/>
            <w:hideMark/>
          </w:tcPr>
          <w:p w14:paraId="73F994C8"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1,203</w:t>
            </w:r>
          </w:p>
        </w:tc>
        <w:tc>
          <w:tcPr>
            <w:tcW w:w="3261" w:type="dxa"/>
            <w:tcBorders>
              <w:top w:val="single" w:sz="4" w:space="0" w:color="auto"/>
              <w:bottom w:val="single" w:sz="4" w:space="0" w:color="auto"/>
              <w:right w:val="single" w:sz="4" w:space="0" w:color="auto"/>
            </w:tcBorders>
            <w:noWrap/>
            <w:hideMark/>
          </w:tcPr>
          <w:p w14:paraId="48CDA9FA"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1,203</w:t>
            </w:r>
          </w:p>
        </w:tc>
      </w:tr>
      <w:tr w:rsidR="00197BB6" w:rsidRPr="00197BB6" w14:paraId="5604579F" w14:textId="77777777" w:rsidTr="009E69CE">
        <w:trPr>
          <w:trHeight w:val="262"/>
        </w:trPr>
        <w:tc>
          <w:tcPr>
            <w:tcW w:w="3828" w:type="dxa"/>
            <w:tcBorders>
              <w:top w:val="single" w:sz="4" w:space="0" w:color="auto"/>
              <w:left w:val="single" w:sz="4" w:space="0" w:color="auto"/>
              <w:bottom w:val="single" w:sz="4" w:space="0" w:color="auto"/>
            </w:tcBorders>
            <w:hideMark/>
          </w:tcPr>
          <w:p w14:paraId="0AA2E509"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R-squared</w:t>
            </w:r>
          </w:p>
        </w:tc>
        <w:tc>
          <w:tcPr>
            <w:tcW w:w="1842" w:type="dxa"/>
            <w:tcBorders>
              <w:top w:val="single" w:sz="4" w:space="0" w:color="auto"/>
              <w:bottom w:val="single" w:sz="4" w:space="0" w:color="auto"/>
            </w:tcBorders>
            <w:noWrap/>
            <w:hideMark/>
          </w:tcPr>
          <w:p w14:paraId="263942B1"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0.266</w:t>
            </w:r>
          </w:p>
        </w:tc>
        <w:tc>
          <w:tcPr>
            <w:tcW w:w="3261" w:type="dxa"/>
            <w:tcBorders>
              <w:top w:val="single" w:sz="4" w:space="0" w:color="auto"/>
              <w:bottom w:val="single" w:sz="4" w:space="0" w:color="auto"/>
              <w:right w:val="single" w:sz="4" w:space="0" w:color="auto"/>
            </w:tcBorders>
            <w:noWrap/>
            <w:hideMark/>
          </w:tcPr>
          <w:p w14:paraId="7DC05185" w14:textId="77777777" w:rsidR="00197BB6" w:rsidRPr="001278ED" w:rsidRDefault="00197BB6" w:rsidP="00197BB6">
            <w:pPr>
              <w:spacing w:after="0" w:line="240" w:lineRule="auto"/>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0.267</w:t>
            </w:r>
          </w:p>
        </w:tc>
      </w:tr>
    </w:tbl>
    <w:p w14:paraId="7FA255C9" w14:textId="77777777" w:rsidR="00197BB6" w:rsidRPr="00197BB6" w:rsidRDefault="00197BB6" w:rsidP="00197BB6">
      <w:pPr>
        <w:rPr>
          <w:rFonts w:ascii="Calibri" w:eastAsia="Times New Roman" w:hAnsi="Calibri" w:cs="Times New Roman"/>
        </w:rPr>
      </w:pPr>
    </w:p>
    <w:p w14:paraId="11C1F6DC" w14:textId="77777777" w:rsidR="00197BB6" w:rsidRPr="00197BB6" w:rsidRDefault="00197BB6" w:rsidP="00197BB6">
      <w:pPr>
        <w:jc w:val="both"/>
        <w:rPr>
          <w:rFonts w:ascii="Calibri" w:eastAsia="Times New Roman" w:hAnsi="Calibri" w:cs="Times New Roman"/>
        </w:rPr>
      </w:pPr>
    </w:p>
    <w:p w14:paraId="59280CB1" w14:textId="77777777" w:rsidR="00197BB6" w:rsidRPr="00197BB6" w:rsidRDefault="00197BB6" w:rsidP="00197BB6">
      <w:pPr>
        <w:jc w:val="both"/>
        <w:rPr>
          <w:rFonts w:ascii="Calibri" w:eastAsia="Times New Roman" w:hAnsi="Calibri" w:cs="Times New Roman"/>
        </w:rPr>
      </w:pPr>
    </w:p>
    <w:p w14:paraId="707BDA09" w14:textId="2C6884E6" w:rsidR="00197BB6" w:rsidRDefault="00197BB6">
      <w:pPr>
        <w:rPr>
          <w:rFonts w:ascii="Calibri" w:eastAsia="Times New Roman" w:hAnsi="Calibri" w:cs="Times New Roman"/>
        </w:rPr>
      </w:pPr>
      <w:r>
        <w:rPr>
          <w:rFonts w:ascii="Calibri" w:eastAsia="Times New Roman" w:hAnsi="Calibri" w:cs="Times New Roman"/>
        </w:rPr>
        <w:br w:type="page"/>
      </w:r>
    </w:p>
    <w:p w14:paraId="61AC9ABA" w14:textId="62285058" w:rsidR="00DE7639" w:rsidRPr="00E30E2D" w:rsidRDefault="00DE7639" w:rsidP="00DE7639">
      <w:pPr>
        <w:pStyle w:val="Caption"/>
        <w:keepNext/>
        <w:rPr>
          <w:rFonts w:ascii="Times New Roman" w:hAnsi="Times New Roman" w:cs="Times New Roman"/>
          <w:b/>
          <w:bCs/>
          <w:i w:val="0"/>
          <w:iCs w:val="0"/>
          <w:color w:val="000000" w:themeColor="text1"/>
          <w:sz w:val="24"/>
          <w:szCs w:val="24"/>
        </w:rPr>
      </w:pPr>
      <w:bookmarkStart w:id="70" w:name="_Toc132383484"/>
      <w:bookmarkStart w:id="71" w:name="_Toc132386098"/>
      <w:bookmarkStart w:id="72" w:name="_Toc132437290"/>
      <w:r w:rsidRPr="00E30E2D">
        <w:rPr>
          <w:rFonts w:ascii="Times New Roman" w:hAnsi="Times New Roman" w:cs="Times New Roman"/>
          <w:b/>
          <w:bCs/>
          <w:i w:val="0"/>
          <w:iCs w:val="0"/>
          <w:color w:val="000000" w:themeColor="text1"/>
          <w:sz w:val="24"/>
          <w:szCs w:val="24"/>
        </w:rPr>
        <w:t>Table 3.</w:t>
      </w:r>
      <w:r w:rsidR="001435EA">
        <w:rPr>
          <w:rFonts w:ascii="Times New Roman" w:hAnsi="Times New Roman" w:cs="Times New Roman"/>
          <w:b/>
          <w:bCs/>
          <w:i w:val="0"/>
          <w:iCs w:val="0"/>
          <w:color w:val="000000" w:themeColor="text1"/>
          <w:sz w:val="24"/>
          <w:szCs w:val="24"/>
        </w:rPr>
        <w:t>7</w:t>
      </w:r>
      <w:r w:rsidRPr="00E30E2D">
        <w:rPr>
          <w:rFonts w:ascii="Times New Roman" w:hAnsi="Times New Roman" w:cs="Times New Roman"/>
          <w:b/>
          <w:bCs/>
          <w:i w:val="0"/>
          <w:iCs w:val="0"/>
          <w:color w:val="000000" w:themeColor="text1"/>
          <w:sz w:val="24"/>
          <w:szCs w:val="24"/>
        </w:rPr>
        <w:t>. Regression Estimates Using a Two-Stage Instrumental Variable (IV) Model</w:t>
      </w:r>
      <w:bookmarkEnd w:id="70"/>
      <w:bookmarkEnd w:id="71"/>
      <w:bookmarkEnd w:id="72"/>
    </w:p>
    <w:tbl>
      <w:tblPr>
        <w:tblpPr w:leftFromText="180" w:rightFromText="180" w:vertAnchor="page" w:horzAnchor="margin" w:tblpY="2256"/>
        <w:tblW w:w="9679" w:type="dxa"/>
        <w:tblLook w:val="04A0" w:firstRow="1" w:lastRow="0" w:firstColumn="1" w:lastColumn="0" w:noHBand="0" w:noVBand="1"/>
      </w:tblPr>
      <w:tblGrid>
        <w:gridCol w:w="3025"/>
        <w:gridCol w:w="3025"/>
        <w:gridCol w:w="3629"/>
      </w:tblGrid>
      <w:tr w:rsidR="00880312" w:rsidRPr="00197BB6" w14:paraId="432F50CC" w14:textId="77777777" w:rsidTr="00E30E2D">
        <w:trPr>
          <w:trHeight w:hRule="exact" w:val="2836"/>
        </w:trPr>
        <w:tc>
          <w:tcPr>
            <w:tcW w:w="9679" w:type="dxa"/>
            <w:gridSpan w:val="3"/>
            <w:tcBorders>
              <w:bottom w:val="single" w:sz="4" w:space="0" w:color="auto"/>
            </w:tcBorders>
          </w:tcPr>
          <w:p w14:paraId="44F8659B" w14:textId="77777777" w:rsidR="00880312" w:rsidRPr="00197BB6" w:rsidRDefault="00880312" w:rsidP="00DE7639">
            <w:pPr>
              <w:spacing w:after="0"/>
              <w:jc w:val="both"/>
              <w:rPr>
                <w:rFonts w:ascii="Times New Roman" w:eastAsia="DengXian" w:hAnsi="Times New Roman" w:cs="Times New Roman"/>
                <w:b/>
                <w:bCs/>
              </w:rPr>
            </w:pPr>
          </w:p>
          <w:p w14:paraId="4E8DF549" w14:textId="77777777" w:rsidR="0072228F" w:rsidRPr="0072228F" w:rsidRDefault="0072228F" w:rsidP="0072228F">
            <w:pPr>
              <w:autoSpaceDN w:val="0"/>
              <w:spacing w:line="244" w:lineRule="auto"/>
              <w:jc w:val="both"/>
              <w:rPr>
                <w:rFonts w:ascii="Calibri" w:eastAsia="Calibri" w:hAnsi="Calibri" w:cs="Times New Roman"/>
                <w:kern w:val="3"/>
              </w:rPr>
            </w:pPr>
            <w:r w:rsidRPr="0072228F">
              <w:rPr>
                <w:rFonts w:ascii="Times New Roman" w:eastAsia="DengXian" w:hAnsi="Times New Roman" w:cs="Times New Roman"/>
              </w:rPr>
              <w:t>The table presents the results of the 2SLS regressions. Column 1 shows the first-stage regression where female CRO is the dependent variable and model first for the instrumental variable. The instrumental variable is the number of female CROs in the banking industry. Column 2 reports results for second-stage models where risk-proxy (Aggregate Risk) is the dependant variable. Other right-hand side variables remain the same as the baseline model. Standard errors are reported in parentheses. *** **, * indicates significance at the 1%, 5%, 10% respectively.</w:t>
            </w:r>
          </w:p>
          <w:p w14:paraId="35316653" w14:textId="696B2597" w:rsidR="00880312" w:rsidRPr="00E30E2D" w:rsidRDefault="00880312" w:rsidP="00E30E2D">
            <w:pPr>
              <w:spacing w:after="0"/>
              <w:jc w:val="both"/>
              <w:rPr>
                <w:rFonts w:ascii="Times New Roman" w:eastAsia="DengXian" w:hAnsi="Times New Roman" w:cs="Times New Roman"/>
              </w:rPr>
            </w:pPr>
          </w:p>
        </w:tc>
      </w:tr>
      <w:tr w:rsidR="00880312" w:rsidRPr="00197BB6" w14:paraId="58D193A4" w14:textId="77777777" w:rsidTr="0072228F">
        <w:trPr>
          <w:trHeight w:hRule="exact" w:val="422"/>
        </w:trPr>
        <w:tc>
          <w:tcPr>
            <w:tcW w:w="3025" w:type="dxa"/>
            <w:tcBorders>
              <w:top w:val="single" w:sz="4" w:space="0" w:color="auto"/>
              <w:left w:val="single" w:sz="4" w:space="0" w:color="auto"/>
              <w:bottom w:val="single" w:sz="4" w:space="0" w:color="auto"/>
            </w:tcBorders>
          </w:tcPr>
          <w:p w14:paraId="093B895D" w14:textId="77777777" w:rsidR="00880312" w:rsidRPr="001278ED" w:rsidRDefault="00880312" w:rsidP="00DE7639">
            <w:pPr>
              <w:spacing w:after="0" w:line="240" w:lineRule="auto"/>
              <w:rPr>
                <w:rFonts w:ascii="Times New Roman" w:eastAsia="DengXian" w:hAnsi="Times New Roman" w:cs="Times New Roman"/>
                <w:b/>
                <w:bCs/>
                <w:smallCaps/>
                <w:sz w:val="20"/>
                <w:szCs w:val="20"/>
              </w:rPr>
            </w:pPr>
            <w:r w:rsidRPr="001278ED">
              <w:rPr>
                <w:rFonts w:ascii="Times New Roman" w:eastAsia="DengXian" w:hAnsi="Times New Roman" w:cs="Times New Roman"/>
                <w:b/>
                <w:bCs/>
                <w:smallCaps/>
                <w:sz w:val="20"/>
                <w:szCs w:val="20"/>
              </w:rPr>
              <w:t>Variables</w:t>
            </w:r>
          </w:p>
        </w:tc>
        <w:tc>
          <w:tcPr>
            <w:tcW w:w="3025" w:type="dxa"/>
            <w:tcBorders>
              <w:top w:val="single" w:sz="4" w:space="0" w:color="auto"/>
              <w:bottom w:val="single" w:sz="4" w:space="0" w:color="auto"/>
            </w:tcBorders>
          </w:tcPr>
          <w:p w14:paraId="4C1173CD" w14:textId="77777777" w:rsidR="00880312" w:rsidRPr="001278ED" w:rsidRDefault="00880312" w:rsidP="00DE7639">
            <w:pPr>
              <w:spacing w:after="0" w:line="240" w:lineRule="auto"/>
              <w:rPr>
                <w:rFonts w:ascii="Times New Roman" w:eastAsia="DengXian" w:hAnsi="Times New Roman" w:cs="Times New Roman"/>
                <w:b/>
                <w:bCs/>
                <w:smallCaps/>
                <w:sz w:val="20"/>
                <w:szCs w:val="20"/>
              </w:rPr>
            </w:pPr>
            <w:r w:rsidRPr="001278ED">
              <w:rPr>
                <w:rFonts w:ascii="Times New Roman" w:eastAsia="DengXian" w:hAnsi="Times New Roman" w:cs="Times New Roman"/>
                <w:b/>
                <w:bCs/>
                <w:smallCaps/>
                <w:sz w:val="20"/>
                <w:szCs w:val="20"/>
              </w:rPr>
              <w:t>Stage1</w:t>
            </w:r>
          </w:p>
        </w:tc>
        <w:tc>
          <w:tcPr>
            <w:tcW w:w="3629" w:type="dxa"/>
            <w:tcBorders>
              <w:top w:val="single" w:sz="4" w:space="0" w:color="auto"/>
              <w:bottom w:val="single" w:sz="4" w:space="0" w:color="auto"/>
              <w:right w:val="single" w:sz="4" w:space="0" w:color="auto"/>
            </w:tcBorders>
          </w:tcPr>
          <w:p w14:paraId="54945018" w14:textId="77777777" w:rsidR="00880312" w:rsidRPr="001278ED" w:rsidRDefault="00880312" w:rsidP="00DE7639">
            <w:pPr>
              <w:spacing w:after="0" w:line="240" w:lineRule="auto"/>
              <w:rPr>
                <w:rFonts w:ascii="Times New Roman" w:eastAsia="DengXian" w:hAnsi="Times New Roman" w:cs="Times New Roman"/>
                <w:b/>
                <w:bCs/>
                <w:smallCaps/>
                <w:sz w:val="20"/>
                <w:szCs w:val="20"/>
              </w:rPr>
            </w:pPr>
            <w:r w:rsidRPr="001278ED">
              <w:rPr>
                <w:rFonts w:ascii="Times New Roman" w:eastAsia="DengXian" w:hAnsi="Times New Roman" w:cs="Times New Roman"/>
                <w:b/>
                <w:bCs/>
                <w:smallCaps/>
                <w:sz w:val="20"/>
                <w:szCs w:val="20"/>
              </w:rPr>
              <w:t>Stage2</w:t>
            </w:r>
          </w:p>
        </w:tc>
      </w:tr>
      <w:tr w:rsidR="00880312" w:rsidRPr="00197BB6" w14:paraId="578A1E72" w14:textId="77777777" w:rsidTr="0072228F">
        <w:trPr>
          <w:trHeight w:hRule="exact" w:val="418"/>
        </w:trPr>
        <w:tc>
          <w:tcPr>
            <w:tcW w:w="3025" w:type="dxa"/>
            <w:tcBorders>
              <w:top w:val="single" w:sz="4" w:space="0" w:color="auto"/>
              <w:left w:val="single" w:sz="4" w:space="0" w:color="auto"/>
              <w:bottom w:val="single" w:sz="4" w:space="0" w:color="auto"/>
            </w:tcBorders>
          </w:tcPr>
          <w:p w14:paraId="7B19DC22" w14:textId="77777777" w:rsidR="00880312" w:rsidRPr="001278ED" w:rsidRDefault="00880312" w:rsidP="00DE7639">
            <w:pPr>
              <w:spacing w:after="0" w:line="240" w:lineRule="auto"/>
              <w:rPr>
                <w:rFonts w:ascii="Times New Roman" w:eastAsia="DengXian" w:hAnsi="Times New Roman" w:cs="Times New Roman"/>
                <w:smallCaps/>
                <w:sz w:val="20"/>
                <w:szCs w:val="20"/>
                <w:u w:val="single"/>
              </w:rPr>
            </w:pPr>
          </w:p>
        </w:tc>
        <w:tc>
          <w:tcPr>
            <w:tcW w:w="3025" w:type="dxa"/>
            <w:tcBorders>
              <w:top w:val="single" w:sz="4" w:space="0" w:color="auto"/>
              <w:bottom w:val="single" w:sz="4" w:space="0" w:color="auto"/>
            </w:tcBorders>
          </w:tcPr>
          <w:p w14:paraId="2A1EF139" w14:textId="77777777" w:rsidR="00880312" w:rsidRPr="001278ED" w:rsidRDefault="00880312" w:rsidP="00DE7639">
            <w:pPr>
              <w:spacing w:after="0" w:line="240" w:lineRule="auto"/>
              <w:rPr>
                <w:rFonts w:ascii="Times New Roman" w:eastAsia="DengXian" w:hAnsi="Times New Roman" w:cs="Times New Roman"/>
                <w:b/>
                <w:bCs/>
                <w:smallCaps/>
                <w:sz w:val="20"/>
                <w:szCs w:val="20"/>
              </w:rPr>
            </w:pPr>
            <w:r w:rsidRPr="001278ED">
              <w:rPr>
                <w:rFonts w:ascii="Times New Roman" w:eastAsia="DengXian" w:hAnsi="Times New Roman" w:cs="Times New Roman"/>
                <w:b/>
                <w:bCs/>
                <w:smallCaps/>
                <w:sz w:val="20"/>
                <w:szCs w:val="20"/>
              </w:rPr>
              <w:t>Female CRO_Presence</w:t>
            </w:r>
          </w:p>
        </w:tc>
        <w:tc>
          <w:tcPr>
            <w:tcW w:w="3629" w:type="dxa"/>
            <w:tcBorders>
              <w:top w:val="single" w:sz="4" w:space="0" w:color="auto"/>
              <w:bottom w:val="single" w:sz="4" w:space="0" w:color="auto"/>
              <w:right w:val="single" w:sz="4" w:space="0" w:color="auto"/>
            </w:tcBorders>
          </w:tcPr>
          <w:p w14:paraId="0018EEB4" w14:textId="77777777" w:rsidR="00880312" w:rsidRPr="001278ED" w:rsidRDefault="00880312" w:rsidP="00DE7639">
            <w:pPr>
              <w:spacing w:after="0" w:line="240" w:lineRule="auto"/>
              <w:rPr>
                <w:rFonts w:ascii="Times New Roman" w:eastAsia="DengXian" w:hAnsi="Times New Roman" w:cs="Times New Roman"/>
                <w:b/>
                <w:bCs/>
                <w:smallCaps/>
                <w:sz w:val="20"/>
                <w:szCs w:val="20"/>
              </w:rPr>
            </w:pPr>
            <w:r w:rsidRPr="001278ED">
              <w:rPr>
                <w:rFonts w:ascii="Times New Roman" w:eastAsia="DengXian" w:hAnsi="Times New Roman" w:cs="Times New Roman"/>
                <w:b/>
                <w:bCs/>
                <w:smallCaps/>
                <w:sz w:val="20"/>
                <w:szCs w:val="20"/>
              </w:rPr>
              <w:t>Aggregate Risk</w:t>
            </w:r>
          </w:p>
        </w:tc>
      </w:tr>
      <w:tr w:rsidR="00880312" w:rsidRPr="00197BB6" w14:paraId="6F54D8DC" w14:textId="77777777" w:rsidTr="0072228F">
        <w:trPr>
          <w:trHeight w:val="456"/>
        </w:trPr>
        <w:tc>
          <w:tcPr>
            <w:tcW w:w="3025" w:type="dxa"/>
            <w:tcBorders>
              <w:top w:val="single" w:sz="4" w:space="0" w:color="auto"/>
              <w:left w:val="single" w:sz="4" w:space="0" w:color="auto"/>
              <w:bottom w:val="single" w:sz="4" w:space="0" w:color="auto"/>
            </w:tcBorders>
          </w:tcPr>
          <w:p w14:paraId="747C7F72"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CRO_Industry</w:t>
            </w:r>
          </w:p>
        </w:tc>
        <w:tc>
          <w:tcPr>
            <w:tcW w:w="3025" w:type="dxa"/>
            <w:tcBorders>
              <w:top w:val="single" w:sz="4" w:space="0" w:color="auto"/>
              <w:bottom w:val="single" w:sz="4" w:space="0" w:color="auto"/>
            </w:tcBorders>
          </w:tcPr>
          <w:p w14:paraId="67323DEF" w14:textId="73E24356"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0.008*</w:t>
            </w:r>
            <w:r w:rsidR="0072228F">
              <w:rPr>
                <w:rFonts w:ascii="Times New Roman" w:eastAsia="DengXian" w:hAnsi="Times New Roman" w:cs="Times New Roman"/>
                <w:sz w:val="20"/>
                <w:szCs w:val="20"/>
              </w:rPr>
              <w:t>*</w:t>
            </w:r>
          </w:p>
          <w:p w14:paraId="0D7EEE0B" w14:textId="1B6998EC"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72228F">
              <w:rPr>
                <w:rFonts w:ascii="Times New Roman" w:eastAsia="DengXian" w:hAnsi="Times New Roman" w:cs="Times New Roman"/>
                <w:sz w:val="20"/>
                <w:szCs w:val="20"/>
              </w:rPr>
              <w:t>3</w:t>
            </w:r>
            <w:r w:rsidRPr="001278ED">
              <w:rPr>
                <w:rFonts w:ascii="Times New Roman" w:eastAsia="DengXian" w:hAnsi="Times New Roman" w:cs="Times New Roman"/>
                <w:sz w:val="20"/>
                <w:szCs w:val="20"/>
              </w:rPr>
              <w:t>5)</w:t>
            </w:r>
          </w:p>
        </w:tc>
        <w:tc>
          <w:tcPr>
            <w:tcW w:w="3629" w:type="dxa"/>
            <w:tcBorders>
              <w:top w:val="single" w:sz="4" w:space="0" w:color="auto"/>
              <w:bottom w:val="single" w:sz="4" w:space="0" w:color="auto"/>
              <w:right w:val="single" w:sz="4" w:space="0" w:color="auto"/>
            </w:tcBorders>
          </w:tcPr>
          <w:p w14:paraId="597EC4E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72228F" w:rsidRPr="00197BB6" w14:paraId="5A38E18E" w14:textId="77777777" w:rsidTr="0072228F">
        <w:trPr>
          <w:trHeight w:val="456"/>
        </w:trPr>
        <w:tc>
          <w:tcPr>
            <w:tcW w:w="3025" w:type="dxa"/>
            <w:tcBorders>
              <w:top w:val="single" w:sz="4" w:space="0" w:color="auto"/>
              <w:left w:val="single" w:sz="4" w:space="0" w:color="auto"/>
              <w:bottom w:val="single" w:sz="4" w:space="0" w:color="auto"/>
            </w:tcBorders>
          </w:tcPr>
          <w:p w14:paraId="407FD9C0" w14:textId="13F81F60" w:rsidR="0072228F"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Female CRO Fitted</w:t>
            </w:r>
          </w:p>
        </w:tc>
        <w:tc>
          <w:tcPr>
            <w:tcW w:w="3025" w:type="dxa"/>
            <w:tcBorders>
              <w:top w:val="single" w:sz="4" w:space="0" w:color="auto"/>
              <w:bottom w:val="single" w:sz="4" w:space="0" w:color="auto"/>
            </w:tcBorders>
          </w:tcPr>
          <w:p w14:paraId="03D17531" w14:textId="77777777" w:rsidR="0072228F"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3629" w:type="dxa"/>
            <w:tcBorders>
              <w:top w:val="single" w:sz="4" w:space="0" w:color="auto"/>
              <w:bottom w:val="single" w:sz="4" w:space="0" w:color="auto"/>
              <w:right w:val="single" w:sz="4" w:space="0" w:color="auto"/>
            </w:tcBorders>
          </w:tcPr>
          <w:p w14:paraId="55F1FE46" w14:textId="77777777" w:rsidR="0072228F"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0.127***</w:t>
            </w:r>
          </w:p>
          <w:p w14:paraId="1589957F" w14:textId="509A4433" w:rsidR="0072228F"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(0.039)</w:t>
            </w:r>
          </w:p>
        </w:tc>
      </w:tr>
      <w:tr w:rsidR="00880312" w:rsidRPr="00197BB6" w14:paraId="193B4B2D" w14:textId="77777777" w:rsidTr="0072228F">
        <w:trPr>
          <w:trHeight w:val="456"/>
        </w:trPr>
        <w:tc>
          <w:tcPr>
            <w:tcW w:w="3025" w:type="dxa"/>
            <w:tcBorders>
              <w:top w:val="single" w:sz="4" w:space="0" w:color="auto"/>
              <w:left w:val="single" w:sz="4" w:space="0" w:color="auto"/>
              <w:bottom w:val="single" w:sz="4" w:space="0" w:color="auto"/>
            </w:tcBorders>
          </w:tcPr>
          <w:p w14:paraId="2510754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Board Independence (%)</w:t>
            </w:r>
          </w:p>
        </w:tc>
        <w:tc>
          <w:tcPr>
            <w:tcW w:w="3025" w:type="dxa"/>
            <w:tcBorders>
              <w:top w:val="single" w:sz="4" w:space="0" w:color="auto"/>
              <w:bottom w:val="single" w:sz="4" w:space="0" w:color="auto"/>
            </w:tcBorders>
          </w:tcPr>
          <w:p w14:paraId="0370A461"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0.042</w:t>
            </w:r>
          </w:p>
          <w:p w14:paraId="135EC075"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(0.070)</w:t>
            </w:r>
          </w:p>
        </w:tc>
        <w:tc>
          <w:tcPr>
            <w:tcW w:w="3629" w:type="dxa"/>
            <w:tcBorders>
              <w:top w:val="single" w:sz="4" w:space="0" w:color="auto"/>
              <w:bottom w:val="single" w:sz="4" w:space="0" w:color="auto"/>
              <w:right w:val="single" w:sz="4" w:space="0" w:color="auto"/>
            </w:tcBorders>
          </w:tcPr>
          <w:p w14:paraId="350A0A38" w14:textId="773EB6FD"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0.023</w:t>
            </w:r>
          </w:p>
          <w:p w14:paraId="5D36C548" w14:textId="7F9BEF15"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E533A3">
              <w:rPr>
                <w:rFonts w:ascii="Times New Roman" w:eastAsia="DengXian" w:hAnsi="Times New Roman" w:cs="Times New Roman"/>
                <w:sz w:val="20"/>
                <w:szCs w:val="20"/>
              </w:rPr>
              <w:t>90</w:t>
            </w:r>
            <w:r w:rsidRPr="001278ED">
              <w:rPr>
                <w:rFonts w:ascii="Times New Roman" w:eastAsia="DengXian" w:hAnsi="Times New Roman" w:cs="Times New Roman"/>
                <w:sz w:val="20"/>
                <w:szCs w:val="20"/>
              </w:rPr>
              <w:t>)</w:t>
            </w:r>
          </w:p>
        </w:tc>
      </w:tr>
      <w:tr w:rsidR="00880312" w:rsidRPr="00197BB6" w14:paraId="4A2392DE" w14:textId="77777777" w:rsidTr="0072228F">
        <w:trPr>
          <w:trHeight w:val="317"/>
        </w:trPr>
        <w:tc>
          <w:tcPr>
            <w:tcW w:w="3025" w:type="dxa"/>
            <w:tcBorders>
              <w:top w:val="single" w:sz="4" w:space="0" w:color="auto"/>
              <w:left w:val="single" w:sz="4" w:space="0" w:color="auto"/>
              <w:bottom w:val="single" w:sz="4" w:space="0" w:color="auto"/>
            </w:tcBorders>
          </w:tcPr>
          <w:p w14:paraId="12BFC60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Board Size</w:t>
            </w:r>
          </w:p>
        </w:tc>
        <w:tc>
          <w:tcPr>
            <w:tcW w:w="3025" w:type="dxa"/>
            <w:tcBorders>
              <w:top w:val="single" w:sz="4" w:space="0" w:color="auto"/>
              <w:bottom w:val="single" w:sz="4" w:space="0" w:color="auto"/>
            </w:tcBorders>
          </w:tcPr>
          <w:p w14:paraId="621CDBB9"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-0.032</w:t>
            </w:r>
          </w:p>
          <w:p w14:paraId="0826389A"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(0.036)</w:t>
            </w:r>
          </w:p>
        </w:tc>
        <w:tc>
          <w:tcPr>
            <w:tcW w:w="3629" w:type="dxa"/>
            <w:tcBorders>
              <w:top w:val="single" w:sz="4" w:space="0" w:color="auto"/>
              <w:bottom w:val="single" w:sz="4" w:space="0" w:color="auto"/>
              <w:right w:val="single" w:sz="4" w:space="0" w:color="auto"/>
            </w:tcBorders>
          </w:tcPr>
          <w:p w14:paraId="3D56311B" w14:textId="71A03E09" w:rsidR="00880312" w:rsidRPr="001278ED" w:rsidRDefault="00E533A3"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w:t>
            </w:r>
            <w:r w:rsidR="00880312" w:rsidRPr="001278ED">
              <w:rPr>
                <w:rFonts w:ascii="Times New Roman" w:eastAsia="DengXian" w:hAnsi="Times New Roman" w:cs="Times New Roman"/>
                <w:sz w:val="20"/>
                <w:szCs w:val="20"/>
              </w:rPr>
              <w:t>0.002</w:t>
            </w:r>
            <w:r>
              <w:rPr>
                <w:rFonts w:ascii="Times New Roman" w:eastAsia="DengXian" w:hAnsi="Times New Roman" w:cs="Times New Roman"/>
                <w:sz w:val="20"/>
                <w:szCs w:val="20"/>
              </w:rPr>
              <w:t>***</w:t>
            </w:r>
          </w:p>
          <w:p w14:paraId="2EA6A563" w14:textId="4D6B78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880312" w:rsidRPr="00197BB6" w14:paraId="21EA5F95" w14:textId="77777777" w:rsidTr="0072228F">
        <w:trPr>
          <w:trHeight w:val="456"/>
        </w:trPr>
        <w:tc>
          <w:tcPr>
            <w:tcW w:w="3025" w:type="dxa"/>
            <w:tcBorders>
              <w:top w:val="single" w:sz="4" w:space="0" w:color="auto"/>
              <w:left w:val="single" w:sz="4" w:space="0" w:color="auto"/>
              <w:bottom w:val="single" w:sz="4" w:space="0" w:color="auto"/>
            </w:tcBorders>
          </w:tcPr>
          <w:p w14:paraId="51C62890"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CEO Duality</w:t>
            </w:r>
          </w:p>
        </w:tc>
        <w:tc>
          <w:tcPr>
            <w:tcW w:w="3025" w:type="dxa"/>
            <w:tcBorders>
              <w:top w:val="single" w:sz="4" w:space="0" w:color="auto"/>
              <w:bottom w:val="single" w:sz="4" w:space="0" w:color="auto"/>
            </w:tcBorders>
          </w:tcPr>
          <w:p w14:paraId="3A0EF4F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-0.013</w:t>
            </w:r>
          </w:p>
          <w:p w14:paraId="6AD809E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(0.017)</w:t>
            </w:r>
          </w:p>
        </w:tc>
        <w:tc>
          <w:tcPr>
            <w:tcW w:w="3629" w:type="dxa"/>
            <w:tcBorders>
              <w:top w:val="single" w:sz="4" w:space="0" w:color="auto"/>
              <w:bottom w:val="single" w:sz="4" w:space="0" w:color="auto"/>
              <w:right w:val="single" w:sz="4" w:space="0" w:color="auto"/>
            </w:tcBorders>
          </w:tcPr>
          <w:p w14:paraId="7D00FE3E"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2A267F32"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r>
      <w:tr w:rsidR="00880312" w:rsidRPr="00197BB6" w14:paraId="3B8422D0" w14:textId="77777777" w:rsidTr="0072228F">
        <w:trPr>
          <w:trHeight w:val="456"/>
        </w:trPr>
        <w:tc>
          <w:tcPr>
            <w:tcW w:w="3025" w:type="dxa"/>
            <w:tcBorders>
              <w:top w:val="single" w:sz="4" w:space="0" w:color="auto"/>
              <w:left w:val="single" w:sz="4" w:space="0" w:color="auto"/>
              <w:bottom w:val="single" w:sz="4" w:space="0" w:color="auto"/>
            </w:tcBorders>
          </w:tcPr>
          <w:p w14:paraId="3761965F"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CEO Compensation</w:t>
            </w:r>
          </w:p>
        </w:tc>
        <w:tc>
          <w:tcPr>
            <w:tcW w:w="3025" w:type="dxa"/>
            <w:tcBorders>
              <w:top w:val="single" w:sz="4" w:space="0" w:color="auto"/>
              <w:bottom w:val="single" w:sz="4" w:space="0" w:color="auto"/>
            </w:tcBorders>
          </w:tcPr>
          <w:p w14:paraId="35D279AD"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6692C06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(0.008)</w:t>
            </w:r>
          </w:p>
        </w:tc>
        <w:tc>
          <w:tcPr>
            <w:tcW w:w="3629" w:type="dxa"/>
            <w:tcBorders>
              <w:top w:val="single" w:sz="4" w:space="0" w:color="auto"/>
              <w:bottom w:val="single" w:sz="4" w:space="0" w:color="auto"/>
              <w:right w:val="single" w:sz="4" w:space="0" w:color="auto"/>
            </w:tcBorders>
          </w:tcPr>
          <w:p w14:paraId="26EC387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4F3EE92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197BB6" w14:paraId="3ADEAB6F" w14:textId="77777777" w:rsidTr="0072228F">
        <w:trPr>
          <w:trHeight w:val="456"/>
        </w:trPr>
        <w:tc>
          <w:tcPr>
            <w:tcW w:w="3025" w:type="dxa"/>
            <w:tcBorders>
              <w:top w:val="single" w:sz="4" w:space="0" w:color="auto"/>
              <w:left w:val="single" w:sz="4" w:space="0" w:color="auto"/>
              <w:bottom w:val="single" w:sz="4" w:space="0" w:color="auto"/>
            </w:tcBorders>
          </w:tcPr>
          <w:p w14:paraId="573859A2"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St Borrowing/TA</w:t>
            </w:r>
          </w:p>
        </w:tc>
        <w:tc>
          <w:tcPr>
            <w:tcW w:w="3025" w:type="dxa"/>
            <w:tcBorders>
              <w:top w:val="single" w:sz="4" w:space="0" w:color="auto"/>
              <w:bottom w:val="single" w:sz="4" w:space="0" w:color="auto"/>
            </w:tcBorders>
          </w:tcPr>
          <w:p w14:paraId="27D36E0D"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0.162</w:t>
            </w:r>
          </w:p>
          <w:p w14:paraId="7531A629"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(0.301)</w:t>
            </w:r>
          </w:p>
        </w:tc>
        <w:tc>
          <w:tcPr>
            <w:tcW w:w="3629" w:type="dxa"/>
            <w:tcBorders>
              <w:top w:val="single" w:sz="4" w:space="0" w:color="auto"/>
              <w:bottom w:val="single" w:sz="4" w:space="0" w:color="auto"/>
              <w:right w:val="single" w:sz="4" w:space="0" w:color="auto"/>
            </w:tcBorders>
          </w:tcPr>
          <w:p w14:paraId="0CC07101"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0.063*</w:t>
            </w:r>
          </w:p>
          <w:p w14:paraId="4DBBDB73"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(0.039)</w:t>
            </w:r>
          </w:p>
        </w:tc>
      </w:tr>
      <w:tr w:rsidR="00880312" w:rsidRPr="00197BB6" w14:paraId="7FC7C9BA" w14:textId="77777777" w:rsidTr="0072228F">
        <w:trPr>
          <w:trHeight w:val="456"/>
        </w:trPr>
        <w:tc>
          <w:tcPr>
            <w:tcW w:w="3025" w:type="dxa"/>
            <w:tcBorders>
              <w:top w:val="single" w:sz="4" w:space="0" w:color="auto"/>
              <w:left w:val="single" w:sz="4" w:space="0" w:color="auto"/>
              <w:bottom w:val="single" w:sz="4" w:space="0" w:color="auto"/>
            </w:tcBorders>
          </w:tcPr>
          <w:p w14:paraId="0B63A74E"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Bad Loans/TA</w:t>
            </w:r>
          </w:p>
        </w:tc>
        <w:tc>
          <w:tcPr>
            <w:tcW w:w="3025" w:type="dxa"/>
            <w:tcBorders>
              <w:top w:val="single" w:sz="4" w:space="0" w:color="auto"/>
              <w:bottom w:val="single" w:sz="4" w:space="0" w:color="auto"/>
            </w:tcBorders>
          </w:tcPr>
          <w:p w14:paraId="091616F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1.164*</w:t>
            </w:r>
          </w:p>
          <w:p w14:paraId="2F7C652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(0.633)</w:t>
            </w:r>
          </w:p>
        </w:tc>
        <w:tc>
          <w:tcPr>
            <w:tcW w:w="3629" w:type="dxa"/>
            <w:tcBorders>
              <w:top w:val="single" w:sz="4" w:space="0" w:color="auto"/>
              <w:bottom w:val="single" w:sz="4" w:space="0" w:color="auto"/>
              <w:right w:val="single" w:sz="4" w:space="0" w:color="auto"/>
            </w:tcBorders>
          </w:tcPr>
          <w:p w14:paraId="5240D445"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0.044</w:t>
            </w:r>
          </w:p>
          <w:p w14:paraId="1C1C2BC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(0.106)</w:t>
            </w:r>
          </w:p>
        </w:tc>
      </w:tr>
      <w:tr w:rsidR="00880312" w:rsidRPr="00197BB6" w14:paraId="39BC8B30" w14:textId="77777777" w:rsidTr="0072228F">
        <w:trPr>
          <w:trHeight w:val="456"/>
        </w:trPr>
        <w:tc>
          <w:tcPr>
            <w:tcW w:w="3025" w:type="dxa"/>
            <w:tcBorders>
              <w:top w:val="single" w:sz="4" w:space="0" w:color="auto"/>
              <w:left w:val="single" w:sz="4" w:space="0" w:color="auto"/>
              <w:bottom w:val="single" w:sz="4" w:space="0" w:color="auto"/>
            </w:tcBorders>
          </w:tcPr>
          <w:p w14:paraId="2E92E85F"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Tier1 Ratio</w:t>
            </w:r>
          </w:p>
        </w:tc>
        <w:tc>
          <w:tcPr>
            <w:tcW w:w="3025" w:type="dxa"/>
            <w:tcBorders>
              <w:top w:val="single" w:sz="4" w:space="0" w:color="auto"/>
              <w:bottom w:val="single" w:sz="4" w:space="0" w:color="auto"/>
            </w:tcBorders>
          </w:tcPr>
          <w:p w14:paraId="54E94B7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150114F6"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c>
          <w:tcPr>
            <w:tcW w:w="3629" w:type="dxa"/>
            <w:tcBorders>
              <w:top w:val="single" w:sz="4" w:space="0" w:color="auto"/>
              <w:bottom w:val="single" w:sz="4" w:space="0" w:color="auto"/>
              <w:right w:val="single" w:sz="4" w:space="0" w:color="auto"/>
            </w:tcBorders>
          </w:tcPr>
          <w:p w14:paraId="658DD717" w14:textId="7141DBE9"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5A02CD">
              <w:rPr>
                <w:rFonts w:ascii="Times New Roman" w:eastAsia="DengXian" w:hAnsi="Times New Roman" w:cs="Times New Roman"/>
                <w:sz w:val="20"/>
                <w:szCs w:val="20"/>
              </w:rPr>
              <w:t>*</w:t>
            </w:r>
          </w:p>
          <w:p w14:paraId="0D817044" w14:textId="3F99CCDE"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880312" w:rsidRPr="00197BB6" w14:paraId="79CECE59" w14:textId="77777777" w:rsidTr="0072228F">
        <w:trPr>
          <w:trHeight w:val="456"/>
        </w:trPr>
        <w:tc>
          <w:tcPr>
            <w:tcW w:w="3025" w:type="dxa"/>
            <w:tcBorders>
              <w:top w:val="single" w:sz="4" w:space="0" w:color="auto"/>
              <w:left w:val="single" w:sz="4" w:space="0" w:color="auto"/>
              <w:bottom w:val="single" w:sz="4" w:space="0" w:color="auto"/>
            </w:tcBorders>
          </w:tcPr>
          <w:p w14:paraId="113489E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Firm Size</w:t>
            </w:r>
          </w:p>
        </w:tc>
        <w:tc>
          <w:tcPr>
            <w:tcW w:w="3025" w:type="dxa"/>
            <w:tcBorders>
              <w:top w:val="single" w:sz="4" w:space="0" w:color="auto"/>
              <w:bottom w:val="single" w:sz="4" w:space="0" w:color="auto"/>
            </w:tcBorders>
          </w:tcPr>
          <w:p w14:paraId="279B381D"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0.008*</w:t>
            </w:r>
          </w:p>
          <w:p w14:paraId="08C4782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tc>
        <w:tc>
          <w:tcPr>
            <w:tcW w:w="3629" w:type="dxa"/>
            <w:tcBorders>
              <w:top w:val="single" w:sz="4" w:space="0" w:color="auto"/>
              <w:bottom w:val="single" w:sz="4" w:space="0" w:color="auto"/>
              <w:right w:val="single" w:sz="4" w:space="0" w:color="auto"/>
            </w:tcBorders>
          </w:tcPr>
          <w:p w14:paraId="7442D5F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43178ED1"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197BB6" w14:paraId="3C26FD13" w14:textId="77777777" w:rsidTr="0072228F">
        <w:trPr>
          <w:trHeight w:val="293"/>
        </w:trPr>
        <w:tc>
          <w:tcPr>
            <w:tcW w:w="3025" w:type="dxa"/>
            <w:tcBorders>
              <w:top w:val="single" w:sz="4" w:space="0" w:color="auto"/>
              <w:left w:val="single" w:sz="4" w:space="0" w:color="auto"/>
              <w:bottom w:val="single" w:sz="4" w:space="0" w:color="auto"/>
            </w:tcBorders>
          </w:tcPr>
          <w:p w14:paraId="0DCF382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ROA</w:t>
            </w:r>
          </w:p>
        </w:tc>
        <w:tc>
          <w:tcPr>
            <w:tcW w:w="3025" w:type="dxa"/>
            <w:tcBorders>
              <w:top w:val="single" w:sz="4" w:space="0" w:color="auto"/>
              <w:bottom w:val="single" w:sz="4" w:space="0" w:color="auto"/>
            </w:tcBorders>
          </w:tcPr>
          <w:p w14:paraId="61A9E18B"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p w14:paraId="4D3E863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(0.009)</w:t>
            </w:r>
          </w:p>
        </w:tc>
        <w:tc>
          <w:tcPr>
            <w:tcW w:w="3629" w:type="dxa"/>
            <w:tcBorders>
              <w:top w:val="single" w:sz="4" w:space="0" w:color="auto"/>
              <w:bottom w:val="single" w:sz="4" w:space="0" w:color="auto"/>
              <w:right w:val="single" w:sz="4" w:space="0" w:color="auto"/>
            </w:tcBorders>
          </w:tcPr>
          <w:p w14:paraId="72B0857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78FDD02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197BB6" w14:paraId="4A27CF3F" w14:textId="77777777" w:rsidTr="0072228F">
        <w:trPr>
          <w:trHeight w:val="456"/>
        </w:trPr>
        <w:tc>
          <w:tcPr>
            <w:tcW w:w="3025" w:type="dxa"/>
            <w:tcBorders>
              <w:top w:val="single" w:sz="4" w:space="0" w:color="auto"/>
              <w:left w:val="single" w:sz="4" w:space="0" w:color="auto"/>
              <w:bottom w:val="single" w:sz="4" w:space="0" w:color="auto"/>
            </w:tcBorders>
          </w:tcPr>
          <w:p w14:paraId="3EC78F7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color w:val="000000"/>
                <w:kern w:val="24"/>
                <w:sz w:val="20"/>
                <w:szCs w:val="20"/>
              </w:rPr>
              <w:t>Constant</w:t>
            </w:r>
          </w:p>
        </w:tc>
        <w:tc>
          <w:tcPr>
            <w:tcW w:w="3025" w:type="dxa"/>
            <w:tcBorders>
              <w:top w:val="single" w:sz="4" w:space="0" w:color="auto"/>
              <w:bottom w:val="single" w:sz="4" w:space="0" w:color="auto"/>
            </w:tcBorders>
          </w:tcPr>
          <w:p w14:paraId="08D72EE9"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0.028</w:t>
            </w:r>
          </w:p>
          <w:p w14:paraId="422F44FC"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(0.142)</w:t>
            </w:r>
          </w:p>
        </w:tc>
        <w:tc>
          <w:tcPr>
            <w:tcW w:w="3629" w:type="dxa"/>
            <w:tcBorders>
              <w:top w:val="single" w:sz="4" w:space="0" w:color="auto"/>
              <w:bottom w:val="single" w:sz="4" w:space="0" w:color="auto"/>
              <w:right w:val="single" w:sz="4" w:space="0" w:color="auto"/>
            </w:tcBorders>
          </w:tcPr>
          <w:p w14:paraId="2A76550F"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0.044**</w:t>
            </w:r>
          </w:p>
          <w:p w14:paraId="18A9EE4D"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(0.018)</w:t>
            </w:r>
          </w:p>
        </w:tc>
      </w:tr>
      <w:tr w:rsidR="00880312" w:rsidRPr="00197BB6" w14:paraId="2EE9327C" w14:textId="77777777" w:rsidTr="0072228F">
        <w:trPr>
          <w:trHeight w:hRule="exact" w:val="232"/>
        </w:trPr>
        <w:tc>
          <w:tcPr>
            <w:tcW w:w="3025" w:type="dxa"/>
            <w:tcBorders>
              <w:top w:val="single" w:sz="4" w:space="0" w:color="auto"/>
              <w:left w:val="single" w:sz="4" w:space="0" w:color="auto"/>
              <w:bottom w:val="single" w:sz="4" w:space="0" w:color="auto"/>
            </w:tcBorders>
          </w:tcPr>
          <w:p w14:paraId="7446847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3025" w:type="dxa"/>
            <w:tcBorders>
              <w:top w:val="single" w:sz="4" w:space="0" w:color="auto"/>
              <w:bottom w:val="single" w:sz="4" w:space="0" w:color="auto"/>
            </w:tcBorders>
          </w:tcPr>
          <w:p w14:paraId="5054CE9A"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c>
          <w:tcPr>
            <w:tcW w:w="3629" w:type="dxa"/>
            <w:tcBorders>
              <w:top w:val="single" w:sz="4" w:space="0" w:color="auto"/>
              <w:bottom w:val="single" w:sz="4" w:space="0" w:color="auto"/>
              <w:right w:val="single" w:sz="4" w:space="0" w:color="auto"/>
            </w:tcBorders>
          </w:tcPr>
          <w:p w14:paraId="6086D012"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r>
      <w:tr w:rsidR="00880312" w:rsidRPr="00197BB6" w14:paraId="2F07AEBF" w14:textId="77777777" w:rsidTr="0072228F">
        <w:trPr>
          <w:trHeight w:hRule="exact" w:val="232"/>
        </w:trPr>
        <w:tc>
          <w:tcPr>
            <w:tcW w:w="3025" w:type="dxa"/>
            <w:tcBorders>
              <w:top w:val="single" w:sz="4" w:space="0" w:color="auto"/>
              <w:left w:val="single" w:sz="4" w:space="0" w:color="auto"/>
              <w:bottom w:val="single" w:sz="4" w:space="0" w:color="auto"/>
            </w:tcBorders>
          </w:tcPr>
          <w:p w14:paraId="434280C2"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Firm F.E.</w:t>
            </w:r>
          </w:p>
        </w:tc>
        <w:tc>
          <w:tcPr>
            <w:tcW w:w="3025" w:type="dxa"/>
            <w:tcBorders>
              <w:top w:val="single" w:sz="4" w:space="0" w:color="auto"/>
              <w:bottom w:val="single" w:sz="4" w:space="0" w:color="auto"/>
            </w:tcBorders>
          </w:tcPr>
          <w:p w14:paraId="695277C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3629" w:type="dxa"/>
            <w:tcBorders>
              <w:top w:val="single" w:sz="4" w:space="0" w:color="auto"/>
              <w:bottom w:val="single" w:sz="4" w:space="0" w:color="auto"/>
              <w:right w:val="single" w:sz="4" w:space="0" w:color="auto"/>
            </w:tcBorders>
          </w:tcPr>
          <w:p w14:paraId="1BC9FD50"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880312" w:rsidRPr="00197BB6" w14:paraId="4E5D43C9" w14:textId="77777777" w:rsidTr="0072228F">
        <w:trPr>
          <w:trHeight w:hRule="exact" w:val="232"/>
        </w:trPr>
        <w:tc>
          <w:tcPr>
            <w:tcW w:w="3025" w:type="dxa"/>
            <w:tcBorders>
              <w:top w:val="single" w:sz="4" w:space="0" w:color="auto"/>
              <w:left w:val="single" w:sz="4" w:space="0" w:color="auto"/>
              <w:bottom w:val="single" w:sz="4" w:space="0" w:color="auto"/>
            </w:tcBorders>
          </w:tcPr>
          <w:p w14:paraId="54C7903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3025" w:type="dxa"/>
            <w:tcBorders>
              <w:top w:val="single" w:sz="4" w:space="0" w:color="auto"/>
              <w:bottom w:val="single" w:sz="4" w:space="0" w:color="auto"/>
            </w:tcBorders>
          </w:tcPr>
          <w:p w14:paraId="06F40B49"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3629" w:type="dxa"/>
            <w:tcBorders>
              <w:top w:val="single" w:sz="4" w:space="0" w:color="auto"/>
              <w:bottom w:val="single" w:sz="4" w:space="0" w:color="auto"/>
              <w:right w:val="single" w:sz="4" w:space="0" w:color="auto"/>
            </w:tcBorders>
          </w:tcPr>
          <w:p w14:paraId="5B61B4AD"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880312" w:rsidRPr="00197BB6" w14:paraId="710ACCFF" w14:textId="77777777" w:rsidTr="0072228F">
        <w:trPr>
          <w:trHeight w:hRule="exact" w:val="232"/>
        </w:trPr>
        <w:tc>
          <w:tcPr>
            <w:tcW w:w="3025" w:type="dxa"/>
            <w:tcBorders>
              <w:top w:val="single" w:sz="4" w:space="0" w:color="auto"/>
              <w:left w:val="single" w:sz="4" w:space="0" w:color="auto"/>
            </w:tcBorders>
          </w:tcPr>
          <w:p w14:paraId="6AFE6848"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3025" w:type="dxa"/>
            <w:tcBorders>
              <w:top w:val="single" w:sz="4" w:space="0" w:color="auto"/>
            </w:tcBorders>
          </w:tcPr>
          <w:p w14:paraId="3CF3926F"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3629" w:type="dxa"/>
            <w:tcBorders>
              <w:top w:val="single" w:sz="4" w:space="0" w:color="auto"/>
              <w:right w:val="single" w:sz="4" w:space="0" w:color="auto"/>
            </w:tcBorders>
          </w:tcPr>
          <w:p w14:paraId="674584F6"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880312" w:rsidRPr="00197BB6" w14:paraId="49AE3D47" w14:textId="77777777" w:rsidTr="0072228F">
        <w:trPr>
          <w:trHeight w:hRule="exact" w:val="232"/>
        </w:trPr>
        <w:tc>
          <w:tcPr>
            <w:tcW w:w="3025" w:type="dxa"/>
            <w:tcBorders>
              <w:left w:val="single" w:sz="4" w:space="0" w:color="auto"/>
              <w:bottom w:val="single" w:sz="4" w:space="0" w:color="auto"/>
            </w:tcBorders>
          </w:tcPr>
          <w:p w14:paraId="4667479A"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Endogeneity Test</w:t>
            </w:r>
          </w:p>
        </w:tc>
        <w:tc>
          <w:tcPr>
            <w:tcW w:w="3025" w:type="dxa"/>
            <w:tcBorders>
              <w:bottom w:val="single" w:sz="4" w:space="0" w:color="auto"/>
            </w:tcBorders>
          </w:tcPr>
          <w:p w14:paraId="0332A741"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3629" w:type="dxa"/>
            <w:tcBorders>
              <w:bottom w:val="single" w:sz="4" w:space="0" w:color="auto"/>
              <w:right w:val="single" w:sz="4" w:space="0" w:color="auto"/>
            </w:tcBorders>
          </w:tcPr>
          <w:p w14:paraId="494726F4"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880312" w:rsidRPr="00197BB6" w14:paraId="51E3EE0E" w14:textId="77777777" w:rsidTr="0072228F">
        <w:trPr>
          <w:trHeight w:hRule="exact" w:val="449"/>
        </w:trPr>
        <w:tc>
          <w:tcPr>
            <w:tcW w:w="3025" w:type="dxa"/>
            <w:tcBorders>
              <w:top w:val="single" w:sz="4" w:space="0" w:color="auto"/>
              <w:left w:val="single" w:sz="4" w:space="0" w:color="auto"/>
              <w:bottom w:val="single" w:sz="4" w:space="0" w:color="auto"/>
            </w:tcBorders>
          </w:tcPr>
          <w:p w14:paraId="3C71A715"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Wu- Hausman F Statistics</w:t>
            </w:r>
          </w:p>
        </w:tc>
        <w:tc>
          <w:tcPr>
            <w:tcW w:w="3025" w:type="dxa"/>
            <w:tcBorders>
              <w:top w:val="single" w:sz="4" w:space="0" w:color="auto"/>
              <w:bottom w:val="single" w:sz="4" w:space="0" w:color="auto"/>
            </w:tcBorders>
          </w:tcPr>
          <w:p w14:paraId="0D41A078" w14:textId="6EDABE43" w:rsidR="0072228F"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10.70***</w:t>
            </w:r>
          </w:p>
          <w:p w14:paraId="6F23A5BF" w14:textId="5E175F55" w:rsidR="00880312"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(0.000)</w:t>
            </w:r>
          </w:p>
        </w:tc>
        <w:tc>
          <w:tcPr>
            <w:tcW w:w="3629" w:type="dxa"/>
            <w:tcBorders>
              <w:top w:val="single" w:sz="4" w:space="0" w:color="auto"/>
              <w:bottom w:val="single" w:sz="4" w:space="0" w:color="auto"/>
              <w:right w:val="single" w:sz="4" w:space="0" w:color="auto"/>
            </w:tcBorders>
          </w:tcPr>
          <w:p w14:paraId="459A776A"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880312" w:rsidRPr="00197BB6" w14:paraId="2577FFCD" w14:textId="77777777" w:rsidTr="0072228F">
        <w:trPr>
          <w:trHeight w:hRule="exact" w:val="711"/>
        </w:trPr>
        <w:tc>
          <w:tcPr>
            <w:tcW w:w="3025" w:type="dxa"/>
            <w:tcBorders>
              <w:left w:val="single" w:sz="4" w:space="0" w:color="auto"/>
              <w:bottom w:val="single" w:sz="4" w:space="0" w:color="auto"/>
            </w:tcBorders>
          </w:tcPr>
          <w:p w14:paraId="25C2D319" w14:textId="77777777" w:rsidR="00880312"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Cragg-Donald Wald F Statistics</w:t>
            </w:r>
          </w:p>
          <w:p w14:paraId="742C8D5C" w14:textId="4B1C653B" w:rsidR="0072228F"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sz w:val="20"/>
                <w:szCs w:val="20"/>
              </w:rPr>
              <w:t>Stock Yogo weak id test critical values [10%/15%]</w:t>
            </w:r>
          </w:p>
        </w:tc>
        <w:tc>
          <w:tcPr>
            <w:tcW w:w="3025" w:type="dxa"/>
            <w:tcBorders>
              <w:bottom w:val="single" w:sz="4" w:space="0" w:color="auto"/>
            </w:tcBorders>
          </w:tcPr>
          <w:p w14:paraId="6FCDAF59" w14:textId="77777777" w:rsidR="00880312"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22.02**</w:t>
            </w:r>
            <w:r w:rsidR="00880312" w:rsidRPr="001278ED">
              <w:rPr>
                <w:rFonts w:ascii="Times New Roman" w:eastAsia="DengXian" w:hAnsi="Times New Roman" w:cs="Times New Roman"/>
                <w:sz w:val="20"/>
                <w:szCs w:val="20"/>
              </w:rPr>
              <w:t>*</w:t>
            </w:r>
          </w:p>
          <w:p w14:paraId="6C380458" w14:textId="0C270889" w:rsidR="0072228F" w:rsidRPr="001278ED" w:rsidRDefault="0072228F"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16.38/8.96</w:t>
            </w:r>
          </w:p>
        </w:tc>
        <w:tc>
          <w:tcPr>
            <w:tcW w:w="3629" w:type="dxa"/>
            <w:tcBorders>
              <w:bottom w:val="single" w:sz="4" w:space="0" w:color="auto"/>
              <w:right w:val="single" w:sz="4" w:space="0" w:color="auto"/>
            </w:tcBorders>
          </w:tcPr>
          <w:p w14:paraId="3C0BA2F9"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880312" w:rsidRPr="00197BB6" w14:paraId="7D845FBB" w14:textId="77777777" w:rsidTr="00740142">
        <w:trPr>
          <w:trHeight w:hRule="exact" w:val="236"/>
        </w:trPr>
        <w:tc>
          <w:tcPr>
            <w:tcW w:w="3025" w:type="dxa"/>
            <w:tcBorders>
              <w:left w:val="single" w:sz="4" w:space="0" w:color="auto"/>
              <w:bottom w:val="single" w:sz="4" w:space="0" w:color="auto"/>
            </w:tcBorders>
          </w:tcPr>
          <w:p w14:paraId="174C0B2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lang w:val="it-IT"/>
              </w:rPr>
            </w:pPr>
            <w:r w:rsidRPr="001278ED">
              <w:rPr>
                <w:rFonts w:ascii="Times New Roman" w:eastAsia="DengXian" w:hAnsi="Times New Roman" w:cs="Times New Roman"/>
                <w:sz w:val="20"/>
                <w:szCs w:val="20"/>
                <w:lang w:val="it-IT"/>
              </w:rPr>
              <w:t>Anderson-rubin Wald Chi Square</w:t>
            </w:r>
          </w:p>
        </w:tc>
        <w:tc>
          <w:tcPr>
            <w:tcW w:w="3025" w:type="dxa"/>
            <w:tcBorders>
              <w:bottom w:val="single" w:sz="4" w:space="0" w:color="auto"/>
            </w:tcBorders>
          </w:tcPr>
          <w:p w14:paraId="5B54A5D7"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22.27**</w:t>
            </w:r>
          </w:p>
        </w:tc>
        <w:tc>
          <w:tcPr>
            <w:tcW w:w="3629" w:type="dxa"/>
            <w:tcBorders>
              <w:bottom w:val="single" w:sz="4" w:space="0" w:color="auto"/>
              <w:right w:val="single" w:sz="4" w:space="0" w:color="auto"/>
            </w:tcBorders>
          </w:tcPr>
          <w:p w14:paraId="596B1EAB" w14:textId="77777777" w:rsidR="00880312" w:rsidRPr="001278ED" w:rsidRDefault="00880312" w:rsidP="00DE7639">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bl>
    <w:p w14:paraId="40BF3A14" w14:textId="77777777" w:rsidR="00197BB6" w:rsidRPr="00197BB6" w:rsidRDefault="00197BB6" w:rsidP="00197BB6">
      <w:pPr>
        <w:jc w:val="both"/>
        <w:rPr>
          <w:rFonts w:ascii="Calibri" w:eastAsia="Times New Roman" w:hAnsi="Calibri" w:cs="Times New Roman"/>
        </w:rPr>
      </w:pPr>
    </w:p>
    <w:p w14:paraId="0A215896" w14:textId="083F4676"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73" w:name="_Toc132383485"/>
      <w:bookmarkStart w:id="74" w:name="_Toc132386099"/>
      <w:bookmarkStart w:id="75" w:name="_Toc132437291"/>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8</w:t>
      </w:r>
      <w:r w:rsidRPr="00E30E2D">
        <w:rPr>
          <w:rFonts w:ascii="Times New Roman" w:hAnsi="Times New Roman" w:cs="Times New Roman"/>
          <w:b/>
          <w:bCs/>
          <w:i w:val="0"/>
          <w:iCs w:val="0"/>
          <w:color w:val="000000" w:themeColor="text1"/>
          <w:sz w:val="28"/>
          <w:szCs w:val="28"/>
        </w:rPr>
        <w:t>.</w:t>
      </w:r>
      <w:r w:rsidR="00E30E2D">
        <w:rPr>
          <w:rFonts w:ascii="Times New Roman" w:hAnsi="Times New Roman" w:cs="Times New Roman"/>
          <w:b/>
          <w:bCs/>
          <w:i w:val="0"/>
          <w:iCs w:val="0"/>
          <w:color w:val="000000" w:themeColor="text1"/>
          <w:sz w:val="28"/>
          <w:szCs w:val="28"/>
        </w:rPr>
        <w:t xml:space="preserve"> </w:t>
      </w:r>
      <w:r w:rsidRPr="00E30E2D">
        <w:rPr>
          <w:rFonts w:ascii="Times New Roman" w:hAnsi="Times New Roman" w:cs="Times New Roman"/>
          <w:b/>
          <w:bCs/>
          <w:i w:val="0"/>
          <w:iCs w:val="0"/>
          <w:color w:val="000000" w:themeColor="text1"/>
          <w:sz w:val="28"/>
          <w:szCs w:val="28"/>
        </w:rPr>
        <w:t>Table for Propensity Score Matching</w:t>
      </w:r>
      <w:bookmarkEnd w:id="73"/>
      <w:bookmarkEnd w:id="74"/>
      <w:bookmarkEnd w:id="75"/>
    </w:p>
    <w:tbl>
      <w:tblPr>
        <w:tblpPr w:leftFromText="180" w:rightFromText="180" w:vertAnchor="page" w:horzAnchor="margin" w:tblpY="3194"/>
        <w:tblW w:w="10065" w:type="dxa"/>
        <w:tblCellMar>
          <w:left w:w="0" w:type="dxa"/>
          <w:right w:w="0" w:type="dxa"/>
        </w:tblCellMar>
        <w:tblLook w:val="04A0" w:firstRow="1" w:lastRow="0" w:firstColumn="1" w:lastColumn="0" w:noHBand="0" w:noVBand="1"/>
      </w:tblPr>
      <w:tblGrid>
        <w:gridCol w:w="2605"/>
        <w:gridCol w:w="1028"/>
        <w:gridCol w:w="828"/>
        <w:gridCol w:w="1035"/>
        <w:gridCol w:w="1050"/>
        <w:gridCol w:w="929"/>
        <w:gridCol w:w="2590"/>
      </w:tblGrid>
      <w:tr w:rsidR="00197BB6" w:rsidRPr="00197BB6" w14:paraId="18941A24" w14:textId="77777777" w:rsidTr="00DE7639">
        <w:trPr>
          <w:trHeight w:val="208"/>
        </w:trPr>
        <w:tc>
          <w:tcPr>
            <w:tcW w:w="10065" w:type="dxa"/>
            <w:gridSpan w:val="7"/>
            <w:tcMar>
              <w:top w:w="15" w:type="dxa"/>
              <w:left w:w="108" w:type="dxa"/>
              <w:bottom w:w="0" w:type="dxa"/>
              <w:right w:w="108" w:type="dxa"/>
            </w:tcMar>
          </w:tcPr>
          <w:p w14:paraId="4E11D655" w14:textId="77777777" w:rsidR="00197BB6" w:rsidRPr="00E30E2D" w:rsidRDefault="00197BB6" w:rsidP="00DE7639">
            <w:pPr>
              <w:widowControl w:val="0"/>
              <w:autoSpaceDE w:val="0"/>
              <w:autoSpaceDN w:val="0"/>
              <w:adjustRightInd w:val="0"/>
              <w:spacing w:after="0"/>
              <w:rPr>
                <w:rFonts w:ascii="Times New Roman" w:eastAsia="DengXian" w:hAnsi="Times New Roman" w:cs="Arial"/>
                <w:b/>
                <w:bCs/>
                <w:color w:val="404040"/>
                <w:spacing w:val="-10"/>
                <w:kern w:val="24"/>
                <w:sz w:val="24"/>
                <w:szCs w:val="24"/>
                <w:lang w:eastAsia="zh-CN"/>
              </w:rPr>
            </w:pPr>
            <w:r w:rsidRPr="00E30E2D">
              <w:rPr>
                <w:rFonts w:ascii="Times New Roman" w:eastAsia="DengXian" w:hAnsi="Times New Roman" w:cs="Arial"/>
                <w:b/>
                <w:bCs/>
                <w:color w:val="404040"/>
                <w:spacing w:val="-10"/>
                <w:kern w:val="24"/>
                <w:sz w:val="24"/>
                <w:szCs w:val="24"/>
                <w:lang w:eastAsia="zh-CN"/>
              </w:rPr>
              <w:t>Panel A: Balancing Table for Propensity Score Matching</w:t>
            </w:r>
          </w:p>
          <w:p w14:paraId="1D586CD9" w14:textId="3E55878F" w:rsidR="00197BB6" w:rsidRPr="001278ED" w:rsidRDefault="00197BB6" w:rsidP="00DE7639">
            <w:pPr>
              <w:spacing w:after="0"/>
              <w:rPr>
                <w:rFonts w:ascii="Times New Roman" w:eastAsia="DengXian" w:hAnsi="Times New Roman" w:cs="Arial"/>
                <w:sz w:val="20"/>
                <w:szCs w:val="20"/>
                <w:lang w:eastAsia="zh-CN"/>
              </w:rPr>
            </w:pPr>
            <w:r w:rsidRPr="001278ED">
              <w:rPr>
                <w:rFonts w:ascii="Times New Roman" w:eastAsia="DengXian" w:hAnsi="Times New Roman" w:cs="Arial"/>
                <w:sz w:val="20"/>
                <w:szCs w:val="20"/>
                <w:lang w:eastAsia="zh-CN"/>
              </w:rPr>
              <w:t>In this table, we identify the treatment group as banks with female CROs, while the control group includes banks with male CROs by employing a propensity score matching procedure. Panel A demonstrates the matching process statistics, and Panel B illustrates the estimation of regression analysis using the Propensity Score Matching sample. Standard errors are reported in parentheses. ***, **, * indicates significance at the 1, 5, 10 percent levels, respectively</w:t>
            </w:r>
          </w:p>
          <w:p w14:paraId="64547ED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b/>
                <w:bCs/>
                <w:sz w:val="20"/>
                <w:szCs w:val="20"/>
              </w:rPr>
            </w:pPr>
          </w:p>
        </w:tc>
      </w:tr>
      <w:tr w:rsidR="00197BB6" w:rsidRPr="00197BB6" w14:paraId="4AE4570B" w14:textId="77777777" w:rsidTr="00DE7639">
        <w:trPr>
          <w:trHeight w:val="208"/>
        </w:trPr>
        <w:tc>
          <w:tcPr>
            <w:tcW w:w="2605" w:type="dxa"/>
            <w:tcBorders>
              <w:bottom w:val="single" w:sz="4" w:space="0" w:color="auto"/>
            </w:tcBorders>
            <w:tcMar>
              <w:top w:w="15" w:type="dxa"/>
              <w:left w:w="108" w:type="dxa"/>
              <w:bottom w:w="0" w:type="dxa"/>
              <w:right w:w="108" w:type="dxa"/>
            </w:tcMar>
            <w:hideMark/>
          </w:tcPr>
          <w:p w14:paraId="04BB847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 </w:t>
            </w:r>
          </w:p>
        </w:tc>
        <w:tc>
          <w:tcPr>
            <w:tcW w:w="1856" w:type="dxa"/>
            <w:gridSpan w:val="2"/>
            <w:tcBorders>
              <w:bottom w:val="single" w:sz="4" w:space="0" w:color="auto"/>
            </w:tcBorders>
            <w:tcMar>
              <w:top w:w="15" w:type="dxa"/>
              <w:left w:w="108" w:type="dxa"/>
              <w:bottom w:w="0" w:type="dxa"/>
              <w:right w:w="108" w:type="dxa"/>
            </w:tcMar>
            <w:hideMark/>
          </w:tcPr>
          <w:p w14:paraId="28D665BC"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Treatment Group</w:t>
            </w:r>
          </w:p>
        </w:tc>
        <w:tc>
          <w:tcPr>
            <w:tcW w:w="2085" w:type="dxa"/>
            <w:gridSpan w:val="2"/>
            <w:tcBorders>
              <w:bottom w:val="single" w:sz="4" w:space="0" w:color="auto"/>
            </w:tcBorders>
            <w:tcMar>
              <w:top w:w="15" w:type="dxa"/>
              <w:left w:w="108" w:type="dxa"/>
              <w:bottom w:w="0" w:type="dxa"/>
              <w:right w:w="108" w:type="dxa"/>
            </w:tcMar>
            <w:hideMark/>
          </w:tcPr>
          <w:p w14:paraId="4409AB3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Control Group</w:t>
            </w:r>
          </w:p>
        </w:tc>
        <w:tc>
          <w:tcPr>
            <w:tcW w:w="929" w:type="dxa"/>
            <w:tcBorders>
              <w:bottom w:val="single" w:sz="4" w:space="0" w:color="auto"/>
            </w:tcBorders>
            <w:tcMar>
              <w:top w:w="15" w:type="dxa"/>
              <w:left w:w="108" w:type="dxa"/>
              <w:bottom w:w="0" w:type="dxa"/>
              <w:right w:w="108" w:type="dxa"/>
            </w:tcMar>
            <w:hideMark/>
          </w:tcPr>
          <w:p w14:paraId="41FA7FF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 </w:t>
            </w:r>
          </w:p>
        </w:tc>
        <w:tc>
          <w:tcPr>
            <w:tcW w:w="2590" w:type="dxa"/>
            <w:tcBorders>
              <w:bottom w:val="single" w:sz="4" w:space="0" w:color="auto"/>
            </w:tcBorders>
            <w:tcMar>
              <w:top w:w="15" w:type="dxa"/>
              <w:left w:w="108" w:type="dxa"/>
              <w:bottom w:w="0" w:type="dxa"/>
              <w:right w:w="108" w:type="dxa"/>
            </w:tcMar>
            <w:hideMark/>
          </w:tcPr>
          <w:p w14:paraId="420B69B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t-test</w:t>
            </w:r>
          </w:p>
        </w:tc>
      </w:tr>
      <w:tr w:rsidR="00197BB6" w:rsidRPr="00197BB6" w14:paraId="0CC072F8"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34EC239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 </w:t>
            </w:r>
          </w:p>
        </w:tc>
        <w:tc>
          <w:tcPr>
            <w:tcW w:w="1028" w:type="dxa"/>
            <w:tcBorders>
              <w:top w:val="single" w:sz="4" w:space="0" w:color="auto"/>
              <w:bottom w:val="single" w:sz="4" w:space="0" w:color="auto"/>
            </w:tcBorders>
            <w:tcMar>
              <w:top w:w="15" w:type="dxa"/>
              <w:left w:w="108" w:type="dxa"/>
              <w:bottom w:w="0" w:type="dxa"/>
              <w:right w:w="108" w:type="dxa"/>
            </w:tcMar>
            <w:hideMark/>
          </w:tcPr>
          <w:p w14:paraId="621EA648"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N</w:t>
            </w:r>
          </w:p>
        </w:tc>
        <w:tc>
          <w:tcPr>
            <w:tcW w:w="828" w:type="dxa"/>
            <w:tcBorders>
              <w:top w:val="single" w:sz="4" w:space="0" w:color="auto"/>
              <w:bottom w:val="single" w:sz="4" w:space="0" w:color="auto"/>
            </w:tcBorders>
            <w:tcMar>
              <w:top w:w="15" w:type="dxa"/>
              <w:left w:w="108" w:type="dxa"/>
              <w:bottom w:w="0" w:type="dxa"/>
              <w:right w:w="108" w:type="dxa"/>
            </w:tcMar>
            <w:hideMark/>
          </w:tcPr>
          <w:p w14:paraId="4CDE021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Mean</w:t>
            </w:r>
          </w:p>
        </w:tc>
        <w:tc>
          <w:tcPr>
            <w:tcW w:w="1035" w:type="dxa"/>
            <w:tcBorders>
              <w:top w:val="single" w:sz="4" w:space="0" w:color="auto"/>
              <w:bottom w:val="single" w:sz="4" w:space="0" w:color="auto"/>
            </w:tcBorders>
            <w:tcMar>
              <w:top w:w="15" w:type="dxa"/>
              <w:left w:w="108" w:type="dxa"/>
              <w:bottom w:w="0" w:type="dxa"/>
              <w:right w:w="108" w:type="dxa"/>
            </w:tcMar>
            <w:hideMark/>
          </w:tcPr>
          <w:p w14:paraId="7C039980"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N</w:t>
            </w:r>
          </w:p>
        </w:tc>
        <w:tc>
          <w:tcPr>
            <w:tcW w:w="1050" w:type="dxa"/>
            <w:tcBorders>
              <w:top w:val="single" w:sz="4" w:space="0" w:color="auto"/>
              <w:bottom w:val="single" w:sz="4" w:space="0" w:color="auto"/>
            </w:tcBorders>
            <w:tcMar>
              <w:top w:w="15" w:type="dxa"/>
              <w:left w:w="108" w:type="dxa"/>
              <w:bottom w:w="0" w:type="dxa"/>
              <w:right w:w="108" w:type="dxa"/>
            </w:tcMar>
            <w:hideMark/>
          </w:tcPr>
          <w:p w14:paraId="3124BF9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Mean</w:t>
            </w:r>
          </w:p>
        </w:tc>
        <w:tc>
          <w:tcPr>
            <w:tcW w:w="929" w:type="dxa"/>
            <w:tcBorders>
              <w:top w:val="single" w:sz="4" w:space="0" w:color="auto"/>
              <w:bottom w:val="single" w:sz="4" w:space="0" w:color="auto"/>
            </w:tcBorders>
            <w:tcMar>
              <w:top w:w="15" w:type="dxa"/>
              <w:left w:w="108" w:type="dxa"/>
              <w:bottom w:w="0" w:type="dxa"/>
              <w:right w:w="108" w:type="dxa"/>
            </w:tcMar>
            <w:hideMark/>
          </w:tcPr>
          <w:p w14:paraId="69D6892C"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%Bias</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66595937"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b/>
                <w:bCs/>
                <w:sz w:val="20"/>
                <w:szCs w:val="20"/>
              </w:rPr>
              <w:t>Treatment-Control</w:t>
            </w:r>
          </w:p>
        </w:tc>
      </w:tr>
      <w:tr w:rsidR="00197BB6" w:rsidRPr="00197BB6" w14:paraId="1E1ABC18" w14:textId="77777777" w:rsidTr="00DE7639">
        <w:trPr>
          <w:trHeight w:val="279"/>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4E073B5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Board Independence </w:t>
            </w:r>
          </w:p>
        </w:tc>
        <w:tc>
          <w:tcPr>
            <w:tcW w:w="1028" w:type="dxa"/>
            <w:tcBorders>
              <w:top w:val="single" w:sz="4" w:space="0" w:color="auto"/>
              <w:bottom w:val="single" w:sz="4" w:space="0" w:color="auto"/>
            </w:tcBorders>
            <w:tcMar>
              <w:top w:w="15" w:type="dxa"/>
              <w:left w:w="108" w:type="dxa"/>
              <w:bottom w:w="0" w:type="dxa"/>
              <w:right w:w="108" w:type="dxa"/>
            </w:tcMar>
            <w:hideMark/>
          </w:tcPr>
          <w:p w14:paraId="067CF2C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027B1C5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0.802</w:t>
            </w:r>
          </w:p>
        </w:tc>
        <w:tc>
          <w:tcPr>
            <w:tcW w:w="1035" w:type="dxa"/>
            <w:tcBorders>
              <w:top w:val="single" w:sz="4" w:space="0" w:color="auto"/>
              <w:bottom w:val="single" w:sz="4" w:space="0" w:color="auto"/>
            </w:tcBorders>
            <w:tcMar>
              <w:top w:w="15" w:type="dxa"/>
              <w:left w:w="108" w:type="dxa"/>
              <w:bottom w:w="0" w:type="dxa"/>
              <w:right w:w="108" w:type="dxa"/>
            </w:tcMar>
            <w:hideMark/>
          </w:tcPr>
          <w:p w14:paraId="47FAA067"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74E859B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0.806</w:t>
            </w:r>
          </w:p>
        </w:tc>
        <w:tc>
          <w:tcPr>
            <w:tcW w:w="929" w:type="dxa"/>
            <w:tcBorders>
              <w:top w:val="single" w:sz="4" w:space="0" w:color="auto"/>
              <w:bottom w:val="single" w:sz="4" w:space="0" w:color="auto"/>
            </w:tcBorders>
            <w:tcMar>
              <w:top w:w="15" w:type="dxa"/>
              <w:left w:w="108" w:type="dxa"/>
              <w:bottom w:w="0" w:type="dxa"/>
              <w:right w:w="108" w:type="dxa"/>
            </w:tcMar>
            <w:hideMark/>
          </w:tcPr>
          <w:p w14:paraId="10C7EC6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-2.6</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60C5C4C6"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-0.2(0.842)</w:t>
            </w:r>
          </w:p>
        </w:tc>
      </w:tr>
      <w:tr w:rsidR="00197BB6" w:rsidRPr="00197BB6" w14:paraId="5954062D" w14:textId="77777777" w:rsidTr="00DE7639">
        <w:trPr>
          <w:trHeight w:val="291"/>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02AEA83C"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Size</w:t>
            </w:r>
          </w:p>
        </w:tc>
        <w:tc>
          <w:tcPr>
            <w:tcW w:w="1028" w:type="dxa"/>
            <w:tcBorders>
              <w:top w:val="single" w:sz="4" w:space="0" w:color="auto"/>
              <w:bottom w:val="single" w:sz="4" w:space="0" w:color="auto"/>
            </w:tcBorders>
            <w:tcMar>
              <w:top w:w="15" w:type="dxa"/>
              <w:left w:w="108" w:type="dxa"/>
              <w:bottom w:w="0" w:type="dxa"/>
              <w:right w:w="108" w:type="dxa"/>
            </w:tcMar>
            <w:hideMark/>
          </w:tcPr>
          <w:p w14:paraId="0178AC2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0D717AB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2.512</w:t>
            </w:r>
          </w:p>
        </w:tc>
        <w:tc>
          <w:tcPr>
            <w:tcW w:w="1035" w:type="dxa"/>
            <w:tcBorders>
              <w:top w:val="single" w:sz="4" w:space="0" w:color="auto"/>
              <w:bottom w:val="single" w:sz="4" w:space="0" w:color="auto"/>
            </w:tcBorders>
            <w:tcMar>
              <w:top w:w="15" w:type="dxa"/>
              <w:left w:w="108" w:type="dxa"/>
              <w:bottom w:w="0" w:type="dxa"/>
              <w:right w:w="108" w:type="dxa"/>
            </w:tcMar>
            <w:hideMark/>
          </w:tcPr>
          <w:p w14:paraId="557E66F7"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6D40F54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2.499</w:t>
            </w:r>
          </w:p>
        </w:tc>
        <w:tc>
          <w:tcPr>
            <w:tcW w:w="929" w:type="dxa"/>
            <w:tcBorders>
              <w:top w:val="single" w:sz="4" w:space="0" w:color="auto"/>
              <w:bottom w:val="single" w:sz="4" w:space="0" w:color="auto"/>
            </w:tcBorders>
            <w:tcMar>
              <w:top w:w="15" w:type="dxa"/>
              <w:left w:w="108" w:type="dxa"/>
              <w:bottom w:w="0" w:type="dxa"/>
              <w:right w:w="108" w:type="dxa"/>
            </w:tcMar>
            <w:hideMark/>
          </w:tcPr>
          <w:p w14:paraId="700F08F2"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5.3</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0BD72FDE"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0.39(0.694)</w:t>
            </w:r>
          </w:p>
        </w:tc>
      </w:tr>
      <w:tr w:rsidR="00197BB6" w:rsidRPr="00197BB6" w14:paraId="7B7584E4"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077DE4D6"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028" w:type="dxa"/>
            <w:tcBorders>
              <w:top w:val="single" w:sz="4" w:space="0" w:color="auto"/>
              <w:bottom w:val="single" w:sz="4" w:space="0" w:color="auto"/>
            </w:tcBorders>
            <w:tcMar>
              <w:top w:w="15" w:type="dxa"/>
              <w:left w:w="108" w:type="dxa"/>
              <w:bottom w:w="0" w:type="dxa"/>
              <w:right w:w="108" w:type="dxa"/>
            </w:tcMar>
            <w:hideMark/>
          </w:tcPr>
          <w:p w14:paraId="03C09C38"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0F35C5D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0.427</w:t>
            </w:r>
          </w:p>
        </w:tc>
        <w:tc>
          <w:tcPr>
            <w:tcW w:w="1035" w:type="dxa"/>
            <w:tcBorders>
              <w:top w:val="single" w:sz="4" w:space="0" w:color="auto"/>
              <w:bottom w:val="single" w:sz="4" w:space="0" w:color="auto"/>
            </w:tcBorders>
            <w:tcMar>
              <w:top w:w="15" w:type="dxa"/>
              <w:left w:w="108" w:type="dxa"/>
              <w:bottom w:w="0" w:type="dxa"/>
              <w:right w:w="108" w:type="dxa"/>
            </w:tcMar>
            <w:hideMark/>
          </w:tcPr>
          <w:p w14:paraId="1CF3BD7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4DB881CE"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0.473</w:t>
            </w:r>
          </w:p>
        </w:tc>
        <w:tc>
          <w:tcPr>
            <w:tcW w:w="929" w:type="dxa"/>
            <w:tcBorders>
              <w:top w:val="single" w:sz="4" w:space="0" w:color="auto"/>
              <w:bottom w:val="single" w:sz="4" w:space="0" w:color="auto"/>
            </w:tcBorders>
            <w:tcMar>
              <w:top w:w="15" w:type="dxa"/>
              <w:left w:w="108" w:type="dxa"/>
              <w:bottom w:w="0" w:type="dxa"/>
              <w:right w:w="108" w:type="dxa"/>
            </w:tcMar>
            <w:hideMark/>
          </w:tcPr>
          <w:p w14:paraId="3A58942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-9.1</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7339621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-0.68(0.500)</w:t>
            </w:r>
          </w:p>
        </w:tc>
      </w:tr>
      <w:tr w:rsidR="00197BB6" w:rsidRPr="00197BB6" w14:paraId="20E55EC0"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66780BF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028" w:type="dxa"/>
            <w:tcBorders>
              <w:top w:val="single" w:sz="4" w:space="0" w:color="auto"/>
              <w:bottom w:val="single" w:sz="4" w:space="0" w:color="auto"/>
            </w:tcBorders>
            <w:tcMar>
              <w:top w:w="15" w:type="dxa"/>
              <w:left w:w="108" w:type="dxa"/>
              <w:bottom w:w="0" w:type="dxa"/>
              <w:right w:w="108" w:type="dxa"/>
            </w:tcMar>
            <w:hideMark/>
          </w:tcPr>
          <w:p w14:paraId="26712881"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5E2BA1CC"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6.502</w:t>
            </w:r>
          </w:p>
        </w:tc>
        <w:tc>
          <w:tcPr>
            <w:tcW w:w="1035" w:type="dxa"/>
            <w:tcBorders>
              <w:top w:val="single" w:sz="4" w:space="0" w:color="auto"/>
              <w:bottom w:val="single" w:sz="4" w:space="0" w:color="auto"/>
            </w:tcBorders>
            <w:tcMar>
              <w:top w:w="15" w:type="dxa"/>
              <w:left w:w="108" w:type="dxa"/>
              <w:bottom w:w="0" w:type="dxa"/>
              <w:right w:w="108" w:type="dxa"/>
            </w:tcMar>
            <w:hideMark/>
          </w:tcPr>
          <w:p w14:paraId="4AEAED2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31987CB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6.585</w:t>
            </w:r>
          </w:p>
        </w:tc>
        <w:tc>
          <w:tcPr>
            <w:tcW w:w="929" w:type="dxa"/>
            <w:tcBorders>
              <w:top w:val="single" w:sz="4" w:space="0" w:color="auto"/>
              <w:bottom w:val="single" w:sz="4" w:space="0" w:color="auto"/>
            </w:tcBorders>
            <w:tcMar>
              <w:top w:w="15" w:type="dxa"/>
              <w:left w:w="108" w:type="dxa"/>
              <w:bottom w:w="0" w:type="dxa"/>
              <w:right w:w="108" w:type="dxa"/>
            </w:tcMar>
            <w:hideMark/>
          </w:tcPr>
          <w:p w14:paraId="41F5048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-8.6</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6FBC2BB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-0.70(0.486)</w:t>
            </w:r>
          </w:p>
        </w:tc>
      </w:tr>
      <w:tr w:rsidR="00197BB6" w:rsidRPr="00197BB6" w14:paraId="27511058"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1A70B4C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St Borrowing/TA</w:t>
            </w:r>
          </w:p>
        </w:tc>
        <w:tc>
          <w:tcPr>
            <w:tcW w:w="1028" w:type="dxa"/>
            <w:tcBorders>
              <w:top w:val="single" w:sz="4" w:space="0" w:color="auto"/>
              <w:bottom w:val="single" w:sz="4" w:space="0" w:color="auto"/>
            </w:tcBorders>
            <w:tcMar>
              <w:top w:w="15" w:type="dxa"/>
              <w:left w:w="108" w:type="dxa"/>
              <w:bottom w:w="0" w:type="dxa"/>
              <w:right w:w="108" w:type="dxa"/>
            </w:tcMar>
            <w:hideMark/>
          </w:tcPr>
          <w:p w14:paraId="70D5207E"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3B4C83E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0.015</w:t>
            </w:r>
          </w:p>
        </w:tc>
        <w:tc>
          <w:tcPr>
            <w:tcW w:w="1035" w:type="dxa"/>
            <w:tcBorders>
              <w:top w:val="single" w:sz="4" w:space="0" w:color="auto"/>
              <w:bottom w:val="single" w:sz="4" w:space="0" w:color="auto"/>
            </w:tcBorders>
            <w:tcMar>
              <w:top w:w="15" w:type="dxa"/>
              <w:left w:w="108" w:type="dxa"/>
              <w:bottom w:w="0" w:type="dxa"/>
              <w:right w:w="108" w:type="dxa"/>
            </w:tcMar>
            <w:hideMark/>
          </w:tcPr>
          <w:p w14:paraId="016DE23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6F8BCD30"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0.015</w:t>
            </w:r>
          </w:p>
        </w:tc>
        <w:tc>
          <w:tcPr>
            <w:tcW w:w="929" w:type="dxa"/>
            <w:tcBorders>
              <w:top w:val="single" w:sz="4" w:space="0" w:color="auto"/>
              <w:bottom w:val="single" w:sz="4" w:space="0" w:color="auto"/>
            </w:tcBorders>
            <w:tcMar>
              <w:top w:w="15" w:type="dxa"/>
              <w:left w:w="108" w:type="dxa"/>
              <w:bottom w:w="0" w:type="dxa"/>
              <w:right w:w="108" w:type="dxa"/>
            </w:tcMar>
            <w:hideMark/>
          </w:tcPr>
          <w:p w14:paraId="614BA4A5"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-0.2</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2DF83D36"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-0.02(0.987)</w:t>
            </w:r>
          </w:p>
        </w:tc>
      </w:tr>
      <w:tr w:rsidR="00197BB6" w:rsidRPr="00197BB6" w14:paraId="327C4E7C"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6BECBDA2"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Loans/TA</w:t>
            </w:r>
          </w:p>
        </w:tc>
        <w:tc>
          <w:tcPr>
            <w:tcW w:w="1028" w:type="dxa"/>
            <w:tcBorders>
              <w:top w:val="single" w:sz="4" w:space="0" w:color="auto"/>
              <w:bottom w:val="single" w:sz="4" w:space="0" w:color="auto"/>
            </w:tcBorders>
            <w:tcMar>
              <w:top w:w="15" w:type="dxa"/>
              <w:left w:w="108" w:type="dxa"/>
              <w:bottom w:w="0" w:type="dxa"/>
              <w:right w:w="108" w:type="dxa"/>
            </w:tcMar>
            <w:hideMark/>
          </w:tcPr>
          <w:p w14:paraId="7433DC7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049EDCA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0.014</w:t>
            </w:r>
          </w:p>
        </w:tc>
        <w:tc>
          <w:tcPr>
            <w:tcW w:w="1035" w:type="dxa"/>
            <w:tcBorders>
              <w:top w:val="single" w:sz="4" w:space="0" w:color="auto"/>
              <w:bottom w:val="single" w:sz="4" w:space="0" w:color="auto"/>
            </w:tcBorders>
            <w:tcMar>
              <w:top w:w="15" w:type="dxa"/>
              <w:left w:w="108" w:type="dxa"/>
              <w:bottom w:w="0" w:type="dxa"/>
              <w:right w:w="108" w:type="dxa"/>
            </w:tcMar>
            <w:hideMark/>
          </w:tcPr>
          <w:p w14:paraId="5D842838"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3207CA9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0.015</w:t>
            </w:r>
          </w:p>
        </w:tc>
        <w:tc>
          <w:tcPr>
            <w:tcW w:w="929" w:type="dxa"/>
            <w:tcBorders>
              <w:top w:val="single" w:sz="4" w:space="0" w:color="auto"/>
              <w:bottom w:val="single" w:sz="4" w:space="0" w:color="auto"/>
            </w:tcBorders>
            <w:tcMar>
              <w:top w:w="15" w:type="dxa"/>
              <w:left w:w="108" w:type="dxa"/>
              <w:bottom w:w="0" w:type="dxa"/>
              <w:right w:w="108" w:type="dxa"/>
            </w:tcMar>
            <w:hideMark/>
          </w:tcPr>
          <w:p w14:paraId="6FF4631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-0.8</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0D8B4254"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-0.05(0.957)</w:t>
            </w:r>
          </w:p>
        </w:tc>
      </w:tr>
      <w:tr w:rsidR="00197BB6" w:rsidRPr="00197BB6" w14:paraId="3FAB82DD"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65DBA6D6"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028" w:type="dxa"/>
            <w:tcBorders>
              <w:top w:val="single" w:sz="4" w:space="0" w:color="auto"/>
              <w:bottom w:val="single" w:sz="4" w:space="0" w:color="auto"/>
            </w:tcBorders>
            <w:tcMar>
              <w:top w:w="15" w:type="dxa"/>
              <w:left w:w="108" w:type="dxa"/>
              <w:bottom w:w="0" w:type="dxa"/>
              <w:right w:w="108" w:type="dxa"/>
            </w:tcMar>
            <w:hideMark/>
          </w:tcPr>
          <w:p w14:paraId="369C5DF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27CEDBF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12.158</w:t>
            </w:r>
          </w:p>
        </w:tc>
        <w:tc>
          <w:tcPr>
            <w:tcW w:w="1035" w:type="dxa"/>
            <w:tcBorders>
              <w:top w:val="single" w:sz="4" w:space="0" w:color="auto"/>
              <w:bottom w:val="single" w:sz="4" w:space="0" w:color="auto"/>
            </w:tcBorders>
            <w:tcMar>
              <w:top w:w="15" w:type="dxa"/>
              <w:left w:w="108" w:type="dxa"/>
              <w:bottom w:w="0" w:type="dxa"/>
              <w:right w:w="108" w:type="dxa"/>
            </w:tcMar>
            <w:hideMark/>
          </w:tcPr>
          <w:p w14:paraId="45D8CAB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28E6060E"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12.669</w:t>
            </w:r>
          </w:p>
        </w:tc>
        <w:tc>
          <w:tcPr>
            <w:tcW w:w="929" w:type="dxa"/>
            <w:tcBorders>
              <w:top w:val="single" w:sz="4" w:space="0" w:color="auto"/>
              <w:bottom w:val="single" w:sz="4" w:space="0" w:color="auto"/>
            </w:tcBorders>
            <w:tcMar>
              <w:top w:w="15" w:type="dxa"/>
              <w:left w:w="108" w:type="dxa"/>
              <w:bottom w:w="0" w:type="dxa"/>
              <w:right w:w="108" w:type="dxa"/>
            </w:tcMar>
            <w:hideMark/>
          </w:tcPr>
          <w:p w14:paraId="1B8321AD"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-5.1</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10AFB47B"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-0.45(0.654)</w:t>
            </w:r>
          </w:p>
        </w:tc>
      </w:tr>
      <w:tr w:rsidR="00197BB6" w:rsidRPr="00197BB6" w14:paraId="1D691D0E" w14:textId="77777777" w:rsidTr="00DE7639">
        <w:trPr>
          <w:trHeight w:val="279"/>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31C82A42"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Firm Size</w:t>
            </w:r>
          </w:p>
        </w:tc>
        <w:tc>
          <w:tcPr>
            <w:tcW w:w="1028" w:type="dxa"/>
            <w:tcBorders>
              <w:top w:val="single" w:sz="4" w:space="0" w:color="auto"/>
              <w:bottom w:val="single" w:sz="4" w:space="0" w:color="auto"/>
            </w:tcBorders>
            <w:tcMar>
              <w:top w:w="15" w:type="dxa"/>
              <w:left w:w="108" w:type="dxa"/>
              <w:bottom w:w="0" w:type="dxa"/>
              <w:right w:w="108" w:type="dxa"/>
            </w:tcMar>
            <w:hideMark/>
          </w:tcPr>
          <w:p w14:paraId="6709F4E0"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0404197C"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9.428</w:t>
            </w:r>
          </w:p>
        </w:tc>
        <w:tc>
          <w:tcPr>
            <w:tcW w:w="1035" w:type="dxa"/>
            <w:tcBorders>
              <w:top w:val="single" w:sz="4" w:space="0" w:color="auto"/>
              <w:bottom w:val="single" w:sz="4" w:space="0" w:color="auto"/>
            </w:tcBorders>
            <w:tcMar>
              <w:top w:w="15" w:type="dxa"/>
              <w:left w:w="108" w:type="dxa"/>
              <w:bottom w:w="0" w:type="dxa"/>
              <w:right w:w="108" w:type="dxa"/>
            </w:tcMar>
            <w:hideMark/>
          </w:tcPr>
          <w:p w14:paraId="2C5250F0"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6CF7C51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9.271</w:t>
            </w:r>
          </w:p>
        </w:tc>
        <w:tc>
          <w:tcPr>
            <w:tcW w:w="929" w:type="dxa"/>
            <w:tcBorders>
              <w:top w:val="single" w:sz="4" w:space="0" w:color="auto"/>
              <w:bottom w:val="single" w:sz="4" w:space="0" w:color="auto"/>
            </w:tcBorders>
            <w:tcMar>
              <w:top w:w="15" w:type="dxa"/>
              <w:left w:w="108" w:type="dxa"/>
              <w:bottom w:w="0" w:type="dxa"/>
              <w:right w:w="108" w:type="dxa"/>
            </w:tcMar>
            <w:hideMark/>
          </w:tcPr>
          <w:p w14:paraId="78506B7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9.5</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40371D3A"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0.74(0.459)</w:t>
            </w:r>
          </w:p>
        </w:tc>
      </w:tr>
      <w:tr w:rsidR="00197BB6" w:rsidRPr="00197BB6" w14:paraId="6277F3FA" w14:textId="77777777" w:rsidTr="00DE7639">
        <w:trPr>
          <w:trHeight w:val="420"/>
        </w:trPr>
        <w:tc>
          <w:tcPr>
            <w:tcW w:w="2605"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648C538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028" w:type="dxa"/>
            <w:tcBorders>
              <w:top w:val="single" w:sz="4" w:space="0" w:color="auto"/>
              <w:bottom w:val="single" w:sz="4" w:space="0" w:color="auto"/>
            </w:tcBorders>
            <w:tcMar>
              <w:top w:w="15" w:type="dxa"/>
              <w:left w:w="108" w:type="dxa"/>
              <w:bottom w:w="0" w:type="dxa"/>
              <w:right w:w="108" w:type="dxa"/>
            </w:tcMar>
            <w:hideMark/>
          </w:tcPr>
          <w:p w14:paraId="766DAA7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828" w:type="dxa"/>
            <w:tcBorders>
              <w:top w:val="single" w:sz="4" w:space="0" w:color="auto"/>
              <w:bottom w:val="single" w:sz="4" w:space="0" w:color="auto"/>
            </w:tcBorders>
            <w:tcMar>
              <w:top w:w="15" w:type="dxa"/>
              <w:left w:w="108" w:type="dxa"/>
              <w:bottom w:w="0" w:type="dxa"/>
              <w:right w:w="108" w:type="dxa"/>
            </w:tcMar>
            <w:hideMark/>
          </w:tcPr>
          <w:p w14:paraId="6831DFE3"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0.764</w:t>
            </w:r>
          </w:p>
        </w:tc>
        <w:tc>
          <w:tcPr>
            <w:tcW w:w="1035" w:type="dxa"/>
            <w:tcBorders>
              <w:top w:val="single" w:sz="4" w:space="0" w:color="auto"/>
              <w:bottom w:val="single" w:sz="4" w:space="0" w:color="auto"/>
            </w:tcBorders>
            <w:tcMar>
              <w:top w:w="15" w:type="dxa"/>
              <w:left w:w="108" w:type="dxa"/>
              <w:bottom w:w="0" w:type="dxa"/>
              <w:right w:w="108" w:type="dxa"/>
            </w:tcMar>
            <w:hideMark/>
          </w:tcPr>
          <w:p w14:paraId="5C66F216"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110</w:t>
            </w:r>
          </w:p>
        </w:tc>
        <w:tc>
          <w:tcPr>
            <w:tcW w:w="1050" w:type="dxa"/>
            <w:tcBorders>
              <w:top w:val="single" w:sz="4" w:space="0" w:color="auto"/>
              <w:bottom w:val="single" w:sz="4" w:space="0" w:color="auto"/>
            </w:tcBorders>
            <w:tcMar>
              <w:top w:w="15" w:type="dxa"/>
              <w:left w:w="108" w:type="dxa"/>
              <w:bottom w:w="0" w:type="dxa"/>
              <w:right w:w="108" w:type="dxa"/>
            </w:tcMar>
            <w:hideMark/>
          </w:tcPr>
          <w:p w14:paraId="74622209"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0.804</w:t>
            </w:r>
          </w:p>
        </w:tc>
        <w:tc>
          <w:tcPr>
            <w:tcW w:w="929" w:type="dxa"/>
            <w:tcBorders>
              <w:top w:val="single" w:sz="4" w:space="0" w:color="auto"/>
              <w:bottom w:val="single" w:sz="4" w:space="0" w:color="auto"/>
            </w:tcBorders>
            <w:tcMar>
              <w:top w:w="15" w:type="dxa"/>
              <w:left w:w="108" w:type="dxa"/>
              <w:bottom w:w="0" w:type="dxa"/>
              <w:right w:w="108" w:type="dxa"/>
            </w:tcMar>
            <w:hideMark/>
          </w:tcPr>
          <w:p w14:paraId="73C0B09F"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-3.7</w:t>
            </w:r>
          </w:p>
        </w:tc>
        <w:tc>
          <w:tcPr>
            <w:tcW w:w="259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4244BF9E" w14:textId="77777777" w:rsidR="00197BB6" w:rsidRPr="001278ED" w:rsidRDefault="00197BB6" w:rsidP="00DE7639">
            <w:pPr>
              <w:widowControl w:val="0"/>
              <w:autoSpaceDE w:val="0"/>
              <w:autoSpaceDN w:val="0"/>
              <w:adjustRightInd w:val="0"/>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-0.31(0.759)</w:t>
            </w:r>
          </w:p>
        </w:tc>
      </w:tr>
    </w:tbl>
    <w:p w14:paraId="74C92464" w14:textId="60014075" w:rsidR="00880312" w:rsidRDefault="00880312" w:rsidP="00197BB6">
      <w:pPr>
        <w:jc w:val="both"/>
        <w:rPr>
          <w:rFonts w:ascii="Calibri" w:eastAsia="Times New Roman" w:hAnsi="Calibri" w:cs="Times New Roman"/>
        </w:rPr>
      </w:pPr>
    </w:p>
    <w:p w14:paraId="2B12C08A" w14:textId="77777777" w:rsidR="00880312" w:rsidRDefault="00880312">
      <w:pPr>
        <w:rPr>
          <w:rFonts w:ascii="Calibri" w:eastAsia="Times New Roman" w:hAnsi="Calibri" w:cs="Times New Roman"/>
        </w:rPr>
      </w:pPr>
      <w:r>
        <w:rPr>
          <w:rFonts w:ascii="Calibri" w:eastAsia="Times New Roman" w:hAnsi="Calibri" w:cs="Times New Roman"/>
        </w:rPr>
        <w:br w:type="page"/>
      </w:r>
    </w:p>
    <w:p w14:paraId="393C792B" w14:textId="77777777" w:rsidR="00197BB6" w:rsidRPr="00E30E2D" w:rsidRDefault="00197BB6" w:rsidP="00197BB6">
      <w:pPr>
        <w:jc w:val="both"/>
        <w:rPr>
          <w:rFonts w:ascii="Calibri" w:eastAsia="Times New Roman" w:hAnsi="Calibri" w:cs="Times New Roman"/>
          <w:sz w:val="24"/>
          <w:szCs w:val="24"/>
        </w:rPr>
      </w:pPr>
    </w:p>
    <w:tbl>
      <w:tblPr>
        <w:tblpPr w:leftFromText="180" w:rightFromText="180" w:vertAnchor="text" w:tblpY="243"/>
        <w:tblW w:w="9498" w:type="dxa"/>
        <w:tblLayout w:type="fixed"/>
        <w:tblCellMar>
          <w:left w:w="75" w:type="dxa"/>
          <w:right w:w="75" w:type="dxa"/>
        </w:tblCellMar>
        <w:tblLook w:val="0000" w:firstRow="0" w:lastRow="0" w:firstColumn="0" w:lastColumn="0" w:noHBand="0" w:noVBand="0"/>
      </w:tblPr>
      <w:tblGrid>
        <w:gridCol w:w="3963"/>
        <w:gridCol w:w="1735"/>
        <w:gridCol w:w="1923"/>
        <w:gridCol w:w="1877"/>
      </w:tblGrid>
      <w:tr w:rsidR="00197BB6" w:rsidRPr="00E30E2D" w14:paraId="2A37B784" w14:textId="77777777" w:rsidTr="00E30E2D">
        <w:trPr>
          <w:trHeight w:val="234"/>
        </w:trPr>
        <w:tc>
          <w:tcPr>
            <w:tcW w:w="9498" w:type="dxa"/>
            <w:gridSpan w:val="4"/>
            <w:tcBorders>
              <w:bottom w:val="single" w:sz="4" w:space="0" w:color="auto"/>
            </w:tcBorders>
          </w:tcPr>
          <w:p w14:paraId="4B7E5BE6" w14:textId="77777777" w:rsidR="00197BB6" w:rsidRDefault="00197BB6" w:rsidP="00E30E2D">
            <w:pPr>
              <w:widowControl w:val="0"/>
              <w:autoSpaceDE w:val="0"/>
              <w:autoSpaceDN w:val="0"/>
              <w:adjustRightInd w:val="0"/>
              <w:spacing w:after="0" w:line="240" w:lineRule="auto"/>
              <w:jc w:val="both"/>
              <w:rPr>
                <w:rFonts w:ascii="Times New Roman" w:eastAsia="DengXian" w:hAnsi="Times New Roman" w:cs="Times New Roman"/>
                <w:b/>
                <w:bCs/>
                <w:color w:val="262626"/>
                <w:kern w:val="24"/>
                <w:sz w:val="24"/>
                <w:szCs w:val="24"/>
              </w:rPr>
            </w:pPr>
            <w:r w:rsidRPr="00E30E2D">
              <w:rPr>
                <w:rFonts w:ascii="Times New Roman" w:eastAsia="DengXian" w:hAnsi="Times New Roman" w:cs="Times New Roman"/>
                <w:b/>
                <w:bCs/>
                <w:color w:val="262626"/>
                <w:kern w:val="24"/>
                <w:sz w:val="24"/>
                <w:szCs w:val="24"/>
              </w:rPr>
              <w:t>Panel B: Base Line Regression Using Propensity Score Matched Sample</w:t>
            </w:r>
          </w:p>
          <w:p w14:paraId="63861746" w14:textId="20C1F26F" w:rsidR="00E30E2D" w:rsidRPr="00E30E2D" w:rsidRDefault="00E30E2D" w:rsidP="00E30E2D">
            <w:pPr>
              <w:widowControl w:val="0"/>
              <w:autoSpaceDE w:val="0"/>
              <w:autoSpaceDN w:val="0"/>
              <w:adjustRightInd w:val="0"/>
              <w:spacing w:after="0" w:line="240" w:lineRule="auto"/>
              <w:jc w:val="both"/>
              <w:rPr>
                <w:rFonts w:ascii="Times New Roman" w:eastAsia="DengXian" w:hAnsi="Times New Roman" w:cs="Times New Roman"/>
                <w:sz w:val="24"/>
                <w:szCs w:val="24"/>
              </w:rPr>
            </w:pPr>
          </w:p>
        </w:tc>
      </w:tr>
      <w:tr w:rsidR="00197BB6" w:rsidRPr="00197BB6" w14:paraId="55B2F655" w14:textId="77777777" w:rsidTr="00E30E2D">
        <w:trPr>
          <w:trHeight w:val="234"/>
        </w:trPr>
        <w:tc>
          <w:tcPr>
            <w:tcW w:w="3963" w:type="dxa"/>
            <w:tcBorders>
              <w:top w:val="single" w:sz="4" w:space="0" w:color="auto"/>
              <w:left w:val="single" w:sz="4" w:space="0" w:color="auto"/>
            </w:tcBorders>
          </w:tcPr>
          <w:p w14:paraId="368809B0" w14:textId="77777777" w:rsidR="00197BB6" w:rsidRPr="00E30E2D" w:rsidRDefault="00197BB6" w:rsidP="00197BB6">
            <w:pPr>
              <w:widowControl w:val="0"/>
              <w:autoSpaceDE w:val="0"/>
              <w:autoSpaceDN w:val="0"/>
              <w:adjustRightInd w:val="0"/>
              <w:spacing w:after="0" w:line="240" w:lineRule="auto"/>
              <w:rPr>
                <w:rFonts w:ascii="Times New Roman" w:eastAsia="DengXian" w:hAnsi="Times New Roman" w:cs="Times New Roman"/>
                <w:sz w:val="24"/>
                <w:szCs w:val="24"/>
              </w:rPr>
            </w:pPr>
          </w:p>
        </w:tc>
        <w:tc>
          <w:tcPr>
            <w:tcW w:w="1735" w:type="dxa"/>
            <w:tcBorders>
              <w:top w:val="single" w:sz="4" w:space="0" w:color="auto"/>
            </w:tcBorders>
          </w:tcPr>
          <w:p w14:paraId="1BE86A66"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4"/>
                <w:szCs w:val="24"/>
              </w:rPr>
            </w:pPr>
            <w:r w:rsidRPr="00E30E2D">
              <w:rPr>
                <w:rFonts w:ascii="Times New Roman" w:eastAsia="DengXian" w:hAnsi="Times New Roman" w:cs="Times New Roman"/>
                <w:sz w:val="24"/>
                <w:szCs w:val="24"/>
              </w:rPr>
              <w:t>(1)</w:t>
            </w:r>
          </w:p>
        </w:tc>
        <w:tc>
          <w:tcPr>
            <w:tcW w:w="1923" w:type="dxa"/>
            <w:tcBorders>
              <w:top w:val="single" w:sz="4" w:space="0" w:color="auto"/>
            </w:tcBorders>
          </w:tcPr>
          <w:p w14:paraId="3E468D24"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4"/>
                <w:szCs w:val="24"/>
              </w:rPr>
            </w:pPr>
            <w:r w:rsidRPr="00E30E2D">
              <w:rPr>
                <w:rFonts w:ascii="Times New Roman" w:eastAsia="DengXian" w:hAnsi="Times New Roman" w:cs="Times New Roman"/>
                <w:sz w:val="24"/>
                <w:szCs w:val="24"/>
              </w:rPr>
              <w:t>(2)</w:t>
            </w:r>
          </w:p>
        </w:tc>
        <w:tc>
          <w:tcPr>
            <w:tcW w:w="1877" w:type="dxa"/>
            <w:tcBorders>
              <w:top w:val="single" w:sz="4" w:space="0" w:color="auto"/>
              <w:right w:val="single" w:sz="4" w:space="0" w:color="auto"/>
            </w:tcBorders>
          </w:tcPr>
          <w:p w14:paraId="33A17FDC"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4"/>
                <w:szCs w:val="24"/>
              </w:rPr>
            </w:pPr>
            <w:r w:rsidRPr="00E30E2D">
              <w:rPr>
                <w:rFonts w:ascii="Times New Roman" w:eastAsia="DengXian" w:hAnsi="Times New Roman" w:cs="Times New Roman"/>
                <w:sz w:val="24"/>
                <w:szCs w:val="24"/>
              </w:rPr>
              <w:t>(3)</w:t>
            </w:r>
          </w:p>
        </w:tc>
      </w:tr>
      <w:tr w:rsidR="00197BB6" w:rsidRPr="00197BB6" w14:paraId="6FB53E91" w14:textId="77777777" w:rsidTr="009E69CE">
        <w:trPr>
          <w:trHeight w:val="234"/>
        </w:trPr>
        <w:tc>
          <w:tcPr>
            <w:tcW w:w="3963" w:type="dxa"/>
            <w:tcBorders>
              <w:left w:val="single" w:sz="4" w:space="0" w:color="auto"/>
              <w:bottom w:val="single" w:sz="4" w:space="0" w:color="auto"/>
            </w:tcBorders>
          </w:tcPr>
          <w:p w14:paraId="4DA10BCC" w14:textId="77777777" w:rsidR="00197BB6" w:rsidRPr="00E30E2D" w:rsidRDefault="00197BB6" w:rsidP="00197BB6">
            <w:pPr>
              <w:widowControl w:val="0"/>
              <w:autoSpaceDE w:val="0"/>
              <w:autoSpaceDN w:val="0"/>
              <w:adjustRightInd w:val="0"/>
              <w:spacing w:after="0" w:line="240" w:lineRule="auto"/>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VARIABLES</w:t>
            </w:r>
          </w:p>
        </w:tc>
        <w:tc>
          <w:tcPr>
            <w:tcW w:w="1735" w:type="dxa"/>
            <w:tcBorders>
              <w:bottom w:val="single" w:sz="4" w:space="0" w:color="auto"/>
            </w:tcBorders>
          </w:tcPr>
          <w:p w14:paraId="364E60AF"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c>
          <w:tcPr>
            <w:tcW w:w="1923" w:type="dxa"/>
            <w:tcBorders>
              <w:bottom w:val="single" w:sz="4" w:space="0" w:color="auto"/>
            </w:tcBorders>
          </w:tcPr>
          <w:p w14:paraId="77DFEFAA"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c>
          <w:tcPr>
            <w:tcW w:w="1877" w:type="dxa"/>
            <w:tcBorders>
              <w:bottom w:val="single" w:sz="4" w:space="0" w:color="auto"/>
              <w:right w:val="single" w:sz="4" w:space="0" w:color="auto"/>
            </w:tcBorders>
          </w:tcPr>
          <w:p w14:paraId="64FA41A5" w14:textId="77777777" w:rsidR="00197BB6" w:rsidRPr="00E30E2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4"/>
                <w:szCs w:val="24"/>
              </w:rPr>
            </w:pPr>
            <w:r w:rsidRPr="00E30E2D">
              <w:rPr>
                <w:rFonts w:ascii="Times New Roman" w:eastAsia="DengXian" w:hAnsi="Times New Roman" w:cs="Times New Roman"/>
                <w:b/>
                <w:bCs/>
                <w:sz w:val="24"/>
                <w:szCs w:val="24"/>
              </w:rPr>
              <w:t>Aggregate Risk</w:t>
            </w:r>
          </w:p>
        </w:tc>
      </w:tr>
      <w:tr w:rsidR="00197BB6" w:rsidRPr="00197BB6" w14:paraId="57F5B55A" w14:textId="77777777" w:rsidTr="009E69CE">
        <w:trPr>
          <w:trHeight w:val="234"/>
        </w:trPr>
        <w:tc>
          <w:tcPr>
            <w:tcW w:w="3963" w:type="dxa"/>
            <w:tcBorders>
              <w:top w:val="single" w:sz="4" w:space="0" w:color="auto"/>
              <w:left w:val="single" w:sz="4" w:space="0" w:color="auto"/>
            </w:tcBorders>
          </w:tcPr>
          <w:p w14:paraId="172E2289"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p>
        </w:tc>
        <w:tc>
          <w:tcPr>
            <w:tcW w:w="1735" w:type="dxa"/>
            <w:tcBorders>
              <w:top w:val="single" w:sz="4" w:space="0" w:color="auto"/>
            </w:tcBorders>
          </w:tcPr>
          <w:p w14:paraId="5FEF9DEF"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tcBorders>
          </w:tcPr>
          <w:p w14:paraId="068AD490"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right w:val="single" w:sz="4" w:space="0" w:color="auto"/>
            </w:tcBorders>
          </w:tcPr>
          <w:p w14:paraId="170939A9"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r>
      <w:tr w:rsidR="00197BB6" w:rsidRPr="00197BB6" w14:paraId="2014BB01" w14:textId="77777777" w:rsidTr="009E69CE">
        <w:trPr>
          <w:trHeight w:val="525"/>
        </w:trPr>
        <w:tc>
          <w:tcPr>
            <w:tcW w:w="3963" w:type="dxa"/>
            <w:tcBorders>
              <w:left w:val="single" w:sz="4" w:space="0" w:color="auto"/>
              <w:bottom w:val="single" w:sz="4" w:space="0" w:color="auto"/>
            </w:tcBorders>
          </w:tcPr>
          <w:p w14:paraId="083B16F0"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Female CRO</w:t>
            </w:r>
          </w:p>
        </w:tc>
        <w:tc>
          <w:tcPr>
            <w:tcW w:w="1735" w:type="dxa"/>
            <w:tcBorders>
              <w:bottom w:val="single" w:sz="4" w:space="0" w:color="auto"/>
            </w:tcBorders>
          </w:tcPr>
          <w:p w14:paraId="5DEBB579"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0.005*</w:t>
            </w:r>
          </w:p>
          <w:p w14:paraId="369DDD51"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tc>
        <w:tc>
          <w:tcPr>
            <w:tcW w:w="1923" w:type="dxa"/>
            <w:tcBorders>
              <w:bottom w:val="single" w:sz="4" w:space="0" w:color="auto"/>
            </w:tcBorders>
          </w:tcPr>
          <w:p w14:paraId="614037A7"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0.005**</w:t>
            </w:r>
          </w:p>
          <w:p w14:paraId="77A3E997"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tc>
        <w:tc>
          <w:tcPr>
            <w:tcW w:w="1877" w:type="dxa"/>
            <w:tcBorders>
              <w:bottom w:val="single" w:sz="4" w:space="0" w:color="auto"/>
              <w:right w:val="single" w:sz="4" w:space="0" w:color="auto"/>
            </w:tcBorders>
          </w:tcPr>
          <w:p w14:paraId="66454395"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0.005**</w:t>
            </w:r>
          </w:p>
          <w:p w14:paraId="0A3EA38B"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tc>
      </w:tr>
      <w:tr w:rsidR="00197BB6" w:rsidRPr="00197BB6" w14:paraId="35D6C1C7" w14:textId="77777777" w:rsidTr="009E69CE">
        <w:trPr>
          <w:trHeight w:val="525"/>
        </w:trPr>
        <w:tc>
          <w:tcPr>
            <w:tcW w:w="3963" w:type="dxa"/>
            <w:tcBorders>
              <w:top w:val="single" w:sz="4" w:space="0" w:color="auto"/>
              <w:left w:val="single" w:sz="4" w:space="0" w:color="auto"/>
              <w:bottom w:val="single" w:sz="4" w:space="0" w:color="auto"/>
            </w:tcBorders>
          </w:tcPr>
          <w:p w14:paraId="5656CEFB"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Board Independence (%)</w:t>
            </w:r>
          </w:p>
        </w:tc>
        <w:tc>
          <w:tcPr>
            <w:tcW w:w="1735" w:type="dxa"/>
            <w:tcBorders>
              <w:top w:val="single" w:sz="4" w:space="0" w:color="auto"/>
              <w:bottom w:val="single" w:sz="4" w:space="0" w:color="auto"/>
            </w:tcBorders>
          </w:tcPr>
          <w:p w14:paraId="5B4F672C"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1035E3B8" w14:textId="78A79953"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0.028</w:t>
            </w:r>
          </w:p>
          <w:p w14:paraId="7E6DD06C" w14:textId="1E3DAA2E"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w:t>
            </w:r>
            <w:r w:rsidR="005A02CD">
              <w:rPr>
                <w:rFonts w:ascii="Times New Roman" w:eastAsia="DengXian" w:hAnsi="Times New Roman" w:cs="Times New Roman"/>
              </w:rPr>
              <w:t>18</w:t>
            </w:r>
            <w:r w:rsidRPr="00197BB6">
              <w:rPr>
                <w:rFonts w:ascii="Times New Roman" w:eastAsia="DengXian" w:hAnsi="Times New Roman" w:cs="Times New Roman"/>
              </w:rPr>
              <w:t>)</w:t>
            </w:r>
          </w:p>
        </w:tc>
        <w:tc>
          <w:tcPr>
            <w:tcW w:w="1877" w:type="dxa"/>
            <w:tcBorders>
              <w:top w:val="single" w:sz="4" w:space="0" w:color="auto"/>
              <w:bottom w:val="single" w:sz="4" w:space="0" w:color="auto"/>
              <w:right w:val="single" w:sz="4" w:space="0" w:color="auto"/>
            </w:tcBorders>
          </w:tcPr>
          <w:p w14:paraId="55E1C37B" w14:textId="25F135CE"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w:t>
            </w:r>
            <w:r w:rsidR="005A02CD">
              <w:rPr>
                <w:rFonts w:ascii="Times New Roman" w:eastAsia="DengXian" w:hAnsi="Times New Roman" w:cs="Times New Roman"/>
              </w:rPr>
              <w:t>2</w:t>
            </w:r>
            <w:r w:rsidRPr="00197BB6">
              <w:rPr>
                <w:rFonts w:ascii="Times New Roman" w:eastAsia="DengXian" w:hAnsi="Times New Roman" w:cs="Times New Roman"/>
              </w:rPr>
              <w:t>4</w:t>
            </w:r>
          </w:p>
          <w:p w14:paraId="51153673" w14:textId="5D137F1A"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w:t>
            </w:r>
            <w:r w:rsidR="005A02CD">
              <w:rPr>
                <w:rFonts w:ascii="Times New Roman" w:eastAsia="DengXian" w:hAnsi="Times New Roman" w:cs="Times New Roman"/>
              </w:rPr>
              <w:t>18</w:t>
            </w:r>
            <w:r w:rsidRPr="00197BB6">
              <w:rPr>
                <w:rFonts w:ascii="Times New Roman" w:eastAsia="DengXian" w:hAnsi="Times New Roman" w:cs="Times New Roman"/>
              </w:rPr>
              <w:t>)</w:t>
            </w:r>
          </w:p>
        </w:tc>
      </w:tr>
      <w:tr w:rsidR="00197BB6" w:rsidRPr="00197BB6" w14:paraId="10FFCE22" w14:textId="77777777" w:rsidTr="009E69CE">
        <w:trPr>
          <w:trHeight w:val="525"/>
        </w:trPr>
        <w:tc>
          <w:tcPr>
            <w:tcW w:w="3963" w:type="dxa"/>
            <w:tcBorders>
              <w:top w:val="single" w:sz="4" w:space="0" w:color="auto"/>
              <w:left w:val="single" w:sz="4" w:space="0" w:color="auto"/>
              <w:bottom w:val="single" w:sz="4" w:space="0" w:color="auto"/>
            </w:tcBorders>
          </w:tcPr>
          <w:p w14:paraId="0AD4CDA2"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Board Size</w:t>
            </w:r>
          </w:p>
        </w:tc>
        <w:tc>
          <w:tcPr>
            <w:tcW w:w="1735" w:type="dxa"/>
            <w:tcBorders>
              <w:top w:val="single" w:sz="4" w:space="0" w:color="auto"/>
              <w:bottom w:val="single" w:sz="4" w:space="0" w:color="auto"/>
            </w:tcBorders>
          </w:tcPr>
          <w:p w14:paraId="20E1674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02436403"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-0.004</w:t>
            </w:r>
          </w:p>
          <w:p w14:paraId="6E60856D"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(0.005)</w:t>
            </w:r>
          </w:p>
        </w:tc>
        <w:tc>
          <w:tcPr>
            <w:tcW w:w="1877" w:type="dxa"/>
            <w:tcBorders>
              <w:top w:val="single" w:sz="4" w:space="0" w:color="auto"/>
              <w:bottom w:val="single" w:sz="4" w:space="0" w:color="auto"/>
              <w:right w:val="single" w:sz="4" w:space="0" w:color="auto"/>
            </w:tcBorders>
          </w:tcPr>
          <w:p w14:paraId="07EBAB9A"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-0.010**</w:t>
            </w:r>
          </w:p>
          <w:p w14:paraId="7722E6DE"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(0.005)</w:t>
            </w:r>
          </w:p>
        </w:tc>
      </w:tr>
      <w:tr w:rsidR="00197BB6" w:rsidRPr="00197BB6" w14:paraId="126E8157" w14:textId="77777777" w:rsidTr="009E69CE">
        <w:trPr>
          <w:trHeight w:val="525"/>
        </w:trPr>
        <w:tc>
          <w:tcPr>
            <w:tcW w:w="3963" w:type="dxa"/>
            <w:tcBorders>
              <w:top w:val="single" w:sz="4" w:space="0" w:color="auto"/>
              <w:left w:val="single" w:sz="4" w:space="0" w:color="auto"/>
              <w:bottom w:val="single" w:sz="4" w:space="0" w:color="auto"/>
            </w:tcBorders>
          </w:tcPr>
          <w:p w14:paraId="4093AF04"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CEO Duality</w:t>
            </w:r>
          </w:p>
        </w:tc>
        <w:tc>
          <w:tcPr>
            <w:tcW w:w="1735" w:type="dxa"/>
            <w:tcBorders>
              <w:top w:val="single" w:sz="4" w:space="0" w:color="auto"/>
              <w:bottom w:val="single" w:sz="4" w:space="0" w:color="auto"/>
            </w:tcBorders>
          </w:tcPr>
          <w:p w14:paraId="7CADFCEC"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39CCED16"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p w14:paraId="05B02882"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tc>
        <w:tc>
          <w:tcPr>
            <w:tcW w:w="1877" w:type="dxa"/>
            <w:tcBorders>
              <w:top w:val="single" w:sz="4" w:space="0" w:color="auto"/>
              <w:bottom w:val="single" w:sz="4" w:space="0" w:color="auto"/>
              <w:right w:val="single" w:sz="4" w:space="0" w:color="auto"/>
            </w:tcBorders>
          </w:tcPr>
          <w:p w14:paraId="520EA997"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0.003</w:t>
            </w:r>
          </w:p>
          <w:p w14:paraId="178CDFB3"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tc>
      </w:tr>
      <w:tr w:rsidR="00197BB6" w:rsidRPr="00197BB6" w14:paraId="6D43A35E" w14:textId="77777777" w:rsidTr="009E69CE">
        <w:trPr>
          <w:trHeight w:val="525"/>
        </w:trPr>
        <w:tc>
          <w:tcPr>
            <w:tcW w:w="3963" w:type="dxa"/>
            <w:tcBorders>
              <w:top w:val="single" w:sz="4" w:space="0" w:color="auto"/>
              <w:left w:val="single" w:sz="4" w:space="0" w:color="auto"/>
              <w:bottom w:val="single" w:sz="4" w:space="0" w:color="auto"/>
            </w:tcBorders>
          </w:tcPr>
          <w:p w14:paraId="346499A2"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CEO Compensation</w:t>
            </w:r>
          </w:p>
        </w:tc>
        <w:tc>
          <w:tcPr>
            <w:tcW w:w="1735" w:type="dxa"/>
            <w:tcBorders>
              <w:top w:val="single" w:sz="4" w:space="0" w:color="auto"/>
              <w:bottom w:val="single" w:sz="4" w:space="0" w:color="auto"/>
            </w:tcBorders>
          </w:tcPr>
          <w:p w14:paraId="1266AA1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07978D06"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0.002</w:t>
            </w:r>
          </w:p>
          <w:p w14:paraId="5C09C4CB"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p>
        </w:tc>
        <w:tc>
          <w:tcPr>
            <w:tcW w:w="1877" w:type="dxa"/>
            <w:tcBorders>
              <w:top w:val="single" w:sz="4" w:space="0" w:color="auto"/>
              <w:bottom w:val="single" w:sz="4" w:space="0" w:color="auto"/>
              <w:right w:val="single" w:sz="4" w:space="0" w:color="auto"/>
            </w:tcBorders>
          </w:tcPr>
          <w:p w14:paraId="7DCF80A0"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p>
          <w:p w14:paraId="1C867503"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p>
        </w:tc>
      </w:tr>
      <w:tr w:rsidR="00197BB6" w:rsidRPr="00197BB6" w14:paraId="0AA0F280" w14:textId="77777777" w:rsidTr="009E69CE">
        <w:trPr>
          <w:trHeight w:val="525"/>
        </w:trPr>
        <w:tc>
          <w:tcPr>
            <w:tcW w:w="3963" w:type="dxa"/>
            <w:tcBorders>
              <w:top w:val="single" w:sz="4" w:space="0" w:color="auto"/>
              <w:left w:val="single" w:sz="4" w:space="0" w:color="auto"/>
              <w:bottom w:val="single" w:sz="4" w:space="0" w:color="auto"/>
            </w:tcBorders>
          </w:tcPr>
          <w:p w14:paraId="56DF3E97"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St Borrowing/TA</w:t>
            </w:r>
          </w:p>
        </w:tc>
        <w:tc>
          <w:tcPr>
            <w:tcW w:w="1735" w:type="dxa"/>
            <w:tcBorders>
              <w:top w:val="single" w:sz="4" w:space="0" w:color="auto"/>
              <w:bottom w:val="single" w:sz="4" w:space="0" w:color="auto"/>
            </w:tcBorders>
          </w:tcPr>
          <w:p w14:paraId="4D7100FE"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033FFDD3"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bottom w:val="single" w:sz="4" w:space="0" w:color="auto"/>
              <w:right w:val="single" w:sz="4" w:space="0" w:color="auto"/>
            </w:tcBorders>
          </w:tcPr>
          <w:p w14:paraId="48F92A32"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0.124***</w:t>
            </w:r>
          </w:p>
          <w:p w14:paraId="19D48FE5"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(0.041)</w:t>
            </w:r>
          </w:p>
        </w:tc>
      </w:tr>
      <w:tr w:rsidR="00197BB6" w:rsidRPr="00197BB6" w14:paraId="304BC72E" w14:textId="77777777" w:rsidTr="009E69CE">
        <w:trPr>
          <w:trHeight w:val="525"/>
        </w:trPr>
        <w:tc>
          <w:tcPr>
            <w:tcW w:w="3963" w:type="dxa"/>
            <w:tcBorders>
              <w:top w:val="single" w:sz="4" w:space="0" w:color="auto"/>
              <w:left w:val="single" w:sz="4" w:space="0" w:color="auto"/>
              <w:bottom w:val="single" w:sz="4" w:space="0" w:color="auto"/>
            </w:tcBorders>
          </w:tcPr>
          <w:p w14:paraId="5B83D5B7"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Bad Loans/TA</w:t>
            </w:r>
          </w:p>
        </w:tc>
        <w:tc>
          <w:tcPr>
            <w:tcW w:w="1735" w:type="dxa"/>
            <w:tcBorders>
              <w:top w:val="single" w:sz="4" w:space="0" w:color="auto"/>
              <w:bottom w:val="single" w:sz="4" w:space="0" w:color="auto"/>
            </w:tcBorders>
          </w:tcPr>
          <w:p w14:paraId="6BAAB6AD"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0F2F0BF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bottom w:val="single" w:sz="4" w:space="0" w:color="auto"/>
              <w:right w:val="single" w:sz="4" w:space="0" w:color="auto"/>
            </w:tcBorders>
          </w:tcPr>
          <w:p w14:paraId="1AEA41EC"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0.0868</w:t>
            </w:r>
          </w:p>
          <w:p w14:paraId="27EFA9A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(0.067)</w:t>
            </w:r>
          </w:p>
        </w:tc>
      </w:tr>
      <w:tr w:rsidR="00197BB6" w:rsidRPr="00197BB6" w14:paraId="759FED86" w14:textId="77777777" w:rsidTr="009E69CE">
        <w:trPr>
          <w:trHeight w:val="525"/>
        </w:trPr>
        <w:tc>
          <w:tcPr>
            <w:tcW w:w="3963" w:type="dxa"/>
            <w:tcBorders>
              <w:top w:val="single" w:sz="4" w:space="0" w:color="auto"/>
              <w:left w:val="single" w:sz="4" w:space="0" w:color="auto"/>
              <w:bottom w:val="single" w:sz="4" w:space="0" w:color="auto"/>
            </w:tcBorders>
          </w:tcPr>
          <w:p w14:paraId="6624F7F1"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Tier1Ratio</w:t>
            </w:r>
          </w:p>
        </w:tc>
        <w:tc>
          <w:tcPr>
            <w:tcW w:w="1735" w:type="dxa"/>
            <w:tcBorders>
              <w:top w:val="single" w:sz="4" w:space="0" w:color="auto"/>
              <w:bottom w:val="single" w:sz="4" w:space="0" w:color="auto"/>
            </w:tcBorders>
          </w:tcPr>
          <w:p w14:paraId="3348B64A"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0785F147"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bottom w:val="single" w:sz="4" w:space="0" w:color="auto"/>
              <w:right w:val="single" w:sz="4" w:space="0" w:color="auto"/>
            </w:tcBorders>
          </w:tcPr>
          <w:p w14:paraId="3885F3B4" w14:textId="7D0B12B1"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r w:rsidR="005A02CD">
              <w:rPr>
                <w:rFonts w:ascii="Times New Roman" w:eastAsia="DengXian" w:hAnsi="Times New Roman" w:cs="Times New Roman"/>
              </w:rPr>
              <w:t>***</w:t>
            </w:r>
          </w:p>
          <w:p w14:paraId="05E3221A" w14:textId="4FFFE98D"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w:t>
            </w:r>
            <w:r w:rsidR="005A02CD">
              <w:rPr>
                <w:rFonts w:ascii="Times New Roman" w:eastAsia="DengXian" w:hAnsi="Times New Roman" w:cs="Times New Roman"/>
              </w:rPr>
              <w:t>0</w:t>
            </w:r>
            <w:r w:rsidRPr="00197BB6">
              <w:rPr>
                <w:rFonts w:ascii="Times New Roman" w:eastAsia="DengXian" w:hAnsi="Times New Roman" w:cs="Times New Roman"/>
              </w:rPr>
              <w:t>1)</w:t>
            </w:r>
          </w:p>
        </w:tc>
      </w:tr>
      <w:tr w:rsidR="00197BB6" w:rsidRPr="00197BB6" w14:paraId="51DC04DB" w14:textId="77777777" w:rsidTr="009E69CE">
        <w:trPr>
          <w:trHeight w:val="525"/>
        </w:trPr>
        <w:tc>
          <w:tcPr>
            <w:tcW w:w="3963" w:type="dxa"/>
            <w:tcBorders>
              <w:top w:val="single" w:sz="4" w:space="0" w:color="auto"/>
              <w:left w:val="single" w:sz="4" w:space="0" w:color="auto"/>
              <w:bottom w:val="single" w:sz="4" w:space="0" w:color="auto"/>
            </w:tcBorders>
          </w:tcPr>
          <w:p w14:paraId="136822B9" w14:textId="6279BEB9" w:rsidR="00197BB6" w:rsidRPr="00197BB6" w:rsidRDefault="005A02CD" w:rsidP="00197BB6">
            <w:pPr>
              <w:widowControl w:val="0"/>
              <w:autoSpaceDE w:val="0"/>
              <w:autoSpaceDN w:val="0"/>
              <w:adjustRightInd w:val="0"/>
              <w:spacing w:after="0" w:line="240" w:lineRule="auto"/>
              <w:rPr>
                <w:rFonts w:ascii="Times New Roman" w:eastAsia="DengXian" w:hAnsi="Times New Roman" w:cs="Times New Roman"/>
              </w:rPr>
            </w:pPr>
            <w:r>
              <w:rPr>
                <w:rFonts w:ascii="Times New Roman" w:eastAsia="DengXian" w:hAnsi="Times New Roman" w:cs="Times New Roman"/>
              </w:rPr>
              <w:t>Bank</w:t>
            </w:r>
            <w:r w:rsidR="00197BB6" w:rsidRPr="00197BB6">
              <w:rPr>
                <w:rFonts w:ascii="Times New Roman" w:eastAsia="DengXian" w:hAnsi="Times New Roman" w:cs="Times New Roman"/>
              </w:rPr>
              <w:t xml:space="preserve"> Size</w:t>
            </w:r>
          </w:p>
        </w:tc>
        <w:tc>
          <w:tcPr>
            <w:tcW w:w="1735" w:type="dxa"/>
            <w:tcBorders>
              <w:top w:val="single" w:sz="4" w:space="0" w:color="auto"/>
              <w:bottom w:val="single" w:sz="4" w:space="0" w:color="auto"/>
            </w:tcBorders>
          </w:tcPr>
          <w:p w14:paraId="1D08BC32"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73288B59"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bottom w:val="single" w:sz="4" w:space="0" w:color="auto"/>
              <w:right w:val="single" w:sz="4" w:space="0" w:color="auto"/>
            </w:tcBorders>
          </w:tcPr>
          <w:p w14:paraId="7576D695" w14:textId="2BD372D4"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0.004</w:t>
            </w:r>
            <w:r w:rsidR="005A02CD">
              <w:rPr>
                <w:rFonts w:ascii="Times New Roman" w:eastAsia="DengXian" w:hAnsi="Times New Roman" w:cs="Times New Roman"/>
              </w:rPr>
              <w:t>***</w:t>
            </w:r>
          </w:p>
          <w:p w14:paraId="6B12F8B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p>
        </w:tc>
      </w:tr>
      <w:tr w:rsidR="00197BB6" w:rsidRPr="00197BB6" w14:paraId="0DD505CB" w14:textId="77777777" w:rsidTr="009E69CE">
        <w:trPr>
          <w:trHeight w:val="525"/>
        </w:trPr>
        <w:tc>
          <w:tcPr>
            <w:tcW w:w="3963" w:type="dxa"/>
            <w:tcBorders>
              <w:top w:val="single" w:sz="4" w:space="0" w:color="auto"/>
              <w:left w:val="single" w:sz="4" w:space="0" w:color="auto"/>
              <w:bottom w:val="single" w:sz="4" w:space="0" w:color="auto"/>
            </w:tcBorders>
          </w:tcPr>
          <w:p w14:paraId="00B31BF5"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ROA</w:t>
            </w:r>
          </w:p>
        </w:tc>
        <w:tc>
          <w:tcPr>
            <w:tcW w:w="1735" w:type="dxa"/>
            <w:tcBorders>
              <w:top w:val="single" w:sz="4" w:space="0" w:color="auto"/>
              <w:bottom w:val="single" w:sz="4" w:space="0" w:color="auto"/>
            </w:tcBorders>
          </w:tcPr>
          <w:p w14:paraId="724423AC"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923" w:type="dxa"/>
            <w:tcBorders>
              <w:top w:val="single" w:sz="4" w:space="0" w:color="auto"/>
              <w:bottom w:val="single" w:sz="4" w:space="0" w:color="auto"/>
            </w:tcBorders>
          </w:tcPr>
          <w:p w14:paraId="3B197AFE"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c>
          <w:tcPr>
            <w:tcW w:w="1877" w:type="dxa"/>
            <w:tcBorders>
              <w:top w:val="single" w:sz="4" w:space="0" w:color="auto"/>
              <w:bottom w:val="single" w:sz="4" w:space="0" w:color="auto"/>
              <w:right w:val="single" w:sz="4" w:space="0" w:color="auto"/>
            </w:tcBorders>
          </w:tcPr>
          <w:p w14:paraId="5B902AE1"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-0.006***</w:t>
            </w:r>
          </w:p>
          <w:p w14:paraId="44C9D3F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(0.001)</w:t>
            </w:r>
          </w:p>
        </w:tc>
      </w:tr>
      <w:tr w:rsidR="00197BB6" w:rsidRPr="00197BB6" w14:paraId="07F18252" w14:textId="77777777" w:rsidTr="009E69CE">
        <w:trPr>
          <w:trHeight w:val="525"/>
        </w:trPr>
        <w:tc>
          <w:tcPr>
            <w:tcW w:w="3963" w:type="dxa"/>
            <w:tcBorders>
              <w:top w:val="single" w:sz="4" w:space="0" w:color="auto"/>
              <w:left w:val="single" w:sz="4" w:space="0" w:color="auto"/>
              <w:bottom w:val="single" w:sz="4" w:space="0" w:color="auto"/>
            </w:tcBorders>
          </w:tcPr>
          <w:p w14:paraId="404C0188"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Constant</w:t>
            </w:r>
          </w:p>
        </w:tc>
        <w:tc>
          <w:tcPr>
            <w:tcW w:w="1735" w:type="dxa"/>
            <w:tcBorders>
              <w:top w:val="single" w:sz="4" w:space="0" w:color="auto"/>
              <w:bottom w:val="single" w:sz="4" w:space="0" w:color="auto"/>
            </w:tcBorders>
          </w:tcPr>
          <w:p w14:paraId="3EE38E81"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0.023***</w:t>
            </w:r>
          </w:p>
          <w:p w14:paraId="3ADECB5F"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(0.003)</w:t>
            </w:r>
          </w:p>
        </w:tc>
        <w:tc>
          <w:tcPr>
            <w:tcW w:w="1923" w:type="dxa"/>
            <w:tcBorders>
              <w:top w:val="single" w:sz="4" w:space="0" w:color="auto"/>
              <w:bottom w:val="single" w:sz="4" w:space="0" w:color="auto"/>
            </w:tcBorders>
          </w:tcPr>
          <w:p w14:paraId="102CD38E"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0.043**</w:t>
            </w:r>
          </w:p>
          <w:p w14:paraId="22BCB279"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(0.019)</w:t>
            </w:r>
          </w:p>
        </w:tc>
        <w:tc>
          <w:tcPr>
            <w:tcW w:w="1877" w:type="dxa"/>
            <w:tcBorders>
              <w:top w:val="single" w:sz="4" w:space="0" w:color="auto"/>
              <w:bottom w:val="single" w:sz="4" w:space="0" w:color="auto"/>
              <w:right w:val="single" w:sz="4" w:space="0" w:color="auto"/>
            </w:tcBorders>
          </w:tcPr>
          <w:p w14:paraId="3C17952A"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0.075***</w:t>
            </w:r>
          </w:p>
          <w:p w14:paraId="6FC2317D"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(0.021)</w:t>
            </w:r>
          </w:p>
        </w:tc>
      </w:tr>
      <w:tr w:rsidR="00197BB6" w:rsidRPr="00197BB6" w14:paraId="15139D95" w14:textId="77777777" w:rsidTr="009E69CE">
        <w:trPr>
          <w:trHeight w:val="234"/>
        </w:trPr>
        <w:tc>
          <w:tcPr>
            <w:tcW w:w="3963" w:type="dxa"/>
            <w:tcBorders>
              <w:top w:val="single" w:sz="4" w:space="0" w:color="auto"/>
              <w:left w:val="single" w:sz="4" w:space="0" w:color="auto"/>
              <w:bottom w:val="single" w:sz="4" w:space="0" w:color="auto"/>
            </w:tcBorders>
          </w:tcPr>
          <w:p w14:paraId="57214BA5"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Year F.E.</w:t>
            </w:r>
          </w:p>
        </w:tc>
        <w:tc>
          <w:tcPr>
            <w:tcW w:w="1735" w:type="dxa"/>
            <w:tcBorders>
              <w:top w:val="single" w:sz="4" w:space="0" w:color="auto"/>
              <w:bottom w:val="single" w:sz="4" w:space="0" w:color="auto"/>
            </w:tcBorders>
          </w:tcPr>
          <w:p w14:paraId="335FDA33"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c>
          <w:tcPr>
            <w:tcW w:w="1923" w:type="dxa"/>
            <w:tcBorders>
              <w:top w:val="single" w:sz="4" w:space="0" w:color="auto"/>
              <w:bottom w:val="single" w:sz="4" w:space="0" w:color="auto"/>
            </w:tcBorders>
          </w:tcPr>
          <w:p w14:paraId="7F42A785"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c>
          <w:tcPr>
            <w:tcW w:w="1877" w:type="dxa"/>
            <w:tcBorders>
              <w:top w:val="single" w:sz="4" w:space="0" w:color="auto"/>
              <w:bottom w:val="single" w:sz="4" w:space="0" w:color="auto"/>
              <w:right w:val="single" w:sz="4" w:space="0" w:color="auto"/>
            </w:tcBorders>
          </w:tcPr>
          <w:p w14:paraId="3B21A715"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r>
      <w:tr w:rsidR="00197BB6" w:rsidRPr="00197BB6" w14:paraId="029BF232" w14:textId="77777777" w:rsidTr="009E69CE">
        <w:trPr>
          <w:trHeight w:val="234"/>
        </w:trPr>
        <w:tc>
          <w:tcPr>
            <w:tcW w:w="3963" w:type="dxa"/>
            <w:tcBorders>
              <w:top w:val="single" w:sz="4" w:space="0" w:color="auto"/>
              <w:left w:val="single" w:sz="4" w:space="0" w:color="auto"/>
              <w:bottom w:val="single" w:sz="4" w:space="0" w:color="auto"/>
            </w:tcBorders>
          </w:tcPr>
          <w:p w14:paraId="2C912583"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Firm F.E.</w:t>
            </w:r>
          </w:p>
        </w:tc>
        <w:tc>
          <w:tcPr>
            <w:tcW w:w="1735" w:type="dxa"/>
            <w:tcBorders>
              <w:top w:val="single" w:sz="4" w:space="0" w:color="auto"/>
              <w:bottom w:val="single" w:sz="4" w:space="0" w:color="auto"/>
            </w:tcBorders>
          </w:tcPr>
          <w:p w14:paraId="5758D7E6"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c>
          <w:tcPr>
            <w:tcW w:w="1923" w:type="dxa"/>
            <w:tcBorders>
              <w:top w:val="single" w:sz="4" w:space="0" w:color="auto"/>
              <w:bottom w:val="single" w:sz="4" w:space="0" w:color="auto"/>
            </w:tcBorders>
          </w:tcPr>
          <w:p w14:paraId="065F6D12"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c>
          <w:tcPr>
            <w:tcW w:w="1877" w:type="dxa"/>
            <w:tcBorders>
              <w:top w:val="single" w:sz="4" w:space="0" w:color="auto"/>
              <w:bottom w:val="single" w:sz="4" w:space="0" w:color="auto"/>
              <w:right w:val="single" w:sz="4" w:space="0" w:color="auto"/>
            </w:tcBorders>
          </w:tcPr>
          <w:p w14:paraId="15E80F34"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Yes</w:t>
            </w:r>
          </w:p>
        </w:tc>
      </w:tr>
      <w:tr w:rsidR="00197BB6" w:rsidRPr="00197BB6" w14:paraId="13B54D6F" w14:textId="77777777" w:rsidTr="009E69CE">
        <w:trPr>
          <w:trHeight w:val="245"/>
        </w:trPr>
        <w:tc>
          <w:tcPr>
            <w:tcW w:w="3963" w:type="dxa"/>
            <w:tcBorders>
              <w:top w:val="single" w:sz="4" w:space="0" w:color="auto"/>
              <w:left w:val="single" w:sz="4" w:space="0" w:color="auto"/>
              <w:bottom w:val="single" w:sz="4" w:space="0" w:color="auto"/>
            </w:tcBorders>
          </w:tcPr>
          <w:p w14:paraId="33A71366"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Observations</w:t>
            </w:r>
          </w:p>
        </w:tc>
        <w:tc>
          <w:tcPr>
            <w:tcW w:w="1735" w:type="dxa"/>
            <w:tcBorders>
              <w:top w:val="single" w:sz="4" w:space="0" w:color="auto"/>
              <w:bottom w:val="single" w:sz="4" w:space="0" w:color="auto"/>
            </w:tcBorders>
          </w:tcPr>
          <w:p w14:paraId="2BA0027B"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220</w:t>
            </w:r>
          </w:p>
        </w:tc>
        <w:tc>
          <w:tcPr>
            <w:tcW w:w="1923" w:type="dxa"/>
            <w:tcBorders>
              <w:top w:val="single" w:sz="4" w:space="0" w:color="auto"/>
              <w:bottom w:val="single" w:sz="4" w:space="0" w:color="auto"/>
            </w:tcBorders>
          </w:tcPr>
          <w:p w14:paraId="348BEBAC"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220</w:t>
            </w:r>
          </w:p>
        </w:tc>
        <w:tc>
          <w:tcPr>
            <w:tcW w:w="1877" w:type="dxa"/>
            <w:tcBorders>
              <w:top w:val="single" w:sz="4" w:space="0" w:color="auto"/>
              <w:bottom w:val="single" w:sz="4" w:space="0" w:color="auto"/>
              <w:right w:val="single" w:sz="4" w:space="0" w:color="auto"/>
            </w:tcBorders>
          </w:tcPr>
          <w:p w14:paraId="76DCE7CB"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220</w:t>
            </w:r>
          </w:p>
        </w:tc>
      </w:tr>
      <w:tr w:rsidR="00197BB6" w:rsidRPr="00197BB6" w14:paraId="2986B6DA" w14:textId="77777777" w:rsidTr="009E69CE">
        <w:trPr>
          <w:trHeight w:val="234"/>
        </w:trPr>
        <w:tc>
          <w:tcPr>
            <w:tcW w:w="3963" w:type="dxa"/>
            <w:tcBorders>
              <w:top w:val="single" w:sz="4" w:space="0" w:color="auto"/>
              <w:left w:val="single" w:sz="4" w:space="0" w:color="auto"/>
              <w:bottom w:val="single" w:sz="4" w:space="0" w:color="auto"/>
            </w:tcBorders>
          </w:tcPr>
          <w:p w14:paraId="2D686A60" w14:textId="77777777" w:rsidR="00197BB6" w:rsidRPr="00197BB6" w:rsidRDefault="00197BB6" w:rsidP="00197BB6">
            <w:pPr>
              <w:widowControl w:val="0"/>
              <w:autoSpaceDE w:val="0"/>
              <w:autoSpaceDN w:val="0"/>
              <w:adjustRightInd w:val="0"/>
              <w:spacing w:after="0" w:line="240" w:lineRule="auto"/>
              <w:rPr>
                <w:rFonts w:ascii="Times New Roman" w:eastAsia="DengXian" w:hAnsi="Times New Roman" w:cs="Times New Roman"/>
              </w:rPr>
            </w:pPr>
            <w:r w:rsidRPr="00197BB6">
              <w:rPr>
                <w:rFonts w:ascii="Times New Roman" w:eastAsia="DengXian" w:hAnsi="Times New Roman" w:cs="Times New Roman"/>
              </w:rPr>
              <w:t>R-squared</w:t>
            </w:r>
          </w:p>
        </w:tc>
        <w:tc>
          <w:tcPr>
            <w:tcW w:w="1735" w:type="dxa"/>
            <w:tcBorders>
              <w:top w:val="single" w:sz="4" w:space="0" w:color="auto"/>
              <w:bottom w:val="single" w:sz="4" w:space="0" w:color="auto"/>
            </w:tcBorders>
          </w:tcPr>
          <w:p w14:paraId="19C5B08E"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0.048</w:t>
            </w:r>
          </w:p>
        </w:tc>
        <w:tc>
          <w:tcPr>
            <w:tcW w:w="1923" w:type="dxa"/>
            <w:tcBorders>
              <w:top w:val="single" w:sz="4" w:space="0" w:color="auto"/>
              <w:bottom w:val="single" w:sz="4" w:space="0" w:color="auto"/>
            </w:tcBorders>
          </w:tcPr>
          <w:p w14:paraId="5012FC98"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0.100</w:t>
            </w:r>
          </w:p>
        </w:tc>
        <w:tc>
          <w:tcPr>
            <w:tcW w:w="1877" w:type="dxa"/>
            <w:tcBorders>
              <w:top w:val="single" w:sz="4" w:space="0" w:color="auto"/>
              <w:bottom w:val="single" w:sz="4" w:space="0" w:color="auto"/>
              <w:right w:val="single" w:sz="4" w:space="0" w:color="auto"/>
            </w:tcBorders>
          </w:tcPr>
          <w:p w14:paraId="0371383A"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r w:rsidRPr="00197BB6">
              <w:rPr>
                <w:rFonts w:ascii="Times New Roman" w:eastAsia="DengXian" w:hAnsi="Times New Roman" w:cs="Times New Roman"/>
              </w:rPr>
              <w:t>0.304</w:t>
            </w:r>
          </w:p>
        </w:tc>
      </w:tr>
    </w:tbl>
    <w:p w14:paraId="3021A25C" w14:textId="77777777" w:rsidR="00197BB6" w:rsidRPr="00197BB6" w:rsidRDefault="00197BB6" w:rsidP="00197BB6">
      <w:pPr>
        <w:jc w:val="both"/>
        <w:rPr>
          <w:rFonts w:ascii="Calibri" w:eastAsia="Times New Roman" w:hAnsi="Calibri" w:cs="Times New Roman"/>
        </w:rPr>
      </w:pPr>
    </w:p>
    <w:p w14:paraId="155E831C" w14:textId="77777777" w:rsidR="00197BB6" w:rsidRPr="00197BB6" w:rsidRDefault="00197BB6" w:rsidP="00197BB6">
      <w:pPr>
        <w:jc w:val="both"/>
        <w:rPr>
          <w:rFonts w:ascii="Calibri" w:eastAsia="Times New Roman" w:hAnsi="Calibri" w:cs="Times New Roman"/>
        </w:rPr>
      </w:pPr>
    </w:p>
    <w:p w14:paraId="65D87AEC" w14:textId="77777777" w:rsidR="00197BB6" w:rsidRPr="00197BB6" w:rsidRDefault="00197BB6" w:rsidP="00197BB6">
      <w:pPr>
        <w:jc w:val="both"/>
        <w:rPr>
          <w:rFonts w:ascii="Calibri" w:eastAsia="Times New Roman" w:hAnsi="Calibri" w:cs="Times New Roman"/>
        </w:rPr>
      </w:pPr>
    </w:p>
    <w:p w14:paraId="3CF0A0F4" w14:textId="5C51AE25" w:rsidR="00880312" w:rsidRDefault="00880312">
      <w:pPr>
        <w:rPr>
          <w:rFonts w:ascii="Calibri" w:eastAsia="Times New Roman" w:hAnsi="Calibri" w:cs="Times New Roman"/>
          <w:i/>
          <w:iCs/>
        </w:rPr>
      </w:pPr>
      <w:r>
        <w:rPr>
          <w:rFonts w:ascii="Calibri" w:eastAsia="Times New Roman" w:hAnsi="Calibri" w:cs="Times New Roman"/>
          <w:i/>
          <w:iCs/>
        </w:rPr>
        <w:br w:type="page"/>
      </w:r>
    </w:p>
    <w:p w14:paraId="5613B429" w14:textId="77777777" w:rsidR="00DE7639" w:rsidRDefault="00DE7639" w:rsidP="00880312">
      <w:pPr>
        <w:widowControl w:val="0"/>
        <w:autoSpaceDE w:val="0"/>
        <w:autoSpaceDN w:val="0"/>
        <w:adjustRightInd w:val="0"/>
        <w:rPr>
          <w:rFonts w:ascii="Times New Roman" w:eastAsia="Times New Roman" w:hAnsi="Times New Roman" w:cs="Times New Roman"/>
          <w:b/>
          <w:bCs/>
        </w:rPr>
      </w:pPr>
    </w:p>
    <w:p w14:paraId="4D0DFA5E" w14:textId="1BD340A2"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76" w:name="_Toc132383486"/>
      <w:bookmarkStart w:id="77" w:name="_Toc132386100"/>
      <w:bookmarkStart w:id="78" w:name="_Toc132437292"/>
      <w:r w:rsidRPr="00E30E2D">
        <w:rPr>
          <w:rFonts w:ascii="Times New Roman" w:hAnsi="Times New Roman" w:cs="Times New Roman"/>
          <w:b/>
          <w:bCs/>
          <w:i w:val="0"/>
          <w:iCs w:val="0"/>
          <w:color w:val="000000" w:themeColor="text1"/>
          <w:sz w:val="28"/>
          <w:szCs w:val="28"/>
        </w:rPr>
        <w:t>Table3.</w:t>
      </w:r>
      <w:r w:rsidR="001435EA">
        <w:rPr>
          <w:rFonts w:ascii="Times New Roman" w:hAnsi="Times New Roman" w:cs="Times New Roman"/>
          <w:b/>
          <w:bCs/>
          <w:i w:val="0"/>
          <w:iCs w:val="0"/>
          <w:color w:val="000000" w:themeColor="text1"/>
          <w:sz w:val="28"/>
          <w:szCs w:val="28"/>
        </w:rPr>
        <w:t>9</w:t>
      </w:r>
      <w:r w:rsidRPr="00E30E2D">
        <w:rPr>
          <w:rFonts w:ascii="Times New Roman" w:hAnsi="Times New Roman" w:cs="Times New Roman"/>
          <w:b/>
          <w:bCs/>
          <w:i w:val="0"/>
          <w:iCs w:val="0"/>
          <w:color w:val="000000" w:themeColor="text1"/>
          <w:sz w:val="28"/>
          <w:szCs w:val="28"/>
        </w:rPr>
        <w:t>. Robustness Check</w:t>
      </w:r>
      <w:bookmarkEnd w:id="76"/>
      <w:bookmarkEnd w:id="77"/>
      <w:bookmarkEnd w:id="78"/>
    </w:p>
    <w:p w14:paraId="3F050428" w14:textId="1FA31111" w:rsidR="00DE7639" w:rsidRPr="00E30E2D" w:rsidRDefault="00DE7639" w:rsidP="00E30E2D">
      <w:pPr>
        <w:widowControl w:val="0"/>
        <w:autoSpaceDE w:val="0"/>
        <w:autoSpaceDN w:val="0"/>
        <w:adjustRightInd w:val="0"/>
        <w:jc w:val="both"/>
        <w:rPr>
          <w:rFonts w:ascii="Times New Roman" w:eastAsia="Times New Roman" w:hAnsi="Times New Roman" w:cs="Times New Roman"/>
        </w:rPr>
      </w:pPr>
      <w:r w:rsidRPr="00880312">
        <w:rPr>
          <w:rFonts w:ascii="Times New Roman" w:eastAsia="Times New Roman" w:hAnsi="Times New Roman" w:cs="Times New Roman"/>
        </w:rPr>
        <w:t>In this</w:t>
      </w:r>
      <w:r w:rsidR="00E30E2D">
        <w:rPr>
          <w:rFonts w:ascii="Times New Roman" w:eastAsia="Times New Roman" w:hAnsi="Times New Roman" w:cs="Times New Roman"/>
        </w:rPr>
        <w:t xml:space="preserve"> table,</w:t>
      </w:r>
      <w:r w:rsidRPr="00880312">
        <w:rPr>
          <w:rFonts w:ascii="Times New Roman" w:eastAsia="Times New Roman" w:hAnsi="Times New Roman" w:cs="Times New Roman"/>
        </w:rPr>
        <w:t xml:space="preserve"> we </w:t>
      </w:r>
      <w:r w:rsidR="00E30E2D">
        <w:rPr>
          <w:rFonts w:ascii="Times New Roman" w:eastAsia="Times New Roman" w:hAnsi="Times New Roman" w:cs="Times New Roman"/>
        </w:rPr>
        <w:t>show</w:t>
      </w:r>
      <w:r w:rsidRPr="00880312">
        <w:rPr>
          <w:rFonts w:ascii="Times New Roman" w:eastAsia="Times New Roman" w:hAnsi="Times New Roman" w:cs="Times New Roman"/>
        </w:rPr>
        <w:t xml:space="preserve"> </w:t>
      </w:r>
      <w:r w:rsidR="00E30E2D">
        <w:rPr>
          <w:rFonts w:ascii="Times New Roman" w:eastAsia="Times New Roman" w:hAnsi="Times New Roman" w:cs="Times New Roman"/>
        </w:rPr>
        <w:t xml:space="preserve">a </w:t>
      </w:r>
      <w:r w:rsidRPr="00880312">
        <w:rPr>
          <w:rFonts w:ascii="Times New Roman" w:eastAsia="Times New Roman" w:hAnsi="Times New Roman" w:cs="Times New Roman"/>
        </w:rPr>
        <w:t>robustness check to check the validity of our baseline model. In Model (1)</w:t>
      </w:r>
      <w:r w:rsidR="00E30E2D">
        <w:rPr>
          <w:rFonts w:ascii="Times New Roman" w:eastAsia="Times New Roman" w:hAnsi="Times New Roman" w:cs="Times New Roman"/>
        </w:rPr>
        <w:t>,</w:t>
      </w:r>
      <w:r w:rsidRPr="00880312">
        <w:rPr>
          <w:rFonts w:ascii="Times New Roman" w:eastAsia="Times New Roman" w:hAnsi="Times New Roman" w:cs="Times New Roman"/>
        </w:rPr>
        <w:t xml:space="preserve"> we run our baseline model using another proxy for risk</w:t>
      </w:r>
      <w:r w:rsidR="00E30E2D">
        <w:rPr>
          <w:rFonts w:ascii="Times New Roman" w:eastAsia="Times New Roman" w:hAnsi="Times New Roman" w:cs="Times New Roman"/>
        </w:rPr>
        <w:t>,</w:t>
      </w:r>
      <w:r w:rsidRPr="00880312">
        <w:rPr>
          <w:rFonts w:ascii="Times New Roman" w:eastAsia="Times New Roman" w:hAnsi="Times New Roman" w:cs="Times New Roman"/>
        </w:rPr>
        <w:t xml:space="preserve"> i.e. Residual Risk. In Model (2), we deal with unobserved heterogeneity in banks with female CROs. We run our baseline model using panel fixed effects. A detailed description of the variables is given in Table 1. Standard errors are reported in parentheses. ***, **, * indicates significance at the 1, 5, </w:t>
      </w:r>
      <w:r w:rsidR="00E30E2D">
        <w:rPr>
          <w:rFonts w:ascii="Times New Roman" w:eastAsia="Times New Roman" w:hAnsi="Times New Roman" w:cs="Times New Roman"/>
        </w:rPr>
        <w:t xml:space="preserve">and </w:t>
      </w:r>
      <w:r w:rsidRPr="00880312">
        <w:rPr>
          <w:rFonts w:ascii="Times New Roman" w:eastAsia="Times New Roman" w:hAnsi="Times New Roman" w:cs="Times New Roman"/>
        </w:rPr>
        <w:t>10 percent levels, respectively</w:t>
      </w:r>
    </w:p>
    <w:tbl>
      <w:tblPr>
        <w:tblpPr w:leftFromText="180" w:rightFromText="180" w:vertAnchor="text" w:horzAnchor="margin" w:tblpXSpec="center" w:tblpY="250"/>
        <w:tblW w:w="7707" w:type="dxa"/>
        <w:tblLayout w:type="fixed"/>
        <w:tblCellMar>
          <w:left w:w="75" w:type="dxa"/>
          <w:right w:w="75" w:type="dxa"/>
        </w:tblCellMar>
        <w:tblLook w:val="0000" w:firstRow="0" w:lastRow="0" w:firstColumn="0" w:lastColumn="0" w:noHBand="0" w:noVBand="0"/>
      </w:tblPr>
      <w:tblGrid>
        <w:gridCol w:w="3981"/>
        <w:gridCol w:w="1584"/>
        <w:gridCol w:w="2142"/>
      </w:tblGrid>
      <w:tr w:rsidR="00880312" w:rsidRPr="00880312" w14:paraId="7D1797D7" w14:textId="77777777" w:rsidTr="009E69CE">
        <w:tc>
          <w:tcPr>
            <w:tcW w:w="3981" w:type="dxa"/>
            <w:tcBorders>
              <w:top w:val="single" w:sz="4" w:space="0" w:color="auto"/>
              <w:left w:val="single" w:sz="4" w:space="0" w:color="auto"/>
            </w:tcBorders>
          </w:tcPr>
          <w:p w14:paraId="360BB079"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p>
        </w:tc>
        <w:tc>
          <w:tcPr>
            <w:tcW w:w="1584" w:type="dxa"/>
            <w:tcBorders>
              <w:top w:val="single" w:sz="4" w:space="0" w:color="auto"/>
            </w:tcBorders>
          </w:tcPr>
          <w:p w14:paraId="797DD1F1"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w:t>
            </w:r>
          </w:p>
        </w:tc>
        <w:tc>
          <w:tcPr>
            <w:tcW w:w="2142" w:type="dxa"/>
            <w:tcBorders>
              <w:top w:val="single" w:sz="4" w:space="0" w:color="auto"/>
              <w:right w:val="single" w:sz="4" w:space="0" w:color="auto"/>
            </w:tcBorders>
          </w:tcPr>
          <w:p w14:paraId="6AEC0F65" w14:textId="01BF23EA"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w:t>
            </w:r>
            <w:r w:rsidR="009A01D0">
              <w:rPr>
                <w:rFonts w:ascii="Times New Roman" w:eastAsia="DengXian" w:hAnsi="Times New Roman" w:cs="Times New Roman"/>
                <w:sz w:val="20"/>
                <w:szCs w:val="20"/>
              </w:rPr>
              <w:t>2</w:t>
            </w:r>
            <w:r w:rsidRPr="001278ED">
              <w:rPr>
                <w:rFonts w:ascii="Times New Roman" w:eastAsia="DengXian" w:hAnsi="Times New Roman" w:cs="Times New Roman"/>
                <w:sz w:val="20"/>
                <w:szCs w:val="20"/>
              </w:rPr>
              <w:t>)</w:t>
            </w:r>
          </w:p>
        </w:tc>
      </w:tr>
      <w:tr w:rsidR="00880312" w:rsidRPr="00880312" w14:paraId="02ED6B59" w14:textId="77777777" w:rsidTr="009E69CE">
        <w:tc>
          <w:tcPr>
            <w:tcW w:w="3981" w:type="dxa"/>
            <w:tcBorders>
              <w:left w:val="single" w:sz="4" w:space="0" w:color="auto"/>
              <w:bottom w:val="single" w:sz="4" w:space="0" w:color="auto"/>
            </w:tcBorders>
          </w:tcPr>
          <w:p w14:paraId="0D290094"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VARIABLES</w:t>
            </w:r>
          </w:p>
        </w:tc>
        <w:tc>
          <w:tcPr>
            <w:tcW w:w="1584" w:type="dxa"/>
            <w:tcBorders>
              <w:bottom w:val="single" w:sz="4" w:space="0" w:color="auto"/>
            </w:tcBorders>
          </w:tcPr>
          <w:p w14:paraId="7907EFC6"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Residual Risk</w:t>
            </w:r>
          </w:p>
        </w:tc>
        <w:tc>
          <w:tcPr>
            <w:tcW w:w="2142" w:type="dxa"/>
            <w:tcBorders>
              <w:bottom w:val="single" w:sz="4" w:space="0" w:color="auto"/>
              <w:right w:val="single" w:sz="4" w:space="0" w:color="auto"/>
            </w:tcBorders>
          </w:tcPr>
          <w:p w14:paraId="4086801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r>
      <w:tr w:rsidR="00880312" w:rsidRPr="00880312" w14:paraId="1AFC7D91" w14:textId="77777777" w:rsidTr="009E69CE">
        <w:tc>
          <w:tcPr>
            <w:tcW w:w="3981" w:type="dxa"/>
            <w:tcBorders>
              <w:top w:val="single" w:sz="4" w:space="0" w:color="auto"/>
              <w:left w:val="single" w:sz="4" w:space="0" w:color="auto"/>
            </w:tcBorders>
          </w:tcPr>
          <w:p w14:paraId="693BD925"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p>
        </w:tc>
        <w:tc>
          <w:tcPr>
            <w:tcW w:w="1584" w:type="dxa"/>
            <w:tcBorders>
              <w:top w:val="single" w:sz="4" w:space="0" w:color="auto"/>
            </w:tcBorders>
          </w:tcPr>
          <w:p w14:paraId="380659E7"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142" w:type="dxa"/>
            <w:tcBorders>
              <w:top w:val="single" w:sz="4" w:space="0" w:color="auto"/>
              <w:right w:val="single" w:sz="4" w:space="0" w:color="auto"/>
            </w:tcBorders>
          </w:tcPr>
          <w:p w14:paraId="66B3CE41"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p>
        </w:tc>
      </w:tr>
      <w:tr w:rsidR="00880312" w:rsidRPr="00880312" w14:paraId="0162A38C" w14:textId="77777777" w:rsidTr="009E69CE">
        <w:trPr>
          <w:trHeight w:val="562"/>
        </w:trPr>
        <w:tc>
          <w:tcPr>
            <w:tcW w:w="3981" w:type="dxa"/>
            <w:tcBorders>
              <w:left w:val="single" w:sz="4" w:space="0" w:color="auto"/>
              <w:bottom w:val="single" w:sz="4" w:space="0" w:color="auto"/>
            </w:tcBorders>
          </w:tcPr>
          <w:p w14:paraId="6369D101"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w:t>
            </w:r>
          </w:p>
        </w:tc>
        <w:tc>
          <w:tcPr>
            <w:tcW w:w="1584" w:type="dxa"/>
            <w:tcBorders>
              <w:bottom w:val="single" w:sz="4" w:space="0" w:color="auto"/>
            </w:tcBorders>
          </w:tcPr>
          <w:p w14:paraId="6D840F71"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7E515A75"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142" w:type="dxa"/>
            <w:tcBorders>
              <w:bottom w:val="single" w:sz="4" w:space="0" w:color="auto"/>
              <w:right w:val="single" w:sz="4" w:space="0" w:color="auto"/>
            </w:tcBorders>
          </w:tcPr>
          <w:p w14:paraId="120836D0"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602B8A39"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880312" w14:paraId="5B7A56B7" w14:textId="77777777" w:rsidTr="009E69CE">
        <w:trPr>
          <w:trHeight w:val="562"/>
        </w:trPr>
        <w:tc>
          <w:tcPr>
            <w:tcW w:w="3981" w:type="dxa"/>
            <w:tcBorders>
              <w:top w:val="single" w:sz="4" w:space="0" w:color="auto"/>
              <w:left w:val="single" w:sz="4" w:space="0" w:color="auto"/>
              <w:bottom w:val="single" w:sz="4" w:space="0" w:color="auto"/>
            </w:tcBorders>
          </w:tcPr>
          <w:p w14:paraId="4028E87B"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Independence (%)</w:t>
            </w:r>
          </w:p>
        </w:tc>
        <w:tc>
          <w:tcPr>
            <w:tcW w:w="1584" w:type="dxa"/>
            <w:tcBorders>
              <w:top w:val="single" w:sz="4" w:space="0" w:color="auto"/>
              <w:bottom w:val="single" w:sz="4" w:space="0" w:color="auto"/>
            </w:tcBorders>
          </w:tcPr>
          <w:p w14:paraId="7C6BA07B" w14:textId="6DBFB1CC"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0.010</w:t>
            </w:r>
          </w:p>
          <w:p w14:paraId="47F88645" w14:textId="09FDD0D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w:t>
            </w:r>
            <w:r w:rsidR="005A02CD">
              <w:rPr>
                <w:rFonts w:ascii="Times New Roman" w:eastAsia="DengXian" w:hAnsi="Times New Roman" w:cs="Times New Roman"/>
                <w:sz w:val="20"/>
                <w:szCs w:val="20"/>
              </w:rPr>
              <w:t>17</w:t>
            </w:r>
            <w:r w:rsidRPr="001278ED">
              <w:rPr>
                <w:rFonts w:ascii="Times New Roman" w:eastAsia="DengXian" w:hAnsi="Times New Roman" w:cs="Times New Roman"/>
                <w:sz w:val="20"/>
                <w:szCs w:val="20"/>
              </w:rPr>
              <w:t>)</w:t>
            </w:r>
          </w:p>
        </w:tc>
        <w:tc>
          <w:tcPr>
            <w:tcW w:w="2142" w:type="dxa"/>
            <w:tcBorders>
              <w:top w:val="single" w:sz="4" w:space="0" w:color="auto"/>
              <w:bottom w:val="single" w:sz="4" w:space="0" w:color="auto"/>
              <w:right w:val="single" w:sz="4" w:space="0" w:color="auto"/>
            </w:tcBorders>
          </w:tcPr>
          <w:p w14:paraId="2443DB03"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5A35C2AD"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r>
      <w:tr w:rsidR="00880312" w:rsidRPr="00880312" w14:paraId="27E916CA" w14:textId="77777777" w:rsidTr="009E69CE">
        <w:trPr>
          <w:trHeight w:val="562"/>
        </w:trPr>
        <w:tc>
          <w:tcPr>
            <w:tcW w:w="3981" w:type="dxa"/>
            <w:tcBorders>
              <w:top w:val="single" w:sz="4" w:space="0" w:color="auto"/>
              <w:left w:val="single" w:sz="4" w:space="0" w:color="auto"/>
              <w:bottom w:val="single" w:sz="4" w:space="0" w:color="auto"/>
            </w:tcBorders>
          </w:tcPr>
          <w:p w14:paraId="7F5D8B96"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Size</w:t>
            </w:r>
          </w:p>
        </w:tc>
        <w:tc>
          <w:tcPr>
            <w:tcW w:w="1584" w:type="dxa"/>
            <w:tcBorders>
              <w:top w:val="single" w:sz="4" w:space="0" w:color="auto"/>
              <w:bottom w:val="single" w:sz="4" w:space="0" w:color="auto"/>
            </w:tcBorders>
          </w:tcPr>
          <w:p w14:paraId="42C0E2EB" w14:textId="4E843805" w:rsidR="00880312" w:rsidRPr="001278ED" w:rsidRDefault="00E533A3"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Pr>
                <w:rFonts w:ascii="Times New Roman" w:eastAsia="DengXian" w:hAnsi="Times New Roman" w:cs="Times New Roman"/>
                <w:sz w:val="20"/>
                <w:szCs w:val="20"/>
              </w:rPr>
              <w:t>-</w:t>
            </w:r>
            <w:r w:rsidR="00880312" w:rsidRPr="001278ED">
              <w:rPr>
                <w:rFonts w:ascii="Times New Roman" w:eastAsia="DengXian" w:hAnsi="Times New Roman" w:cs="Times New Roman"/>
                <w:sz w:val="20"/>
                <w:szCs w:val="20"/>
              </w:rPr>
              <w:t>0.002</w:t>
            </w:r>
            <w:r>
              <w:rPr>
                <w:rFonts w:ascii="Times New Roman" w:eastAsia="DengXian" w:hAnsi="Times New Roman" w:cs="Times New Roman"/>
                <w:sz w:val="20"/>
                <w:szCs w:val="20"/>
              </w:rPr>
              <w:t>***</w:t>
            </w:r>
          </w:p>
          <w:p w14:paraId="7CCE1AB9"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142" w:type="dxa"/>
            <w:tcBorders>
              <w:top w:val="single" w:sz="4" w:space="0" w:color="auto"/>
              <w:bottom w:val="single" w:sz="4" w:space="0" w:color="auto"/>
              <w:right w:val="single" w:sz="4" w:space="0" w:color="auto"/>
            </w:tcBorders>
          </w:tcPr>
          <w:p w14:paraId="09E424BF" w14:textId="33222FF8"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r w:rsidR="00E533A3">
              <w:rPr>
                <w:rFonts w:ascii="Times New Roman" w:eastAsia="DengXian" w:hAnsi="Times New Roman" w:cs="Times New Roman"/>
                <w:sz w:val="20"/>
                <w:szCs w:val="20"/>
              </w:rPr>
              <w:t>***</w:t>
            </w:r>
          </w:p>
          <w:p w14:paraId="1062587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880312" w14:paraId="177F1F4D" w14:textId="77777777" w:rsidTr="009E69CE">
        <w:trPr>
          <w:trHeight w:val="562"/>
        </w:trPr>
        <w:tc>
          <w:tcPr>
            <w:tcW w:w="3981" w:type="dxa"/>
            <w:tcBorders>
              <w:top w:val="single" w:sz="4" w:space="0" w:color="auto"/>
              <w:left w:val="single" w:sz="4" w:space="0" w:color="auto"/>
              <w:bottom w:val="single" w:sz="4" w:space="0" w:color="auto"/>
            </w:tcBorders>
          </w:tcPr>
          <w:p w14:paraId="341C0E63"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584" w:type="dxa"/>
            <w:tcBorders>
              <w:top w:val="single" w:sz="4" w:space="0" w:color="auto"/>
              <w:bottom w:val="single" w:sz="4" w:space="0" w:color="auto"/>
            </w:tcBorders>
          </w:tcPr>
          <w:p w14:paraId="3360BEFD"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218BAD47"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142" w:type="dxa"/>
            <w:tcBorders>
              <w:top w:val="single" w:sz="4" w:space="0" w:color="auto"/>
              <w:bottom w:val="single" w:sz="4" w:space="0" w:color="auto"/>
              <w:right w:val="single" w:sz="4" w:space="0" w:color="auto"/>
            </w:tcBorders>
          </w:tcPr>
          <w:p w14:paraId="06834D92"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7643862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880312" w14:paraId="4E974F5A" w14:textId="77777777" w:rsidTr="009E69CE">
        <w:trPr>
          <w:trHeight w:val="562"/>
        </w:trPr>
        <w:tc>
          <w:tcPr>
            <w:tcW w:w="3981" w:type="dxa"/>
            <w:tcBorders>
              <w:top w:val="single" w:sz="4" w:space="0" w:color="auto"/>
              <w:left w:val="single" w:sz="4" w:space="0" w:color="auto"/>
              <w:bottom w:val="single" w:sz="4" w:space="0" w:color="auto"/>
            </w:tcBorders>
          </w:tcPr>
          <w:p w14:paraId="02E0943C"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584" w:type="dxa"/>
            <w:tcBorders>
              <w:top w:val="single" w:sz="4" w:space="0" w:color="auto"/>
              <w:bottom w:val="single" w:sz="4" w:space="0" w:color="auto"/>
            </w:tcBorders>
          </w:tcPr>
          <w:p w14:paraId="7CA36B4E"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2458814E" w14:textId="74883F16"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2142" w:type="dxa"/>
            <w:tcBorders>
              <w:top w:val="single" w:sz="4" w:space="0" w:color="auto"/>
              <w:bottom w:val="single" w:sz="4" w:space="0" w:color="auto"/>
              <w:right w:val="single" w:sz="4" w:space="0" w:color="auto"/>
            </w:tcBorders>
          </w:tcPr>
          <w:p w14:paraId="72656260" w14:textId="456C5E08"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E533A3">
              <w:rPr>
                <w:rFonts w:ascii="Times New Roman" w:eastAsia="DengXian" w:hAnsi="Times New Roman" w:cs="Times New Roman"/>
                <w:sz w:val="20"/>
                <w:szCs w:val="20"/>
              </w:rPr>
              <w:t>***</w:t>
            </w:r>
          </w:p>
          <w:p w14:paraId="367C034C" w14:textId="6AE88020"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880312" w:rsidRPr="00880312" w14:paraId="1F73AD20" w14:textId="77777777" w:rsidTr="009E69CE">
        <w:trPr>
          <w:trHeight w:val="562"/>
        </w:trPr>
        <w:tc>
          <w:tcPr>
            <w:tcW w:w="3981" w:type="dxa"/>
            <w:tcBorders>
              <w:top w:val="single" w:sz="4" w:space="0" w:color="auto"/>
              <w:left w:val="single" w:sz="4" w:space="0" w:color="auto"/>
              <w:bottom w:val="single" w:sz="4" w:space="0" w:color="auto"/>
            </w:tcBorders>
          </w:tcPr>
          <w:p w14:paraId="1DCC1A3F"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St Borrowing/TA</w:t>
            </w:r>
          </w:p>
        </w:tc>
        <w:tc>
          <w:tcPr>
            <w:tcW w:w="1584" w:type="dxa"/>
            <w:tcBorders>
              <w:top w:val="single" w:sz="4" w:space="0" w:color="auto"/>
              <w:bottom w:val="single" w:sz="4" w:space="0" w:color="auto"/>
            </w:tcBorders>
          </w:tcPr>
          <w:p w14:paraId="3A17A19A"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0.062***</w:t>
            </w:r>
          </w:p>
          <w:p w14:paraId="379F6C0F"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(0.014)</w:t>
            </w:r>
          </w:p>
        </w:tc>
        <w:tc>
          <w:tcPr>
            <w:tcW w:w="2142" w:type="dxa"/>
            <w:tcBorders>
              <w:top w:val="single" w:sz="4" w:space="0" w:color="auto"/>
              <w:bottom w:val="single" w:sz="4" w:space="0" w:color="auto"/>
              <w:right w:val="single" w:sz="4" w:space="0" w:color="auto"/>
            </w:tcBorders>
          </w:tcPr>
          <w:p w14:paraId="7A01507D"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0.015*</w:t>
            </w:r>
          </w:p>
          <w:p w14:paraId="1F79D1D5"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(0.009)</w:t>
            </w:r>
          </w:p>
        </w:tc>
      </w:tr>
      <w:tr w:rsidR="00880312" w:rsidRPr="00880312" w14:paraId="4484C515" w14:textId="77777777" w:rsidTr="009E69CE">
        <w:trPr>
          <w:trHeight w:val="562"/>
        </w:trPr>
        <w:tc>
          <w:tcPr>
            <w:tcW w:w="3981" w:type="dxa"/>
            <w:tcBorders>
              <w:top w:val="single" w:sz="4" w:space="0" w:color="auto"/>
              <w:left w:val="single" w:sz="4" w:space="0" w:color="auto"/>
              <w:bottom w:val="single" w:sz="4" w:space="0" w:color="auto"/>
            </w:tcBorders>
          </w:tcPr>
          <w:p w14:paraId="33C568D0"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 /TA</w:t>
            </w:r>
          </w:p>
        </w:tc>
        <w:tc>
          <w:tcPr>
            <w:tcW w:w="1584" w:type="dxa"/>
            <w:tcBorders>
              <w:top w:val="single" w:sz="4" w:space="0" w:color="auto"/>
              <w:bottom w:val="single" w:sz="4" w:space="0" w:color="auto"/>
            </w:tcBorders>
          </w:tcPr>
          <w:p w14:paraId="3752B247"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0.147***</w:t>
            </w:r>
          </w:p>
          <w:p w14:paraId="7A8E28E7"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(0.029)</w:t>
            </w:r>
          </w:p>
        </w:tc>
        <w:tc>
          <w:tcPr>
            <w:tcW w:w="2142" w:type="dxa"/>
            <w:tcBorders>
              <w:top w:val="single" w:sz="4" w:space="0" w:color="auto"/>
              <w:bottom w:val="single" w:sz="4" w:space="0" w:color="auto"/>
              <w:right w:val="single" w:sz="4" w:space="0" w:color="auto"/>
            </w:tcBorders>
          </w:tcPr>
          <w:p w14:paraId="3AC42153"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0.152***</w:t>
            </w:r>
          </w:p>
          <w:p w14:paraId="113F4D4A"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w:t>
            </w:r>
          </w:p>
        </w:tc>
      </w:tr>
      <w:tr w:rsidR="00880312" w:rsidRPr="00880312" w14:paraId="192E1FC9" w14:textId="77777777" w:rsidTr="009E69CE">
        <w:trPr>
          <w:trHeight w:val="562"/>
        </w:trPr>
        <w:tc>
          <w:tcPr>
            <w:tcW w:w="3981" w:type="dxa"/>
            <w:tcBorders>
              <w:top w:val="single" w:sz="4" w:space="0" w:color="auto"/>
              <w:left w:val="single" w:sz="4" w:space="0" w:color="auto"/>
              <w:bottom w:val="single" w:sz="4" w:space="0" w:color="auto"/>
            </w:tcBorders>
          </w:tcPr>
          <w:p w14:paraId="34898F1F"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584" w:type="dxa"/>
            <w:tcBorders>
              <w:top w:val="single" w:sz="4" w:space="0" w:color="auto"/>
              <w:bottom w:val="single" w:sz="4" w:space="0" w:color="auto"/>
            </w:tcBorders>
          </w:tcPr>
          <w:p w14:paraId="1C445F99" w14:textId="5F78219A"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06142111" w14:textId="26DE2C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2142" w:type="dxa"/>
            <w:tcBorders>
              <w:top w:val="single" w:sz="4" w:space="0" w:color="auto"/>
              <w:bottom w:val="single" w:sz="4" w:space="0" w:color="auto"/>
              <w:right w:val="single" w:sz="4" w:space="0" w:color="auto"/>
            </w:tcBorders>
          </w:tcPr>
          <w:p w14:paraId="4D452A4B" w14:textId="472421A8"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E533A3">
              <w:rPr>
                <w:rFonts w:ascii="Times New Roman" w:eastAsia="DengXian" w:hAnsi="Times New Roman" w:cs="Times New Roman"/>
                <w:sz w:val="20"/>
                <w:szCs w:val="20"/>
              </w:rPr>
              <w:t>***</w:t>
            </w:r>
          </w:p>
          <w:p w14:paraId="71746406" w14:textId="345C9976"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880312" w:rsidRPr="00880312" w14:paraId="6FE9E4FB" w14:textId="77777777" w:rsidTr="009E69CE">
        <w:trPr>
          <w:trHeight w:val="562"/>
        </w:trPr>
        <w:tc>
          <w:tcPr>
            <w:tcW w:w="3981" w:type="dxa"/>
            <w:tcBorders>
              <w:top w:val="single" w:sz="4" w:space="0" w:color="auto"/>
              <w:left w:val="single" w:sz="4" w:space="0" w:color="auto"/>
              <w:bottom w:val="single" w:sz="4" w:space="0" w:color="auto"/>
            </w:tcBorders>
          </w:tcPr>
          <w:p w14:paraId="19862130" w14:textId="791EAA27" w:rsidR="00880312" w:rsidRPr="001278ED" w:rsidRDefault="00E533A3" w:rsidP="00880312">
            <w:pPr>
              <w:widowControl w:val="0"/>
              <w:autoSpaceDE w:val="0"/>
              <w:autoSpaceDN w:val="0"/>
              <w:adjustRightInd w:val="0"/>
              <w:spacing w:after="0" w:line="240" w:lineRule="auto"/>
              <w:rPr>
                <w:rFonts w:ascii="Times New Roman" w:eastAsia="DengXian" w:hAnsi="Times New Roman" w:cs="Times New Roman"/>
                <w:sz w:val="20"/>
                <w:szCs w:val="20"/>
              </w:rPr>
            </w:pPr>
            <w:r>
              <w:rPr>
                <w:rFonts w:ascii="Times New Roman" w:eastAsia="DengXian" w:hAnsi="Times New Roman" w:cs="Times New Roman"/>
                <w:sz w:val="20"/>
                <w:szCs w:val="20"/>
              </w:rPr>
              <w:t>Bank</w:t>
            </w:r>
            <w:r w:rsidR="00880312" w:rsidRPr="001278ED">
              <w:rPr>
                <w:rFonts w:ascii="Times New Roman" w:eastAsia="DengXian" w:hAnsi="Times New Roman" w:cs="Times New Roman"/>
                <w:sz w:val="20"/>
                <w:szCs w:val="20"/>
              </w:rPr>
              <w:t xml:space="preserve"> Size</w:t>
            </w:r>
          </w:p>
        </w:tc>
        <w:tc>
          <w:tcPr>
            <w:tcW w:w="1584" w:type="dxa"/>
            <w:tcBorders>
              <w:top w:val="single" w:sz="4" w:space="0" w:color="auto"/>
              <w:bottom w:val="single" w:sz="4" w:space="0" w:color="auto"/>
            </w:tcBorders>
          </w:tcPr>
          <w:p w14:paraId="49B3E6A2" w14:textId="4FCF9DE0"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15A3B789" w14:textId="28729BCC"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E533A3">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2142" w:type="dxa"/>
            <w:tcBorders>
              <w:top w:val="single" w:sz="4" w:space="0" w:color="auto"/>
              <w:bottom w:val="single" w:sz="4" w:space="0" w:color="auto"/>
              <w:right w:val="single" w:sz="4" w:space="0" w:color="auto"/>
            </w:tcBorders>
          </w:tcPr>
          <w:p w14:paraId="44C4BEB6"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4AD531F2"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880312" w:rsidRPr="00880312" w14:paraId="6F5C20C5" w14:textId="77777777" w:rsidTr="009E69CE">
        <w:trPr>
          <w:trHeight w:val="562"/>
        </w:trPr>
        <w:tc>
          <w:tcPr>
            <w:tcW w:w="3981" w:type="dxa"/>
            <w:tcBorders>
              <w:top w:val="single" w:sz="4" w:space="0" w:color="auto"/>
              <w:left w:val="single" w:sz="4" w:space="0" w:color="auto"/>
              <w:bottom w:val="single" w:sz="4" w:space="0" w:color="auto"/>
            </w:tcBorders>
          </w:tcPr>
          <w:p w14:paraId="7B0269BD"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584" w:type="dxa"/>
            <w:tcBorders>
              <w:top w:val="single" w:sz="4" w:space="0" w:color="auto"/>
              <w:bottom w:val="single" w:sz="4" w:space="0" w:color="auto"/>
            </w:tcBorders>
          </w:tcPr>
          <w:p w14:paraId="269F81E8"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504759B4"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c>
          <w:tcPr>
            <w:tcW w:w="2142" w:type="dxa"/>
            <w:tcBorders>
              <w:top w:val="single" w:sz="4" w:space="0" w:color="auto"/>
              <w:bottom w:val="single" w:sz="4" w:space="0" w:color="auto"/>
              <w:right w:val="single" w:sz="4" w:space="0" w:color="auto"/>
            </w:tcBorders>
          </w:tcPr>
          <w:p w14:paraId="5C491F9D"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p w14:paraId="7C4E9FF9"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r>
      <w:tr w:rsidR="00880312" w:rsidRPr="00880312" w14:paraId="7933FBF5" w14:textId="77777777" w:rsidTr="009E69CE">
        <w:trPr>
          <w:trHeight w:val="562"/>
        </w:trPr>
        <w:tc>
          <w:tcPr>
            <w:tcW w:w="3981" w:type="dxa"/>
            <w:tcBorders>
              <w:top w:val="single" w:sz="4" w:space="0" w:color="auto"/>
              <w:left w:val="single" w:sz="4" w:space="0" w:color="auto"/>
              <w:bottom w:val="single" w:sz="4" w:space="0" w:color="auto"/>
            </w:tcBorders>
          </w:tcPr>
          <w:p w14:paraId="3C621596"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Constant</w:t>
            </w:r>
          </w:p>
        </w:tc>
        <w:tc>
          <w:tcPr>
            <w:tcW w:w="1584" w:type="dxa"/>
            <w:tcBorders>
              <w:top w:val="single" w:sz="4" w:space="0" w:color="auto"/>
              <w:bottom w:val="single" w:sz="4" w:space="0" w:color="auto"/>
            </w:tcBorders>
          </w:tcPr>
          <w:p w14:paraId="19E2E440"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0.030***</w:t>
            </w:r>
          </w:p>
          <w:p w14:paraId="305B2D0A"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(0.007)</w:t>
            </w:r>
          </w:p>
        </w:tc>
        <w:tc>
          <w:tcPr>
            <w:tcW w:w="2142" w:type="dxa"/>
            <w:tcBorders>
              <w:top w:val="single" w:sz="4" w:space="0" w:color="auto"/>
              <w:bottom w:val="single" w:sz="4" w:space="0" w:color="auto"/>
              <w:right w:val="single" w:sz="4" w:space="0" w:color="auto"/>
            </w:tcBorders>
          </w:tcPr>
          <w:p w14:paraId="34DB9E8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-0.019**</w:t>
            </w:r>
          </w:p>
          <w:p w14:paraId="685E0007"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(0.009)</w:t>
            </w:r>
          </w:p>
        </w:tc>
      </w:tr>
      <w:tr w:rsidR="00880312" w:rsidRPr="00880312" w14:paraId="7423F0C1" w14:textId="77777777" w:rsidTr="009E69CE">
        <w:tc>
          <w:tcPr>
            <w:tcW w:w="3981" w:type="dxa"/>
            <w:tcBorders>
              <w:top w:val="single" w:sz="4" w:space="0" w:color="auto"/>
              <w:left w:val="single" w:sz="4" w:space="0" w:color="auto"/>
              <w:bottom w:val="single" w:sz="4" w:space="0" w:color="auto"/>
            </w:tcBorders>
          </w:tcPr>
          <w:p w14:paraId="5A55EA07"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1584" w:type="dxa"/>
            <w:tcBorders>
              <w:top w:val="single" w:sz="4" w:space="0" w:color="auto"/>
            </w:tcBorders>
          </w:tcPr>
          <w:p w14:paraId="2CFFEA7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142" w:type="dxa"/>
            <w:tcBorders>
              <w:top w:val="single" w:sz="4" w:space="0" w:color="auto"/>
              <w:bottom w:val="single" w:sz="4" w:space="0" w:color="auto"/>
              <w:right w:val="single" w:sz="4" w:space="0" w:color="auto"/>
            </w:tcBorders>
          </w:tcPr>
          <w:p w14:paraId="70D345A6"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880312" w:rsidRPr="00880312" w14:paraId="3862183C" w14:textId="77777777" w:rsidTr="009E69CE">
        <w:tc>
          <w:tcPr>
            <w:tcW w:w="3981" w:type="dxa"/>
            <w:tcBorders>
              <w:top w:val="single" w:sz="4" w:space="0" w:color="auto"/>
              <w:left w:val="single" w:sz="4" w:space="0" w:color="auto"/>
              <w:bottom w:val="single" w:sz="4" w:space="0" w:color="auto"/>
            </w:tcBorders>
          </w:tcPr>
          <w:p w14:paraId="21D81B45"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Firm F.E.</w:t>
            </w:r>
          </w:p>
        </w:tc>
        <w:tc>
          <w:tcPr>
            <w:tcW w:w="1584" w:type="dxa"/>
            <w:tcBorders>
              <w:bottom w:val="single" w:sz="4" w:space="0" w:color="auto"/>
            </w:tcBorders>
          </w:tcPr>
          <w:p w14:paraId="7A9AE2FB"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142" w:type="dxa"/>
            <w:tcBorders>
              <w:top w:val="single" w:sz="4" w:space="0" w:color="auto"/>
              <w:bottom w:val="single" w:sz="4" w:space="0" w:color="auto"/>
              <w:right w:val="single" w:sz="4" w:space="0" w:color="auto"/>
            </w:tcBorders>
          </w:tcPr>
          <w:p w14:paraId="2302AAE0"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880312" w:rsidRPr="00880312" w14:paraId="5320CA48" w14:textId="77777777" w:rsidTr="009E69CE">
        <w:tc>
          <w:tcPr>
            <w:tcW w:w="3981" w:type="dxa"/>
            <w:tcBorders>
              <w:top w:val="single" w:sz="4" w:space="0" w:color="auto"/>
              <w:left w:val="single" w:sz="4" w:space="0" w:color="auto"/>
              <w:bottom w:val="single" w:sz="4" w:space="0" w:color="auto"/>
            </w:tcBorders>
          </w:tcPr>
          <w:p w14:paraId="26488CDE"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1584" w:type="dxa"/>
            <w:tcBorders>
              <w:top w:val="single" w:sz="4" w:space="0" w:color="auto"/>
              <w:bottom w:val="single" w:sz="4" w:space="0" w:color="auto"/>
            </w:tcBorders>
          </w:tcPr>
          <w:p w14:paraId="4850D6AC"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1,203</w:t>
            </w:r>
          </w:p>
        </w:tc>
        <w:tc>
          <w:tcPr>
            <w:tcW w:w="2142" w:type="dxa"/>
            <w:tcBorders>
              <w:top w:val="single" w:sz="4" w:space="0" w:color="auto"/>
              <w:bottom w:val="single" w:sz="4" w:space="0" w:color="auto"/>
              <w:right w:val="single" w:sz="4" w:space="0" w:color="auto"/>
            </w:tcBorders>
          </w:tcPr>
          <w:p w14:paraId="60485CE6"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1,202</w:t>
            </w:r>
          </w:p>
        </w:tc>
      </w:tr>
      <w:tr w:rsidR="00880312" w:rsidRPr="00880312" w14:paraId="7573449F" w14:textId="77777777" w:rsidTr="009E69CE">
        <w:tc>
          <w:tcPr>
            <w:tcW w:w="3981" w:type="dxa"/>
            <w:tcBorders>
              <w:top w:val="single" w:sz="4" w:space="0" w:color="auto"/>
              <w:left w:val="single" w:sz="4" w:space="0" w:color="auto"/>
              <w:bottom w:val="single" w:sz="4" w:space="0" w:color="auto"/>
            </w:tcBorders>
          </w:tcPr>
          <w:p w14:paraId="2BFD071F" w14:textId="77777777" w:rsidR="00880312" w:rsidRPr="001278ED" w:rsidRDefault="00880312" w:rsidP="00880312">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R-squared</w:t>
            </w:r>
          </w:p>
        </w:tc>
        <w:tc>
          <w:tcPr>
            <w:tcW w:w="1584" w:type="dxa"/>
            <w:tcBorders>
              <w:top w:val="single" w:sz="4" w:space="0" w:color="auto"/>
              <w:bottom w:val="single" w:sz="4" w:space="0" w:color="auto"/>
            </w:tcBorders>
          </w:tcPr>
          <w:p w14:paraId="2506F75F"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0.192</w:t>
            </w:r>
          </w:p>
        </w:tc>
        <w:tc>
          <w:tcPr>
            <w:tcW w:w="2142" w:type="dxa"/>
            <w:tcBorders>
              <w:top w:val="single" w:sz="4" w:space="0" w:color="auto"/>
              <w:bottom w:val="single" w:sz="4" w:space="0" w:color="auto"/>
              <w:right w:val="single" w:sz="4" w:space="0" w:color="auto"/>
            </w:tcBorders>
          </w:tcPr>
          <w:p w14:paraId="174CB974" w14:textId="77777777" w:rsidR="00880312" w:rsidRPr="001278ED" w:rsidRDefault="00880312" w:rsidP="00880312">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0.828</w:t>
            </w:r>
          </w:p>
        </w:tc>
      </w:tr>
    </w:tbl>
    <w:p w14:paraId="765B75B9" w14:textId="77777777" w:rsidR="00197BB6" w:rsidRPr="00197BB6" w:rsidRDefault="00197BB6" w:rsidP="00197BB6">
      <w:pPr>
        <w:jc w:val="both"/>
        <w:rPr>
          <w:rFonts w:ascii="Calibri" w:eastAsia="Times New Roman" w:hAnsi="Calibri" w:cs="Times New Roman"/>
        </w:rPr>
      </w:pPr>
    </w:p>
    <w:p w14:paraId="2DC0262E" w14:textId="77777777" w:rsidR="00197BB6" w:rsidRPr="00197BB6" w:rsidRDefault="00197BB6" w:rsidP="00197BB6">
      <w:pPr>
        <w:rPr>
          <w:rFonts w:ascii="Calibri" w:eastAsia="Times New Roman" w:hAnsi="Calibri" w:cs="Times New Roman"/>
        </w:rPr>
      </w:pPr>
      <w:r w:rsidRPr="00197BB6">
        <w:rPr>
          <w:rFonts w:ascii="Calibri" w:eastAsia="Times New Roman" w:hAnsi="Calibri" w:cs="Times New Roman"/>
        </w:rPr>
        <w:br w:type="page"/>
      </w:r>
    </w:p>
    <w:p w14:paraId="136507A7" w14:textId="77777777" w:rsidR="00197BB6" w:rsidRPr="00197BB6" w:rsidRDefault="00197BB6" w:rsidP="00197BB6">
      <w:pPr>
        <w:widowControl w:val="0"/>
        <w:autoSpaceDE w:val="0"/>
        <w:autoSpaceDN w:val="0"/>
        <w:adjustRightInd w:val="0"/>
        <w:rPr>
          <w:rFonts w:ascii="Times New Roman" w:eastAsia="DengXian" w:hAnsi="Times New Roman" w:cs="Times New Roman"/>
          <w:b/>
          <w:bCs/>
          <w:i/>
          <w:iCs/>
        </w:rPr>
      </w:pPr>
    </w:p>
    <w:p w14:paraId="1A1AA00B" w14:textId="5478CF31" w:rsidR="00DE7639" w:rsidRPr="00E30E2D" w:rsidRDefault="00DE7639" w:rsidP="00DE7639">
      <w:pPr>
        <w:pStyle w:val="Caption"/>
        <w:keepNext/>
        <w:rPr>
          <w:rFonts w:ascii="Times New Roman" w:hAnsi="Times New Roman" w:cs="Times New Roman"/>
          <w:b/>
          <w:bCs/>
          <w:i w:val="0"/>
          <w:iCs w:val="0"/>
          <w:color w:val="000000" w:themeColor="text1"/>
          <w:sz w:val="28"/>
          <w:szCs w:val="28"/>
        </w:rPr>
      </w:pPr>
      <w:bookmarkStart w:id="79" w:name="_Toc132383487"/>
      <w:bookmarkStart w:id="80" w:name="_Toc132386101"/>
      <w:bookmarkStart w:id="81" w:name="_Toc132437293"/>
      <w:r w:rsidRPr="00E30E2D">
        <w:rPr>
          <w:rFonts w:ascii="Times New Roman" w:hAnsi="Times New Roman" w:cs="Times New Roman"/>
          <w:b/>
          <w:bCs/>
          <w:i w:val="0"/>
          <w:iCs w:val="0"/>
          <w:color w:val="000000" w:themeColor="text1"/>
          <w:sz w:val="28"/>
          <w:szCs w:val="28"/>
        </w:rPr>
        <w:t>Table 3.</w:t>
      </w:r>
      <w:r w:rsidR="001435EA">
        <w:rPr>
          <w:rFonts w:ascii="Times New Roman" w:hAnsi="Times New Roman" w:cs="Times New Roman"/>
          <w:b/>
          <w:bCs/>
          <w:i w:val="0"/>
          <w:iCs w:val="0"/>
          <w:color w:val="000000" w:themeColor="text1"/>
          <w:sz w:val="28"/>
          <w:szCs w:val="28"/>
        </w:rPr>
        <w:t>10</w:t>
      </w:r>
      <w:r w:rsidRPr="00E30E2D">
        <w:rPr>
          <w:rFonts w:ascii="Times New Roman" w:hAnsi="Times New Roman" w:cs="Times New Roman"/>
          <w:b/>
          <w:bCs/>
          <w:i w:val="0"/>
          <w:iCs w:val="0"/>
          <w:color w:val="000000" w:themeColor="text1"/>
          <w:sz w:val="28"/>
          <w:szCs w:val="28"/>
        </w:rPr>
        <w:t xml:space="preserve">. </w:t>
      </w:r>
      <w:bookmarkEnd w:id="79"/>
      <w:bookmarkEnd w:id="80"/>
      <w:bookmarkEnd w:id="81"/>
      <w:r w:rsidR="00740142">
        <w:rPr>
          <w:rFonts w:ascii="Times New Roman" w:hAnsi="Times New Roman" w:cs="Times New Roman"/>
          <w:b/>
          <w:bCs/>
          <w:i w:val="0"/>
          <w:iCs w:val="0"/>
          <w:color w:val="000000" w:themeColor="text1"/>
          <w:sz w:val="28"/>
          <w:szCs w:val="28"/>
        </w:rPr>
        <w:t xml:space="preserve">Female CRO and Bank Risk…Post 2009 </w:t>
      </w:r>
      <w:r w:rsidR="005B5592">
        <w:rPr>
          <w:rFonts w:ascii="Times New Roman" w:hAnsi="Times New Roman" w:cs="Times New Roman"/>
          <w:b/>
          <w:bCs/>
          <w:i w:val="0"/>
          <w:iCs w:val="0"/>
          <w:color w:val="000000" w:themeColor="text1"/>
          <w:sz w:val="28"/>
          <w:szCs w:val="28"/>
        </w:rPr>
        <w:t>Impact</w:t>
      </w:r>
    </w:p>
    <w:tbl>
      <w:tblPr>
        <w:tblW w:w="10228" w:type="dxa"/>
        <w:jc w:val="center"/>
        <w:tblLayout w:type="fixed"/>
        <w:tblCellMar>
          <w:left w:w="75" w:type="dxa"/>
          <w:right w:w="75" w:type="dxa"/>
        </w:tblCellMar>
        <w:tblLook w:val="0000" w:firstRow="0" w:lastRow="0" w:firstColumn="0" w:lastColumn="0" w:noHBand="0" w:noVBand="0"/>
      </w:tblPr>
      <w:tblGrid>
        <w:gridCol w:w="4051"/>
        <w:gridCol w:w="1728"/>
        <w:gridCol w:w="1728"/>
        <w:gridCol w:w="2721"/>
      </w:tblGrid>
      <w:tr w:rsidR="00197BB6" w:rsidRPr="00197BB6" w14:paraId="02E66452" w14:textId="77777777" w:rsidTr="00DE7639">
        <w:trPr>
          <w:trHeight w:val="567"/>
          <w:jc w:val="center"/>
        </w:trPr>
        <w:tc>
          <w:tcPr>
            <w:tcW w:w="10228" w:type="dxa"/>
            <w:gridSpan w:val="4"/>
            <w:tcBorders>
              <w:bottom w:val="single" w:sz="4" w:space="0" w:color="auto"/>
            </w:tcBorders>
          </w:tcPr>
          <w:p w14:paraId="34E00E55"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i/>
                <w:iCs/>
              </w:rPr>
            </w:pPr>
          </w:p>
          <w:p w14:paraId="129298DD" w14:textId="69888834" w:rsidR="00197BB6" w:rsidRPr="00197BB6" w:rsidRDefault="00197BB6" w:rsidP="00197BB6">
            <w:pPr>
              <w:widowControl w:val="0"/>
              <w:autoSpaceDE w:val="0"/>
              <w:autoSpaceDN w:val="0"/>
              <w:adjustRightInd w:val="0"/>
              <w:spacing w:after="0" w:line="240" w:lineRule="auto"/>
              <w:jc w:val="both"/>
              <w:rPr>
                <w:rFonts w:ascii="Times New Roman" w:eastAsia="DengXian" w:hAnsi="Times New Roman" w:cs="Times New Roman"/>
                <w:i/>
                <w:iCs/>
              </w:rPr>
            </w:pPr>
            <w:r w:rsidRPr="00197BB6">
              <w:rPr>
                <w:rFonts w:ascii="Times New Roman" w:eastAsia="DengXian" w:hAnsi="Times New Roman" w:cs="Times New Roman"/>
              </w:rPr>
              <w:t xml:space="preserve">This table reports </w:t>
            </w:r>
            <w:r w:rsidR="00E30E2D">
              <w:rPr>
                <w:rFonts w:ascii="Times New Roman" w:eastAsia="DengXian" w:hAnsi="Times New Roman" w:cs="Times New Roman"/>
              </w:rPr>
              <w:t xml:space="preserve">female CROs' </w:t>
            </w:r>
            <w:r w:rsidR="00740142">
              <w:rPr>
                <w:rFonts w:ascii="Times New Roman" w:eastAsia="DengXian" w:hAnsi="Times New Roman" w:cs="Times New Roman"/>
              </w:rPr>
              <w:t>post financial crisis of 2007-2009</w:t>
            </w:r>
            <w:r w:rsidR="00E30E2D">
              <w:rPr>
                <w:rFonts w:ascii="Times New Roman" w:eastAsia="DengXian" w:hAnsi="Times New Roman" w:cs="Times New Roman"/>
              </w:rPr>
              <w:t xml:space="preserve"> effect</w:t>
            </w:r>
            <w:r w:rsidRPr="00197BB6">
              <w:rPr>
                <w:rFonts w:ascii="Times New Roman" w:eastAsia="DengXian" w:hAnsi="Times New Roman" w:cs="Times New Roman"/>
              </w:rPr>
              <w:t xml:space="preserve"> on bank risk. </w:t>
            </w:r>
            <w:r w:rsidR="00740142">
              <w:rPr>
                <w:rFonts w:ascii="Times New Roman" w:eastAsia="DengXian" w:hAnsi="Times New Roman" w:cs="Times New Roman"/>
              </w:rPr>
              <w:t xml:space="preserve">The major regulatory reforms after GFC (2007-2009) came as </w:t>
            </w:r>
            <w:r w:rsidRPr="00197BB6">
              <w:rPr>
                <w:rFonts w:ascii="Times New Roman" w:eastAsia="DengXian" w:hAnsi="Times New Roman" w:cs="Times New Roman"/>
              </w:rPr>
              <w:t>Dodd</w:t>
            </w:r>
            <w:r w:rsidR="00DE7639">
              <w:rPr>
                <w:rFonts w:ascii="Times New Roman" w:eastAsia="DengXian" w:hAnsi="Times New Roman" w:cs="Times New Roman"/>
              </w:rPr>
              <w:t>-</w:t>
            </w:r>
            <w:r w:rsidRPr="00197BB6">
              <w:rPr>
                <w:rFonts w:ascii="Times New Roman" w:eastAsia="DengXian" w:hAnsi="Times New Roman" w:cs="Times New Roman"/>
              </w:rPr>
              <w:t>Frank Act</w:t>
            </w:r>
            <w:r w:rsidR="00740142">
              <w:rPr>
                <w:rFonts w:ascii="Times New Roman" w:eastAsia="DengXian" w:hAnsi="Times New Roman" w:cs="Times New Roman"/>
              </w:rPr>
              <w:t>, which</w:t>
            </w:r>
            <w:r w:rsidRPr="00197BB6">
              <w:rPr>
                <w:rFonts w:ascii="Times New Roman" w:eastAsia="DengXian" w:hAnsi="Times New Roman" w:cs="Times New Roman"/>
              </w:rPr>
              <w:t xml:space="preserve"> was passed in July 2010</w:t>
            </w:r>
            <w:r w:rsidR="00E30E2D">
              <w:rPr>
                <w:rFonts w:ascii="Times New Roman" w:eastAsia="DengXian" w:hAnsi="Times New Roman" w:cs="Times New Roman"/>
              </w:rPr>
              <w:t>. T</w:t>
            </w:r>
            <w:r w:rsidRPr="00197BB6">
              <w:rPr>
                <w:rFonts w:ascii="Times New Roman" w:eastAsia="DengXian" w:hAnsi="Times New Roman" w:cs="Times New Roman"/>
              </w:rPr>
              <w:t>hus, the years 2010 and earlier constitute the pre-</w:t>
            </w:r>
            <w:r w:rsidR="00CB534C">
              <w:rPr>
                <w:rFonts w:ascii="Times New Roman" w:eastAsia="DengXian" w:hAnsi="Times New Roman" w:cs="Times New Roman"/>
              </w:rPr>
              <w:t xml:space="preserve">crisis </w:t>
            </w:r>
            <w:r w:rsidRPr="00197BB6">
              <w:rPr>
                <w:rFonts w:ascii="Times New Roman" w:eastAsia="DengXian" w:hAnsi="Times New Roman" w:cs="Times New Roman"/>
              </w:rPr>
              <w:t xml:space="preserve">period and the years 2011 and onwards </w:t>
            </w:r>
            <w:r w:rsidR="00E30E2D">
              <w:rPr>
                <w:rFonts w:ascii="Times New Roman" w:eastAsia="DengXian" w:hAnsi="Times New Roman" w:cs="Times New Roman"/>
              </w:rPr>
              <w:t>includ</w:t>
            </w:r>
            <w:r w:rsidRPr="00197BB6">
              <w:rPr>
                <w:rFonts w:ascii="Times New Roman" w:eastAsia="DengXian" w:hAnsi="Times New Roman" w:cs="Times New Roman"/>
              </w:rPr>
              <w:t>e the post-</w:t>
            </w:r>
            <w:r w:rsidR="00CB534C">
              <w:rPr>
                <w:rFonts w:ascii="Times New Roman" w:eastAsia="DengXian" w:hAnsi="Times New Roman" w:cs="Times New Roman"/>
              </w:rPr>
              <w:t xml:space="preserve">crisis </w:t>
            </w:r>
            <w:r w:rsidRPr="00197BB6">
              <w:rPr>
                <w:rFonts w:ascii="Times New Roman" w:eastAsia="DengXian" w:hAnsi="Times New Roman" w:cs="Times New Roman"/>
              </w:rPr>
              <w:t>period. Risk- proxy is Aggregate Risk. Female CRO is a dummy variable =1 if CRO is female in the given year</w:t>
            </w:r>
            <w:r w:rsidR="00E30E2D">
              <w:rPr>
                <w:rFonts w:ascii="Times New Roman" w:eastAsia="DengXian" w:hAnsi="Times New Roman" w:cs="Times New Roman"/>
              </w:rPr>
              <w:t>;</w:t>
            </w:r>
            <w:r w:rsidRPr="00197BB6">
              <w:rPr>
                <w:rFonts w:ascii="Times New Roman" w:eastAsia="DengXian" w:hAnsi="Times New Roman" w:cs="Times New Roman"/>
              </w:rPr>
              <w:t xml:space="preserve"> else =0.</w:t>
            </w:r>
            <w:r w:rsidR="00E30E2D">
              <w:rPr>
                <w:rFonts w:ascii="Times New Roman" w:eastAsia="DengXian" w:hAnsi="Times New Roman" w:cs="Times New Roman"/>
              </w:rPr>
              <w:t xml:space="preserve"> </w:t>
            </w:r>
            <w:r w:rsidRPr="00197BB6">
              <w:rPr>
                <w:rFonts w:ascii="Times New Roman" w:eastAsia="DengXian" w:hAnsi="Times New Roman" w:cs="Times New Roman"/>
              </w:rPr>
              <w:t xml:space="preserve">Standard errors are reported in parentheses. ***, **, * indicates significance at the 1, 5, </w:t>
            </w:r>
            <w:r w:rsidR="00E30E2D">
              <w:rPr>
                <w:rFonts w:ascii="Times New Roman" w:eastAsia="DengXian" w:hAnsi="Times New Roman" w:cs="Times New Roman"/>
              </w:rPr>
              <w:t>and 10 percent levels</w:t>
            </w:r>
            <w:r w:rsidRPr="00197BB6">
              <w:rPr>
                <w:rFonts w:ascii="Times New Roman" w:eastAsia="DengXian" w:hAnsi="Times New Roman" w:cs="Times New Roman"/>
              </w:rPr>
              <w:t>.</w:t>
            </w:r>
          </w:p>
          <w:p w14:paraId="1CFF22CA" w14:textId="77777777" w:rsidR="00197BB6" w:rsidRPr="00197BB6" w:rsidRDefault="00197BB6" w:rsidP="00197BB6">
            <w:pPr>
              <w:widowControl w:val="0"/>
              <w:autoSpaceDE w:val="0"/>
              <w:autoSpaceDN w:val="0"/>
              <w:adjustRightInd w:val="0"/>
              <w:spacing w:after="0" w:line="240" w:lineRule="auto"/>
              <w:jc w:val="center"/>
              <w:rPr>
                <w:rFonts w:ascii="Times New Roman" w:eastAsia="DengXian" w:hAnsi="Times New Roman" w:cs="Times New Roman"/>
              </w:rPr>
            </w:pPr>
          </w:p>
        </w:tc>
      </w:tr>
      <w:tr w:rsidR="00197BB6" w:rsidRPr="00197BB6" w14:paraId="027C1C64" w14:textId="77777777" w:rsidTr="00DE7639">
        <w:trPr>
          <w:jc w:val="center"/>
        </w:trPr>
        <w:tc>
          <w:tcPr>
            <w:tcW w:w="4051" w:type="dxa"/>
            <w:tcBorders>
              <w:top w:val="single" w:sz="4" w:space="0" w:color="auto"/>
              <w:left w:val="single" w:sz="4" w:space="0" w:color="auto"/>
            </w:tcBorders>
          </w:tcPr>
          <w:p w14:paraId="5BA35576"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p>
        </w:tc>
        <w:tc>
          <w:tcPr>
            <w:tcW w:w="1728" w:type="dxa"/>
            <w:tcBorders>
              <w:top w:val="single" w:sz="4" w:space="0" w:color="auto"/>
            </w:tcBorders>
          </w:tcPr>
          <w:p w14:paraId="2412682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w:t>
            </w:r>
          </w:p>
        </w:tc>
        <w:tc>
          <w:tcPr>
            <w:tcW w:w="1728" w:type="dxa"/>
            <w:tcBorders>
              <w:top w:val="single" w:sz="4" w:space="0" w:color="auto"/>
            </w:tcBorders>
          </w:tcPr>
          <w:p w14:paraId="7131D02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(2)</w:t>
            </w:r>
          </w:p>
        </w:tc>
        <w:tc>
          <w:tcPr>
            <w:tcW w:w="2721" w:type="dxa"/>
            <w:tcBorders>
              <w:top w:val="single" w:sz="4" w:space="0" w:color="auto"/>
              <w:right w:val="single" w:sz="4" w:space="0" w:color="auto"/>
            </w:tcBorders>
          </w:tcPr>
          <w:p w14:paraId="1F0AF59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(3)</w:t>
            </w:r>
          </w:p>
        </w:tc>
      </w:tr>
      <w:tr w:rsidR="00197BB6" w:rsidRPr="00197BB6" w14:paraId="5CC1BC3C" w14:textId="77777777" w:rsidTr="00DE7639">
        <w:trPr>
          <w:jc w:val="center"/>
        </w:trPr>
        <w:tc>
          <w:tcPr>
            <w:tcW w:w="4051" w:type="dxa"/>
            <w:tcBorders>
              <w:left w:val="single" w:sz="4" w:space="0" w:color="auto"/>
              <w:bottom w:val="single" w:sz="4" w:space="0" w:color="auto"/>
            </w:tcBorders>
          </w:tcPr>
          <w:p w14:paraId="6E59D1D6"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VARIABLES</w:t>
            </w:r>
          </w:p>
        </w:tc>
        <w:tc>
          <w:tcPr>
            <w:tcW w:w="1728" w:type="dxa"/>
            <w:tcBorders>
              <w:bottom w:val="single" w:sz="4" w:space="0" w:color="auto"/>
            </w:tcBorders>
          </w:tcPr>
          <w:p w14:paraId="06D3F0B7"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c>
          <w:tcPr>
            <w:tcW w:w="1728" w:type="dxa"/>
            <w:tcBorders>
              <w:bottom w:val="single" w:sz="4" w:space="0" w:color="auto"/>
            </w:tcBorders>
          </w:tcPr>
          <w:p w14:paraId="0BC64B2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c>
          <w:tcPr>
            <w:tcW w:w="2721" w:type="dxa"/>
            <w:tcBorders>
              <w:bottom w:val="single" w:sz="4" w:space="0" w:color="auto"/>
              <w:right w:val="single" w:sz="4" w:space="0" w:color="auto"/>
            </w:tcBorders>
          </w:tcPr>
          <w:p w14:paraId="513E43F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b/>
                <w:bCs/>
                <w:sz w:val="20"/>
                <w:szCs w:val="20"/>
              </w:rPr>
            </w:pPr>
            <w:r w:rsidRPr="001278ED">
              <w:rPr>
                <w:rFonts w:ascii="Times New Roman" w:eastAsia="DengXian" w:hAnsi="Times New Roman" w:cs="Times New Roman"/>
                <w:b/>
                <w:bCs/>
                <w:sz w:val="20"/>
                <w:szCs w:val="20"/>
              </w:rPr>
              <w:t>Aggregate Risk</w:t>
            </w:r>
          </w:p>
        </w:tc>
      </w:tr>
      <w:tr w:rsidR="00197BB6" w:rsidRPr="00197BB6" w14:paraId="3E8444CE" w14:textId="77777777" w:rsidTr="00DE7639">
        <w:trPr>
          <w:trHeight w:val="562"/>
          <w:jc w:val="center"/>
        </w:trPr>
        <w:tc>
          <w:tcPr>
            <w:tcW w:w="4051" w:type="dxa"/>
            <w:tcBorders>
              <w:top w:val="single" w:sz="4" w:space="0" w:color="auto"/>
              <w:left w:val="single" w:sz="4" w:space="0" w:color="auto"/>
              <w:bottom w:val="single" w:sz="4" w:space="0" w:color="auto"/>
            </w:tcBorders>
          </w:tcPr>
          <w:p w14:paraId="0F5F2669" w14:textId="1B80B965"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Post </w:t>
            </w:r>
            <w:r w:rsidR="00CB534C">
              <w:rPr>
                <w:rFonts w:ascii="Times New Roman" w:eastAsia="DengXian" w:hAnsi="Times New Roman" w:cs="Times New Roman"/>
                <w:sz w:val="20"/>
                <w:szCs w:val="20"/>
              </w:rPr>
              <w:t>_2009</w:t>
            </w:r>
          </w:p>
        </w:tc>
        <w:tc>
          <w:tcPr>
            <w:tcW w:w="1728" w:type="dxa"/>
            <w:tcBorders>
              <w:top w:val="single" w:sz="4" w:space="0" w:color="auto"/>
              <w:bottom w:val="single" w:sz="4" w:space="0" w:color="auto"/>
            </w:tcBorders>
          </w:tcPr>
          <w:p w14:paraId="5051511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5AA12CC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1728" w:type="dxa"/>
            <w:tcBorders>
              <w:top w:val="single" w:sz="4" w:space="0" w:color="auto"/>
              <w:bottom w:val="single" w:sz="4" w:space="0" w:color="auto"/>
            </w:tcBorders>
          </w:tcPr>
          <w:p w14:paraId="7440DD4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-0.012***</w:t>
            </w:r>
          </w:p>
          <w:p w14:paraId="77761C6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721" w:type="dxa"/>
            <w:tcBorders>
              <w:top w:val="single" w:sz="4" w:space="0" w:color="auto"/>
              <w:bottom w:val="single" w:sz="4" w:space="0" w:color="auto"/>
              <w:right w:val="single" w:sz="4" w:space="0" w:color="auto"/>
            </w:tcBorders>
          </w:tcPr>
          <w:p w14:paraId="092D527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-0.011***</w:t>
            </w:r>
          </w:p>
          <w:p w14:paraId="2AC0B8F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52F406E1" w14:textId="77777777" w:rsidTr="00DE7639">
        <w:trPr>
          <w:trHeight w:val="562"/>
          <w:jc w:val="center"/>
        </w:trPr>
        <w:tc>
          <w:tcPr>
            <w:tcW w:w="4051" w:type="dxa"/>
            <w:tcBorders>
              <w:top w:val="single" w:sz="4" w:space="0" w:color="auto"/>
              <w:left w:val="single" w:sz="4" w:space="0" w:color="auto"/>
              <w:bottom w:val="single" w:sz="4" w:space="0" w:color="auto"/>
            </w:tcBorders>
          </w:tcPr>
          <w:p w14:paraId="73505658"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Female CRO</w:t>
            </w:r>
          </w:p>
        </w:tc>
        <w:tc>
          <w:tcPr>
            <w:tcW w:w="1728" w:type="dxa"/>
            <w:tcBorders>
              <w:top w:val="single" w:sz="4" w:space="0" w:color="auto"/>
              <w:bottom w:val="single" w:sz="4" w:space="0" w:color="auto"/>
            </w:tcBorders>
          </w:tcPr>
          <w:p w14:paraId="6C0D610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0.007***</w:t>
            </w:r>
          </w:p>
          <w:p w14:paraId="5851564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c>
          <w:tcPr>
            <w:tcW w:w="1728" w:type="dxa"/>
            <w:tcBorders>
              <w:top w:val="single" w:sz="4" w:space="0" w:color="auto"/>
              <w:bottom w:val="single" w:sz="4" w:space="0" w:color="auto"/>
            </w:tcBorders>
          </w:tcPr>
          <w:p w14:paraId="436826A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p w14:paraId="0D9ECED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c>
          <w:tcPr>
            <w:tcW w:w="2721" w:type="dxa"/>
            <w:tcBorders>
              <w:top w:val="single" w:sz="4" w:space="0" w:color="auto"/>
              <w:bottom w:val="single" w:sz="4" w:space="0" w:color="auto"/>
              <w:right w:val="single" w:sz="4" w:space="0" w:color="auto"/>
            </w:tcBorders>
          </w:tcPr>
          <w:p w14:paraId="207224F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p w14:paraId="55FFD75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r>
      <w:tr w:rsidR="00197BB6" w:rsidRPr="00197BB6" w14:paraId="6DE728BD" w14:textId="77777777" w:rsidTr="00DE7639">
        <w:trPr>
          <w:trHeight w:val="724"/>
          <w:jc w:val="center"/>
        </w:trPr>
        <w:tc>
          <w:tcPr>
            <w:tcW w:w="4051" w:type="dxa"/>
            <w:tcBorders>
              <w:top w:val="single" w:sz="4" w:space="0" w:color="auto"/>
              <w:left w:val="single" w:sz="4" w:space="0" w:color="auto"/>
              <w:bottom w:val="single" w:sz="4" w:space="0" w:color="auto"/>
            </w:tcBorders>
          </w:tcPr>
          <w:p w14:paraId="76B8D860" w14:textId="2477B3ED"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Female CRO *Post </w:t>
            </w:r>
            <w:r w:rsidR="00CB534C">
              <w:rPr>
                <w:rFonts w:ascii="Times New Roman" w:eastAsia="DengXian" w:hAnsi="Times New Roman" w:cs="Times New Roman"/>
                <w:sz w:val="20"/>
                <w:szCs w:val="20"/>
              </w:rPr>
              <w:t>_2009</w:t>
            </w:r>
          </w:p>
        </w:tc>
        <w:tc>
          <w:tcPr>
            <w:tcW w:w="1728" w:type="dxa"/>
            <w:tcBorders>
              <w:top w:val="single" w:sz="4" w:space="0" w:color="auto"/>
              <w:bottom w:val="single" w:sz="4" w:space="0" w:color="auto"/>
            </w:tcBorders>
          </w:tcPr>
          <w:p w14:paraId="2C51D7A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-0.007***</w:t>
            </w:r>
          </w:p>
          <w:p w14:paraId="5ACA25F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(0.002)</w:t>
            </w:r>
          </w:p>
        </w:tc>
        <w:tc>
          <w:tcPr>
            <w:tcW w:w="1728" w:type="dxa"/>
            <w:tcBorders>
              <w:top w:val="single" w:sz="4" w:space="0" w:color="auto"/>
              <w:bottom w:val="single" w:sz="4" w:space="0" w:color="auto"/>
            </w:tcBorders>
          </w:tcPr>
          <w:p w14:paraId="181F2C7B"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p w14:paraId="7EFA238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c>
          <w:tcPr>
            <w:tcW w:w="2721" w:type="dxa"/>
            <w:tcBorders>
              <w:top w:val="single" w:sz="4" w:space="0" w:color="auto"/>
              <w:bottom w:val="single" w:sz="4" w:space="0" w:color="auto"/>
              <w:right w:val="single" w:sz="4" w:space="0" w:color="auto"/>
            </w:tcBorders>
          </w:tcPr>
          <w:p w14:paraId="5D32D34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p w14:paraId="01DF485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r>
      <w:tr w:rsidR="00197BB6" w:rsidRPr="00197BB6" w14:paraId="1CFFA4F8" w14:textId="77777777" w:rsidTr="00DE7639">
        <w:trPr>
          <w:trHeight w:val="562"/>
          <w:jc w:val="center"/>
        </w:trPr>
        <w:tc>
          <w:tcPr>
            <w:tcW w:w="4051" w:type="dxa"/>
            <w:tcBorders>
              <w:top w:val="single" w:sz="4" w:space="0" w:color="auto"/>
              <w:left w:val="single" w:sz="4" w:space="0" w:color="auto"/>
              <w:bottom w:val="single" w:sz="4" w:space="0" w:color="auto"/>
            </w:tcBorders>
          </w:tcPr>
          <w:p w14:paraId="5812D385"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Independence (%)</w:t>
            </w:r>
          </w:p>
        </w:tc>
        <w:tc>
          <w:tcPr>
            <w:tcW w:w="1728" w:type="dxa"/>
            <w:tcBorders>
              <w:top w:val="single" w:sz="4" w:space="0" w:color="auto"/>
              <w:bottom w:val="single" w:sz="4" w:space="0" w:color="auto"/>
            </w:tcBorders>
          </w:tcPr>
          <w:p w14:paraId="654985A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50987C6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04E9727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c>
          <w:tcPr>
            <w:tcW w:w="2721" w:type="dxa"/>
            <w:tcBorders>
              <w:top w:val="single" w:sz="4" w:space="0" w:color="auto"/>
              <w:bottom w:val="single" w:sz="4" w:space="0" w:color="auto"/>
              <w:right w:val="single" w:sz="4" w:space="0" w:color="auto"/>
            </w:tcBorders>
          </w:tcPr>
          <w:p w14:paraId="0AD9A437" w14:textId="7D2C168B"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5A7D890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tc>
      </w:tr>
      <w:tr w:rsidR="00197BB6" w:rsidRPr="00197BB6" w14:paraId="61AE814D" w14:textId="77777777" w:rsidTr="00DE7639">
        <w:trPr>
          <w:trHeight w:val="562"/>
          <w:jc w:val="center"/>
        </w:trPr>
        <w:tc>
          <w:tcPr>
            <w:tcW w:w="4051" w:type="dxa"/>
            <w:tcBorders>
              <w:top w:val="single" w:sz="4" w:space="0" w:color="auto"/>
              <w:left w:val="single" w:sz="4" w:space="0" w:color="auto"/>
              <w:bottom w:val="single" w:sz="4" w:space="0" w:color="auto"/>
            </w:tcBorders>
          </w:tcPr>
          <w:p w14:paraId="1668917E"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Board Size</w:t>
            </w:r>
          </w:p>
        </w:tc>
        <w:tc>
          <w:tcPr>
            <w:tcW w:w="1728" w:type="dxa"/>
            <w:tcBorders>
              <w:top w:val="single" w:sz="4" w:space="0" w:color="auto"/>
              <w:bottom w:val="single" w:sz="4" w:space="0" w:color="auto"/>
            </w:tcBorders>
          </w:tcPr>
          <w:p w14:paraId="44A2489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20C8B7E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p w14:paraId="4F44F9D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721" w:type="dxa"/>
            <w:tcBorders>
              <w:top w:val="single" w:sz="4" w:space="0" w:color="auto"/>
              <w:bottom w:val="single" w:sz="4" w:space="0" w:color="auto"/>
              <w:right w:val="single" w:sz="4" w:space="0" w:color="auto"/>
            </w:tcBorders>
          </w:tcPr>
          <w:p w14:paraId="2431281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-0.004**</w:t>
            </w:r>
          </w:p>
          <w:p w14:paraId="0CDBA75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57FA8E57" w14:textId="77777777" w:rsidTr="00DE7639">
        <w:trPr>
          <w:trHeight w:val="562"/>
          <w:jc w:val="center"/>
        </w:trPr>
        <w:tc>
          <w:tcPr>
            <w:tcW w:w="4051" w:type="dxa"/>
            <w:tcBorders>
              <w:top w:val="single" w:sz="4" w:space="0" w:color="auto"/>
              <w:left w:val="single" w:sz="4" w:space="0" w:color="auto"/>
              <w:bottom w:val="single" w:sz="4" w:space="0" w:color="auto"/>
            </w:tcBorders>
          </w:tcPr>
          <w:p w14:paraId="7EA34D9F"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Duality</w:t>
            </w:r>
          </w:p>
        </w:tc>
        <w:tc>
          <w:tcPr>
            <w:tcW w:w="1728" w:type="dxa"/>
            <w:tcBorders>
              <w:top w:val="single" w:sz="4" w:space="0" w:color="auto"/>
              <w:bottom w:val="single" w:sz="4" w:space="0" w:color="auto"/>
            </w:tcBorders>
          </w:tcPr>
          <w:p w14:paraId="59E5C71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5F14BB9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396C7235"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c>
          <w:tcPr>
            <w:tcW w:w="2721" w:type="dxa"/>
            <w:tcBorders>
              <w:top w:val="single" w:sz="4" w:space="0" w:color="auto"/>
              <w:bottom w:val="single" w:sz="4" w:space="0" w:color="auto"/>
              <w:right w:val="single" w:sz="4" w:space="0" w:color="auto"/>
            </w:tcBorders>
          </w:tcPr>
          <w:p w14:paraId="10662E8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p w14:paraId="3B12B6C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p>
        </w:tc>
      </w:tr>
      <w:tr w:rsidR="00197BB6" w:rsidRPr="00197BB6" w14:paraId="7E06378E" w14:textId="77777777" w:rsidTr="00DE7639">
        <w:trPr>
          <w:trHeight w:val="562"/>
          <w:jc w:val="center"/>
        </w:trPr>
        <w:tc>
          <w:tcPr>
            <w:tcW w:w="4051" w:type="dxa"/>
            <w:tcBorders>
              <w:top w:val="single" w:sz="4" w:space="0" w:color="auto"/>
              <w:left w:val="single" w:sz="4" w:space="0" w:color="auto"/>
              <w:bottom w:val="single" w:sz="4" w:space="0" w:color="auto"/>
            </w:tcBorders>
          </w:tcPr>
          <w:p w14:paraId="4233733A"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CEO Compensation</w:t>
            </w:r>
          </w:p>
        </w:tc>
        <w:tc>
          <w:tcPr>
            <w:tcW w:w="1728" w:type="dxa"/>
            <w:tcBorders>
              <w:top w:val="single" w:sz="4" w:space="0" w:color="auto"/>
              <w:bottom w:val="single" w:sz="4" w:space="0" w:color="auto"/>
            </w:tcBorders>
          </w:tcPr>
          <w:p w14:paraId="4AD846D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6621BC74" w14:textId="31ED9F7E"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037887">
              <w:rPr>
                <w:rFonts w:ascii="Times New Roman" w:eastAsia="DengXian" w:hAnsi="Times New Roman" w:cs="Times New Roman"/>
                <w:sz w:val="20"/>
                <w:szCs w:val="20"/>
              </w:rPr>
              <w:t>*</w:t>
            </w:r>
          </w:p>
          <w:p w14:paraId="3747A9FF" w14:textId="1C573AB0"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037887">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c>
          <w:tcPr>
            <w:tcW w:w="2721" w:type="dxa"/>
            <w:tcBorders>
              <w:top w:val="single" w:sz="4" w:space="0" w:color="auto"/>
              <w:bottom w:val="single" w:sz="4" w:space="0" w:color="auto"/>
              <w:right w:val="single" w:sz="4" w:space="0" w:color="auto"/>
            </w:tcBorders>
          </w:tcPr>
          <w:p w14:paraId="53517F24" w14:textId="040C624B"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037887">
              <w:rPr>
                <w:rFonts w:ascii="Times New Roman" w:eastAsia="DengXian" w:hAnsi="Times New Roman" w:cs="Times New Roman"/>
                <w:sz w:val="20"/>
                <w:szCs w:val="20"/>
              </w:rPr>
              <w:t>*</w:t>
            </w:r>
          </w:p>
          <w:p w14:paraId="78876A4E" w14:textId="597328B5"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037887">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0B0E9F20" w14:textId="77777777" w:rsidTr="00DE7639">
        <w:trPr>
          <w:trHeight w:val="562"/>
          <w:jc w:val="center"/>
        </w:trPr>
        <w:tc>
          <w:tcPr>
            <w:tcW w:w="4051" w:type="dxa"/>
            <w:tcBorders>
              <w:top w:val="single" w:sz="4" w:space="0" w:color="auto"/>
              <w:left w:val="single" w:sz="4" w:space="0" w:color="auto"/>
              <w:bottom w:val="single" w:sz="4" w:space="0" w:color="auto"/>
            </w:tcBorders>
          </w:tcPr>
          <w:p w14:paraId="4F8E414A"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St Borrowing/TA</w:t>
            </w:r>
          </w:p>
        </w:tc>
        <w:tc>
          <w:tcPr>
            <w:tcW w:w="1728" w:type="dxa"/>
            <w:tcBorders>
              <w:top w:val="single" w:sz="4" w:space="0" w:color="auto"/>
              <w:bottom w:val="single" w:sz="4" w:space="0" w:color="auto"/>
            </w:tcBorders>
          </w:tcPr>
          <w:p w14:paraId="1F6B93B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7D0EB98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721" w:type="dxa"/>
            <w:tcBorders>
              <w:top w:val="single" w:sz="4" w:space="0" w:color="auto"/>
              <w:bottom w:val="single" w:sz="4" w:space="0" w:color="auto"/>
              <w:right w:val="single" w:sz="4" w:space="0" w:color="auto"/>
            </w:tcBorders>
          </w:tcPr>
          <w:p w14:paraId="38F07F6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0.050***</w:t>
            </w:r>
          </w:p>
          <w:p w14:paraId="7D53988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(0.012)</w:t>
            </w:r>
          </w:p>
        </w:tc>
      </w:tr>
      <w:tr w:rsidR="00197BB6" w:rsidRPr="00197BB6" w14:paraId="473A8422" w14:textId="77777777" w:rsidTr="00DE7639">
        <w:trPr>
          <w:trHeight w:val="562"/>
          <w:jc w:val="center"/>
        </w:trPr>
        <w:tc>
          <w:tcPr>
            <w:tcW w:w="4051" w:type="dxa"/>
            <w:tcBorders>
              <w:top w:val="single" w:sz="4" w:space="0" w:color="auto"/>
              <w:left w:val="single" w:sz="4" w:space="0" w:color="auto"/>
              <w:bottom w:val="single" w:sz="4" w:space="0" w:color="auto"/>
            </w:tcBorders>
          </w:tcPr>
          <w:p w14:paraId="4AFB57AE"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Bad Loans / TA</w:t>
            </w:r>
          </w:p>
        </w:tc>
        <w:tc>
          <w:tcPr>
            <w:tcW w:w="1728" w:type="dxa"/>
            <w:tcBorders>
              <w:top w:val="single" w:sz="4" w:space="0" w:color="auto"/>
              <w:bottom w:val="single" w:sz="4" w:space="0" w:color="auto"/>
            </w:tcBorders>
          </w:tcPr>
          <w:p w14:paraId="275F8BE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1785C5C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721" w:type="dxa"/>
            <w:tcBorders>
              <w:top w:val="single" w:sz="4" w:space="0" w:color="auto"/>
              <w:bottom w:val="single" w:sz="4" w:space="0" w:color="auto"/>
              <w:right w:val="single" w:sz="4" w:space="0" w:color="auto"/>
            </w:tcBorders>
          </w:tcPr>
          <w:p w14:paraId="0202108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0.204***</w:t>
            </w:r>
          </w:p>
          <w:p w14:paraId="24400632"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(0.026)</w:t>
            </w:r>
          </w:p>
        </w:tc>
      </w:tr>
      <w:tr w:rsidR="00197BB6" w:rsidRPr="00197BB6" w14:paraId="658B66C2" w14:textId="77777777" w:rsidTr="00DE7639">
        <w:trPr>
          <w:trHeight w:val="562"/>
          <w:jc w:val="center"/>
        </w:trPr>
        <w:tc>
          <w:tcPr>
            <w:tcW w:w="4051" w:type="dxa"/>
            <w:tcBorders>
              <w:top w:val="single" w:sz="4" w:space="0" w:color="auto"/>
              <w:left w:val="single" w:sz="4" w:space="0" w:color="auto"/>
              <w:bottom w:val="single" w:sz="4" w:space="0" w:color="auto"/>
            </w:tcBorders>
          </w:tcPr>
          <w:p w14:paraId="2AEBE046"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Tier1 Ratio</w:t>
            </w:r>
          </w:p>
        </w:tc>
        <w:tc>
          <w:tcPr>
            <w:tcW w:w="1728" w:type="dxa"/>
            <w:tcBorders>
              <w:top w:val="single" w:sz="4" w:space="0" w:color="auto"/>
              <w:bottom w:val="single" w:sz="4" w:space="0" w:color="auto"/>
            </w:tcBorders>
          </w:tcPr>
          <w:p w14:paraId="3607A1B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5DD2C8F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721" w:type="dxa"/>
            <w:tcBorders>
              <w:top w:val="single" w:sz="4" w:space="0" w:color="auto"/>
              <w:bottom w:val="single" w:sz="4" w:space="0" w:color="auto"/>
              <w:right w:val="single" w:sz="4" w:space="0" w:color="auto"/>
            </w:tcBorders>
          </w:tcPr>
          <w:p w14:paraId="7A754289" w14:textId="13B073AB"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DB5A2D">
              <w:rPr>
                <w:rFonts w:ascii="Times New Roman" w:eastAsia="DengXian" w:hAnsi="Times New Roman" w:cs="Times New Roman"/>
                <w:sz w:val="20"/>
                <w:szCs w:val="20"/>
              </w:rPr>
              <w:t>***</w:t>
            </w:r>
          </w:p>
          <w:p w14:paraId="7F867D8C" w14:textId="1F69BFD2"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DB5A2D">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19A4802B" w14:textId="77777777" w:rsidTr="00DE7639">
        <w:trPr>
          <w:trHeight w:val="355"/>
          <w:jc w:val="center"/>
        </w:trPr>
        <w:tc>
          <w:tcPr>
            <w:tcW w:w="4051" w:type="dxa"/>
            <w:tcBorders>
              <w:top w:val="single" w:sz="4" w:space="0" w:color="auto"/>
              <w:left w:val="single" w:sz="4" w:space="0" w:color="auto"/>
              <w:bottom w:val="single" w:sz="4" w:space="0" w:color="auto"/>
            </w:tcBorders>
          </w:tcPr>
          <w:p w14:paraId="2FF206E8"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Firm Size</w:t>
            </w:r>
          </w:p>
        </w:tc>
        <w:tc>
          <w:tcPr>
            <w:tcW w:w="1728" w:type="dxa"/>
            <w:tcBorders>
              <w:top w:val="single" w:sz="4" w:space="0" w:color="auto"/>
              <w:bottom w:val="single" w:sz="4" w:space="0" w:color="auto"/>
            </w:tcBorders>
          </w:tcPr>
          <w:p w14:paraId="72FFB15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5644611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721" w:type="dxa"/>
            <w:tcBorders>
              <w:top w:val="single" w:sz="4" w:space="0" w:color="auto"/>
              <w:bottom w:val="single" w:sz="4" w:space="0" w:color="auto"/>
              <w:right w:val="single" w:sz="4" w:space="0" w:color="auto"/>
            </w:tcBorders>
          </w:tcPr>
          <w:p w14:paraId="184E0953" w14:textId="14D7FBF2"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0.001</w:t>
            </w:r>
            <w:r w:rsidR="00DB5A2D">
              <w:rPr>
                <w:rFonts w:ascii="Times New Roman" w:eastAsia="DengXian" w:hAnsi="Times New Roman" w:cs="Times New Roman"/>
                <w:sz w:val="20"/>
                <w:szCs w:val="20"/>
              </w:rPr>
              <w:t>***</w:t>
            </w:r>
          </w:p>
          <w:p w14:paraId="04C877B1" w14:textId="45B8C5D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r w:rsidR="00DB5A2D">
              <w:rPr>
                <w:rFonts w:ascii="Times New Roman" w:eastAsia="DengXian" w:hAnsi="Times New Roman" w:cs="Times New Roman"/>
                <w:sz w:val="20"/>
                <w:szCs w:val="20"/>
              </w:rPr>
              <w:t>1</w:t>
            </w:r>
            <w:r w:rsidRPr="001278ED">
              <w:rPr>
                <w:rFonts w:ascii="Times New Roman" w:eastAsia="DengXian" w:hAnsi="Times New Roman" w:cs="Times New Roman"/>
                <w:sz w:val="20"/>
                <w:szCs w:val="20"/>
              </w:rPr>
              <w:t>)</w:t>
            </w:r>
          </w:p>
        </w:tc>
      </w:tr>
      <w:tr w:rsidR="00197BB6" w:rsidRPr="00197BB6" w14:paraId="1F793729" w14:textId="77777777" w:rsidTr="00DE7639">
        <w:trPr>
          <w:trHeight w:val="363"/>
          <w:jc w:val="center"/>
        </w:trPr>
        <w:tc>
          <w:tcPr>
            <w:tcW w:w="4051" w:type="dxa"/>
            <w:tcBorders>
              <w:top w:val="single" w:sz="4" w:space="0" w:color="auto"/>
              <w:left w:val="single" w:sz="4" w:space="0" w:color="auto"/>
              <w:bottom w:val="single" w:sz="4" w:space="0" w:color="auto"/>
            </w:tcBorders>
          </w:tcPr>
          <w:p w14:paraId="56D5B44E"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ROA</w:t>
            </w:r>
          </w:p>
        </w:tc>
        <w:tc>
          <w:tcPr>
            <w:tcW w:w="1728" w:type="dxa"/>
            <w:tcBorders>
              <w:top w:val="single" w:sz="4" w:space="0" w:color="auto"/>
              <w:bottom w:val="single" w:sz="4" w:space="0" w:color="auto"/>
            </w:tcBorders>
          </w:tcPr>
          <w:p w14:paraId="5F73078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1728" w:type="dxa"/>
            <w:tcBorders>
              <w:top w:val="single" w:sz="4" w:space="0" w:color="auto"/>
              <w:bottom w:val="single" w:sz="4" w:space="0" w:color="auto"/>
            </w:tcBorders>
          </w:tcPr>
          <w:p w14:paraId="5AF39A4E"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p>
        </w:tc>
        <w:tc>
          <w:tcPr>
            <w:tcW w:w="2721" w:type="dxa"/>
            <w:tcBorders>
              <w:top w:val="single" w:sz="4" w:space="0" w:color="auto"/>
              <w:bottom w:val="single" w:sz="4" w:space="0" w:color="auto"/>
              <w:right w:val="single" w:sz="4" w:space="0" w:color="auto"/>
            </w:tcBorders>
          </w:tcPr>
          <w:p w14:paraId="4E739640"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-0.003***</w:t>
            </w:r>
          </w:p>
          <w:p w14:paraId="4357EF0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(0.000)</w:t>
            </w:r>
          </w:p>
        </w:tc>
      </w:tr>
      <w:tr w:rsidR="00197BB6" w:rsidRPr="00197BB6" w14:paraId="65A69D2B" w14:textId="77777777" w:rsidTr="00DE7639">
        <w:trPr>
          <w:trHeight w:val="513"/>
          <w:jc w:val="center"/>
        </w:trPr>
        <w:tc>
          <w:tcPr>
            <w:tcW w:w="4051" w:type="dxa"/>
            <w:tcBorders>
              <w:top w:val="single" w:sz="4" w:space="0" w:color="auto"/>
              <w:left w:val="single" w:sz="4" w:space="0" w:color="auto"/>
              <w:bottom w:val="single" w:sz="4" w:space="0" w:color="auto"/>
            </w:tcBorders>
          </w:tcPr>
          <w:p w14:paraId="0845D70C"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Constant</w:t>
            </w:r>
          </w:p>
        </w:tc>
        <w:tc>
          <w:tcPr>
            <w:tcW w:w="1728" w:type="dxa"/>
            <w:tcBorders>
              <w:top w:val="single" w:sz="4" w:space="0" w:color="auto"/>
              <w:bottom w:val="single" w:sz="4" w:space="0" w:color="auto"/>
            </w:tcBorders>
          </w:tcPr>
          <w:p w14:paraId="7A578ED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0.026***</w:t>
            </w:r>
          </w:p>
          <w:p w14:paraId="0C0FEA1C"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 xml:space="preserve">   (0.001)</w:t>
            </w:r>
          </w:p>
        </w:tc>
        <w:tc>
          <w:tcPr>
            <w:tcW w:w="1728" w:type="dxa"/>
            <w:tcBorders>
              <w:top w:val="single" w:sz="4" w:space="0" w:color="auto"/>
              <w:bottom w:val="single" w:sz="4" w:space="0" w:color="auto"/>
            </w:tcBorders>
          </w:tcPr>
          <w:p w14:paraId="5994EE8A"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0.036***</w:t>
            </w:r>
          </w:p>
          <w:p w14:paraId="4190111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(0.006)</w:t>
            </w:r>
          </w:p>
        </w:tc>
        <w:tc>
          <w:tcPr>
            <w:tcW w:w="2721" w:type="dxa"/>
            <w:tcBorders>
              <w:top w:val="single" w:sz="4" w:space="0" w:color="auto"/>
              <w:bottom w:val="single" w:sz="4" w:space="0" w:color="auto"/>
              <w:right w:val="single" w:sz="4" w:space="0" w:color="auto"/>
            </w:tcBorders>
          </w:tcPr>
          <w:p w14:paraId="4EEC0A26"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0.035***</w:t>
            </w:r>
          </w:p>
          <w:p w14:paraId="504E447F"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(0.005)</w:t>
            </w:r>
          </w:p>
        </w:tc>
      </w:tr>
      <w:tr w:rsidR="00197BB6" w:rsidRPr="00197BB6" w14:paraId="5EFD7C77" w14:textId="77777777" w:rsidTr="00DE7639">
        <w:trPr>
          <w:jc w:val="center"/>
        </w:trPr>
        <w:tc>
          <w:tcPr>
            <w:tcW w:w="4051" w:type="dxa"/>
            <w:tcBorders>
              <w:top w:val="single" w:sz="4" w:space="0" w:color="auto"/>
              <w:left w:val="single" w:sz="4" w:space="0" w:color="auto"/>
              <w:bottom w:val="single" w:sz="4" w:space="0" w:color="auto"/>
            </w:tcBorders>
          </w:tcPr>
          <w:p w14:paraId="43E85D14"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Year F.E.</w:t>
            </w:r>
          </w:p>
        </w:tc>
        <w:tc>
          <w:tcPr>
            <w:tcW w:w="1728" w:type="dxa"/>
            <w:tcBorders>
              <w:top w:val="single" w:sz="4" w:space="0" w:color="auto"/>
              <w:bottom w:val="single" w:sz="4" w:space="0" w:color="auto"/>
            </w:tcBorders>
          </w:tcPr>
          <w:p w14:paraId="444795AB"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1728" w:type="dxa"/>
            <w:tcBorders>
              <w:top w:val="single" w:sz="4" w:space="0" w:color="auto"/>
              <w:bottom w:val="single" w:sz="4" w:space="0" w:color="auto"/>
            </w:tcBorders>
          </w:tcPr>
          <w:p w14:paraId="09458CF4"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721" w:type="dxa"/>
            <w:tcBorders>
              <w:top w:val="single" w:sz="4" w:space="0" w:color="auto"/>
              <w:bottom w:val="single" w:sz="4" w:space="0" w:color="auto"/>
              <w:right w:val="single" w:sz="4" w:space="0" w:color="auto"/>
            </w:tcBorders>
          </w:tcPr>
          <w:p w14:paraId="4C3D193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97BB6" w14:paraId="24047D1E" w14:textId="77777777" w:rsidTr="00DE7639">
        <w:trPr>
          <w:jc w:val="center"/>
        </w:trPr>
        <w:tc>
          <w:tcPr>
            <w:tcW w:w="4051" w:type="dxa"/>
            <w:tcBorders>
              <w:top w:val="single" w:sz="4" w:space="0" w:color="auto"/>
              <w:left w:val="single" w:sz="4" w:space="0" w:color="auto"/>
              <w:bottom w:val="single" w:sz="4" w:space="0" w:color="auto"/>
            </w:tcBorders>
          </w:tcPr>
          <w:p w14:paraId="3D9CDC7D"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Firm F.E.</w:t>
            </w:r>
          </w:p>
        </w:tc>
        <w:tc>
          <w:tcPr>
            <w:tcW w:w="1728" w:type="dxa"/>
            <w:tcBorders>
              <w:top w:val="single" w:sz="4" w:space="0" w:color="auto"/>
              <w:bottom w:val="single" w:sz="4" w:space="0" w:color="auto"/>
            </w:tcBorders>
          </w:tcPr>
          <w:p w14:paraId="45C37988"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1728" w:type="dxa"/>
            <w:tcBorders>
              <w:top w:val="single" w:sz="4" w:space="0" w:color="auto"/>
              <w:bottom w:val="single" w:sz="4" w:space="0" w:color="auto"/>
            </w:tcBorders>
          </w:tcPr>
          <w:p w14:paraId="771A333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c>
          <w:tcPr>
            <w:tcW w:w="2721" w:type="dxa"/>
            <w:tcBorders>
              <w:top w:val="single" w:sz="4" w:space="0" w:color="auto"/>
              <w:bottom w:val="single" w:sz="4" w:space="0" w:color="auto"/>
              <w:right w:val="single" w:sz="4" w:space="0" w:color="auto"/>
            </w:tcBorders>
          </w:tcPr>
          <w:p w14:paraId="432CAD63"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Yes</w:t>
            </w:r>
          </w:p>
        </w:tc>
      </w:tr>
      <w:tr w:rsidR="00197BB6" w:rsidRPr="00197BB6" w14:paraId="35B91E63" w14:textId="77777777" w:rsidTr="00DE7639">
        <w:trPr>
          <w:jc w:val="center"/>
        </w:trPr>
        <w:tc>
          <w:tcPr>
            <w:tcW w:w="4051" w:type="dxa"/>
            <w:tcBorders>
              <w:top w:val="single" w:sz="4" w:space="0" w:color="auto"/>
              <w:left w:val="single" w:sz="4" w:space="0" w:color="auto"/>
              <w:bottom w:val="single" w:sz="4" w:space="0" w:color="auto"/>
            </w:tcBorders>
          </w:tcPr>
          <w:p w14:paraId="5B40ACAE"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Observations</w:t>
            </w:r>
          </w:p>
        </w:tc>
        <w:tc>
          <w:tcPr>
            <w:tcW w:w="1728" w:type="dxa"/>
            <w:tcBorders>
              <w:top w:val="single" w:sz="4" w:space="0" w:color="auto"/>
              <w:bottom w:val="single" w:sz="4" w:space="0" w:color="auto"/>
            </w:tcBorders>
          </w:tcPr>
          <w:p w14:paraId="5B2D85AC"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1,346</w:t>
            </w:r>
          </w:p>
        </w:tc>
        <w:tc>
          <w:tcPr>
            <w:tcW w:w="1728" w:type="dxa"/>
            <w:tcBorders>
              <w:top w:val="single" w:sz="4" w:space="0" w:color="auto"/>
              <w:bottom w:val="single" w:sz="4" w:space="0" w:color="auto"/>
            </w:tcBorders>
          </w:tcPr>
          <w:p w14:paraId="7C6DF7FD"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1,263</w:t>
            </w:r>
          </w:p>
        </w:tc>
        <w:tc>
          <w:tcPr>
            <w:tcW w:w="2721" w:type="dxa"/>
            <w:tcBorders>
              <w:top w:val="single" w:sz="4" w:space="0" w:color="auto"/>
              <w:bottom w:val="single" w:sz="4" w:space="0" w:color="auto"/>
              <w:right w:val="single" w:sz="4" w:space="0" w:color="auto"/>
            </w:tcBorders>
          </w:tcPr>
          <w:p w14:paraId="21CFA35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1,230</w:t>
            </w:r>
          </w:p>
        </w:tc>
      </w:tr>
      <w:tr w:rsidR="00197BB6" w:rsidRPr="00197BB6" w14:paraId="51C6F747" w14:textId="77777777" w:rsidTr="00DE7639">
        <w:trPr>
          <w:jc w:val="center"/>
        </w:trPr>
        <w:tc>
          <w:tcPr>
            <w:tcW w:w="4051" w:type="dxa"/>
            <w:tcBorders>
              <w:top w:val="single" w:sz="4" w:space="0" w:color="auto"/>
              <w:left w:val="single" w:sz="4" w:space="0" w:color="auto"/>
              <w:bottom w:val="single" w:sz="4" w:space="0" w:color="auto"/>
            </w:tcBorders>
          </w:tcPr>
          <w:p w14:paraId="19CF8C24" w14:textId="77777777" w:rsidR="00197BB6" w:rsidRPr="001278ED" w:rsidRDefault="00197BB6" w:rsidP="00197BB6">
            <w:pPr>
              <w:widowControl w:val="0"/>
              <w:autoSpaceDE w:val="0"/>
              <w:autoSpaceDN w:val="0"/>
              <w:adjustRightInd w:val="0"/>
              <w:spacing w:after="0" w:line="240" w:lineRule="auto"/>
              <w:rPr>
                <w:rFonts w:ascii="Times New Roman" w:eastAsia="DengXian" w:hAnsi="Times New Roman" w:cs="Times New Roman"/>
                <w:sz w:val="20"/>
                <w:szCs w:val="20"/>
              </w:rPr>
            </w:pPr>
            <w:r w:rsidRPr="001278ED">
              <w:rPr>
                <w:rFonts w:ascii="Times New Roman" w:eastAsia="DengXian" w:hAnsi="Times New Roman" w:cs="Times New Roman"/>
                <w:sz w:val="20"/>
                <w:szCs w:val="20"/>
              </w:rPr>
              <w:t>R-squared</w:t>
            </w:r>
          </w:p>
        </w:tc>
        <w:tc>
          <w:tcPr>
            <w:tcW w:w="1728" w:type="dxa"/>
            <w:tcBorders>
              <w:top w:val="single" w:sz="4" w:space="0" w:color="auto"/>
              <w:bottom w:val="single" w:sz="4" w:space="0" w:color="auto"/>
            </w:tcBorders>
          </w:tcPr>
          <w:p w14:paraId="4A400231"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0.136</w:t>
            </w:r>
          </w:p>
        </w:tc>
        <w:tc>
          <w:tcPr>
            <w:tcW w:w="1728" w:type="dxa"/>
            <w:tcBorders>
              <w:top w:val="single" w:sz="4" w:space="0" w:color="auto"/>
              <w:bottom w:val="single" w:sz="4" w:space="0" w:color="auto"/>
            </w:tcBorders>
          </w:tcPr>
          <w:p w14:paraId="14A0E5B9"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0.189</w:t>
            </w:r>
          </w:p>
        </w:tc>
        <w:tc>
          <w:tcPr>
            <w:tcW w:w="2721" w:type="dxa"/>
            <w:tcBorders>
              <w:top w:val="single" w:sz="4" w:space="0" w:color="auto"/>
              <w:bottom w:val="single" w:sz="4" w:space="0" w:color="auto"/>
              <w:right w:val="single" w:sz="4" w:space="0" w:color="auto"/>
            </w:tcBorders>
          </w:tcPr>
          <w:p w14:paraId="7B99AE77" w14:textId="77777777" w:rsidR="00197BB6" w:rsidRPr="001278ED" w:rsidRDefault="00197BB6" w:rsidP="00197BB6">
            <w:pPr>
              <w:widowControl w:val="0"/>
              <w:autoSpaceDE w:val="0"/>
              <w:autoSpaceDN w:val="0"/>
              <w:adjustRightInd w:val="0"/>
              <w:spacing w:after="0" w:line="240" w:lineRule="auto"/>
              <w:jc w:val="center"/>
              <w:rPr>
                <w:rFonts w:ascii="Times New Roman" w:eastAsia="DengXian" w:hAnsi="Times New Roman" w:cs="Times New Roman"/>
                <w:sz w:val="20"/>
                <w:szCs w:val="20"/>
              </w:rPr>
            </w:pPr>
            <w:r w:rsidRPr="001278ED">
              <w:rPr>
                <w:rFonts w:ascii="Times New Roman" w:eastAsia="DengXian" w:hAnsi="Times New Roman" w:cs="Times New Roman"/>
                <w:sz w:val="20"/>
                <w:szCs w:val="20"/>
              </w:rPr>
              <w:t>0.359</w:t>
            </w:r>
          </w:p>
        </w:tc>
      </w:tr>
    </w:tbl>
    <w:p w14:paraId="590935EF" w14:textId="77777777" w:rsidR="00197BB6" w:rsidRPr="00197BB6" w:rsidRDefault="00197BB6" w:rsidP="00197BB6">
      <w:pPr>
        <w:widowControl w:val="0"/>
        <w:autoSpaceDE w:val="0"/>
        <w:autoSpaceDN w:val="0"/>
        <w:adjustRightInd w:val="0"/>
        <w:rPr>
          <w:rFonts w:ascii="Calibri" w:eastAsia="Times New Roman" w:hAnsi="Calibri" w:cs="Calibri"/>
          <w:i/>
          <w:iCs/>
          <w:sz w:val="18"/>
          <w:szCs w:val="18"/>
        </w:rPr>
      </w:pPr>
    </w:p>
    <w:p w14:paraId="5A78293E" w14:textId="77777777" w:rsidR="009E69CE" w:rsidRDefault="00880312">
      <w:pPr>
        <w:rPr>
          <w:rFonts w:ascii="Calibri" w:eastAsia="DengXian" w:hAnsi="Calibri" w:cs="Arial"/>
          <w:lang w:eastAsia="zh-CN"/>
        </w:rPr>
      </w:pPr>
      <w:r>
        <w:rPr>
          <w:rFonts w:ascii="Calibri" w:eastAsia="DengXian" w:hAnsi="Calibri" w:cs="Arial"/>
          <w:lang w:eastAsia="zh-CN"/>
        </w:rPr>
        <w:br w:type="page"/>
      </w:r>
    </w:p>
    <w:p w14:paraId="200C22E6" w14:textId="77777777" w:rsidR="009E69CE" w:rsidRDefault="009E69CE">
      <w:pPr>
        <w:rPr>
          <w:rFonts w:ascii="Calibri" w:eastAsia="DengXian" w:hAnsi="Calibri" w:cs="Arial"/>
          <w:lang w:eastAsia="zh-CN"/>
        </w:rPr>
      </w:pPr>
    </w:p>
    <w:p w14:paraId="0C02933F" w14:textId="77777777" w:rsidR="009E69CE" w:rsidRDefault="009E69CE">
      <w:pPr>
        <w:rPr>
          <w:rFonts w:ascii="Calibri" w:eastAsia="DengXian" w:hAnsi="Calibri" w:cs="Arial"/>
          <w:lang w:eastAsia="zh-CN"/>
        </w:rPr>
      </w:pPr>
    </w:p>
    <w:p w14:paraId="205ECBEF" w14:textId="77777777" w:rsidR="009E69CE" w:rsidRDefault="009E69CE">
      <w:pPr>
        <w:rPr>
          <w:rFonts w:ascii="Calibri" w:eastAsia="DengXian" w:hAnsi="Calibri" w:cs="Arial"/>
          <w:lang w:eastAsia="zh-CN"/>
        </w:rPr>
      </w:pPr>
    </w:p>
    <w:p w14:paraId="3D565E31" w14:textId="77777777" w:rsidR="009E69CE" w:rsidRDefault="009E69CE">
      <w:pPr>
        <w:rPr>
          <w:rFonts w:ascii="Calibri" w:eastAsia="DengXian" w:hAnsi="Calibri" w:cs="Arial"/>
          <w:lang w:eastAsia="zh-CN"/>
        </w:rPr>
      </w:pPr>
    </w:p>
    <w:p w14:paraId="2A3CB568" w14:textId="77777777" w:rsidR="009E69CE" w:rsidRDefault="009E69CE">
      <w:pPr>
        <w:rPr>
          <w:rFonts w:ascii="Calibri" w:eastAsia="DengXian" w:hAnsi="Calibri" w:cs="Arial"/>
          <w:lang w:eastAsia="zh-CN"/>
        </w:rPr>
      </w:pPr>
    </w:p>
    <w:p w14:paraId="473FC69C" w14:textId="77777777" w:rsidR="009E69CE" w:rsidRDefault="009E69CE">
      <w:pPr>
        <w:rPr>
          <w:rFonts w:ascii="Calibri" w:eastAsia="DengXian" w:hAnsi="Calibri" w:cs="Arial"/>
          <w:lang w:eastAsia="zh-CN"/>
        </w:rPr>
      </w:pPr>
    </w:p>
    <w:p w14:paraId="3AA70F9A" w14:textId="77777777" w:rsidR="009E69CE" w:rsidRDefault="009E69CE">
      <w:pPr>
        <w:rPr>
          <w:rFonts w:ascii="Calibri" w:eastAsia="DengXian" w:hAnsi="Calibri" w:cs="Arial"/>
          <w:lang w:eastAsia="zh-CN"/>
        </w:rPr>
      </w:pPr>
    </w:p>
    <w:p w14:paraId="4470AE8A" w14:textId="77777777" w:rsidR="009E69CE" w:rsidRDefault="009E69CE">
      <w:pPr>
        <w:rPr>
          <w:rFonts w:ascii="Calibri" w:eastAsia="DengXian" w:hAnsi="Calibri" w:cs="Arial"/>
          <w:lang w:eastAsia="zh-CN"/>
        </w:rPr>
      </w:pPr>
    </w:p>
    <w:p w14:paraId="5D6FD235" w14:textId="4EBFD5E5" w:rsidR="00FB5898" w:rsidRPr="003C7034" w:rsidRDefault="009E69CE" w:rsidP="009E69CE">
      <w:pPr>
        <w:jc w:val="center"/>
        <w:rPr>
          <w:rFonts w:ascii="Times New Roman" w:eastAsia="DengXian" w:hAnsi="Times New Roman" w:cs="Times New Roman"/>
          <w:b/>
          <w:bCs/>
          <w:i/>
          <w:iCs/>
          <w:sz w:val="52"/>
          <w:szCs w:val="52"/>
          <w:lang w:eastAsia="zh-CN"/>
        </w:rPr>
      </w:pPr>
      <w:r w:rsidRPr="003C7034">
        <w:rPr>
          <w:rFonts w:ascii="Times New Roman" w:eastAsia="DengXian" w:hAnsi="Times New Roman" w:cs="Times New Roman"/>
          <w:b/>
          <w:bCs/>
          <w:i/>
          <w:iCs/>
          <w:sz w:val="52"/>
          <w:szCs w:val="52"/>
          <w:lang w:eastAsia="zh-CN"/>
        </w:rPr>
        <w:t>CHAPTER 4</w:t>
      </w:r>
      <w:r w:rsidR="00FB5898" w:rsidRPr="003C7034">
        <w:rPr>
          <w:rFonts w:ascii="Times New Roman" w:eastAsia="DengXian" w:hAnsi="Times New Roman" w:cs="Times New Roman"/>
          <w:b/>
          <w:bCs/>
          <w:i/>
          <w:iCs/>
          <w:sz w:val="52"/>
          <w:szCs w:val="52"/>
          <w:lang w:eastAsia="zh-CN"/>
        </w:rPr>
        <w:br w:type="page"/>
      </w:r>
    </w:p>
    <w:p w14:paraId="1C490535" w14:textId="77777777" w:rsidR="009E69CE" w:rsidRDefault="009E69CE">
      <w:pPr>
        <w:rPr>
          <w:rFonts w:ascii="Calibri" w:eastAsia="DengXian" w:hAnsi="Calibri" w:cs="Arial"/>
          <w:lang w:eastAsia="zh-CN"/>
        </w:rPr>
      </w:pPr>
    </w:p>
    <w:p w14:paraId="6A67D925" w14:textId="77777777" w:rsidR="00880312" w:rsidRDefault="00880312">
      <w:pPr>
        <w:rPr>
          <w:rFonts w:ascii="Calibri" w:eastAsia="DengXian" w:hAnsi="Calibri" w:cs="Arial"/>
          <w:lang w:eastAsia="zh-CN"/>
        </w:rPr>
      </w:pPr>
    </w:p>
    <w:p w14:paraId="426309EC" w14:textId="30E3E37E" w:rsidR="00880312" w:rsidRPr="004D34A5" w:rsidRDefault="00880312" w:rsidP="004D34A5">
      <w:pPr>
        <w:pStyle w:val="Heading1"/>
        <w:numPr>
          <w:ilvl w:val="0"/>
          <w:numId w:val="24"/>
        </w:numPr>
        <w:rPr>
          <w:rStyle w:val="Heading1Char"/>
          <w:b/>
          <w:bCs/>
        </w:rPr>
      </w:pPr>
      <w:bookmarkStart w:id="82" w:name="_Toc145616189"/>
      <w:bookmarkStart w:id="83" w:name="_Hlk130821718"/>
      <w:r w:rsidRPr="004D34A5">
        <w:rPr>
          <w:rStyle w:val="Heading1Char"/>
          <w:b/>
          <w:bCs/>
          <w:sz w:val="36"/>
          <w:szCs w:val="36"/>
        </w:rPr>
        <w:t>Board Gender Diversity and Bank Risk: Empirical Examination of the Risk Culture Channel</w:t>
      </w:r>
      <w:bookmarkEnd w:id="82"/>
    </w:p>
    <w:bookmarkEnd w:id="83"/>
    <w:p w14:paraId="6C8089C2" w14:textId="77777777" w:rsidR="00880312" w:rsidRPr="00880312" w:rsidRDefault="00880312" w:rsidP="00880312">
      <w:pPr>
        <w:spacing w:line="480" w:lineRule="auto"/>
        <w:jc w:val="center"/>
        <w:rPr>
          <w:rFonts w:ascii="Calibri" w:eastAsia="DengXian" w:hAnsi="Calibri" w:cs="Arial"/>
          <w:b/>
          <w:bCs/>
          <w:color w:val="000000" w:themeColor="text1"/>
          <w:sz w:val="24"/>
          <w:szCs w:val="24"/>
          <w:lang w:eastAsia="zh-CN"/>
        </w:rPr>
      </w:pPr>
      <w:r w:rsidRPr="00880312" w:rsidDel="00ED29E2">
        <w:rPr>
          <w:rFonts w:ascii="Times New Roman" w:eastAsia="DengXian" w:hAnsi="Times New Roman" w:cs="Times New Roman"/>
          <w:b/>
          <w:bCs/>
          <w:color w:val="000000" w:themeColor="text1"/>
          <w:sz w:val="24"/>
          <w:szCs w:val="24"/>
          <w:lang w:eastAsia="zh-CN"/>
        </w:rPr>
        <w:t xml:space="preserve"> </w:t>
      </w:r>
    </w:p>
    <w:p w14:paraId="779BDD08" w14:textId="20C4A809" w:rsidR="00880312" w:rsidRPr="003C7034" w:rsidRDefault="00880312" w:rsidP="003C7034">
      <w:pPr>
        <w:pStyle w:val="Heading2"/>
        <w:numPr>
          <w:ilvl w:val="0"/>
          <w:numId w:val="21"/>
        </w:numPr>
        <w:rPr>
          <w:i/>
          <w:sz w:val="32"/>
          <w:szCs w:val="32"/>
          <w:lang w:eastAsia="zh-CN"/>
        </w:rPr>
      </w:pPr>
      <w:bookmarkStart w:id="84" w:name="_Toc145616190"/>
      <w:r w:rsidRPr="003C7034">
        <w:rPr>
          <w:sz w:val="32"/>
          <w:szCs w:val="32"/>
          <w:lang w:eastAsia="zh-CN"/>
        </w:rPr>
        <w:t>Introduction</w:t>
      </w:r>
      <w:bookmarkEnd w:id="84"/>
    </w:p>
    <w:p w14:paraId="5FC37AB8" w14:textId="20D885BD" w:rsidR="004D34A5" w:rsidRDefault="00880312" w:rsidP="00D02E08">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The </w:t>
      </w:r>
      <w:r w:rsidR="00D02E08" w:rsidRPr="00880312">
        <w:rPr>
          <w:rFonts w:ascii="Times New Roman" w:eastAsia="DengXian" w:hAnsi="Times New Roman" w:cs="Times New Roman"/>
          <w:sz w:val="24"/>
          <w:szCs w:val="24"/>
          <w:lang w:eastAsia="zh-CN"/>
        </w:rPr>
        <w:t>topic</w:t>
      </w:r>
      <w:r w:rsidRPr="00880312">
        <w:rPr>
          <w:rFonts w:ascii="Times New Roman" w:eastAsia="DengXian" w:hAnsi="Times New Roman" w:cs="Times New Roman"/>
          <w:sz w:val="24"/>
          <w:szCs w:val="24"/>
          <w:lang w:eastAsia="zh-CN"/>
        </w:rPr>
        <w:t xml:space="preserve"> of </w:t>
      </w:r>
      <w:r w:rsidR="00BD63E9">
        <w:rPr>
          <w:rFonts w:ascii="Times New Roman" w:eastAsia="DengXian" w:hAnsi="Times New Roman" w:cs="Times New Roman"/>
          <w:sz w:val="24"/>
          <w:szCs w:val="24"/>
          <w:lang w:eastAsia="zh-CN"/>
        </w:rPr>
        <w:t>organi</w:t>
      </w:r>
      <w:r w:rsidR="004D34A5">
        <w:rPr>
          <w:rFonts w:ascii="Times New Roman" w:eastAsia="DengXian" w:hAnsi="Times New Roman" w:cs="Times New Roman"/>
          <w:sz w:val="24"/>
          <w:szCs w:val="24"/>
          <w:lang w:eastAsia="zh-CN"/>
        </w:rPr>
        <w:t>sational</w:t>
      </w:r>
      <w:r w:rsidR="00BD63E9">
        <w:rPr>
          <w:rFonts w:ascii="Times New Roman" w:eastAsia="DengXian" w:hAnsi="Times New Roman" w:cs="Times New Roman"/>
          <w:sz w:val="24"/>
          <w:szCs w:val="24"/>
          <w:lang w:eastAsia="zh-CN"/>
        </w:rPr>
        <w:t xml:space="preserve"> </w:t>
      </w:r>
      <w:r w:rsidRPr="00880312">
        <w:rPr>
          <w:rFonts w:ascii="Times New Roman" w:eastAsia="DengXian" w:hAnsi="Times New Roman" w:cs="Times New Roman"/>
          <w:sz w:val="24"/>
          <w:szCs w:val="24"/>
          <w:lang w:eastAsia="zh-CN"/>
        </w:rPr>
        <w:t xml:space="preserve">culture in banking has </w:t>
      </w:r>
      <w:r w:rsidR="00BD63E9">
        <w:rPr>
          <w:rFonts w:ascii="Times New Roman" w:eastAsia="DengXian" w:hAnsi="Times New Roman" w:cs="Times New Roman"/>
          <w:sz w:val="24"/>
          <w:szCs w:val="24"/>
          <w:lang w:eastAsia="zh-CN"/>
        </w:rPr>
        <w:t>been highlighted</w:t>
      </w:r>
      <w:r w:rsidRPr="00880312">
        <w:rPr>
          <w:rFonts w:ascii="Times New Roman" w:eastAsia="DengXian" w:hAnsi="Times New Roman" w:cs="Times New Roman"/>
          <w:sz w:val="24"/>
          <w:szCs w:val="24"/>
          <w:lang w:eastAsia="zh-CN"/>
        </w:rPr>
        <w:t xml:space="preserve"> in </w:t>
      </w:r>
      <w:r w:rsidR="00D02E08" w:rsidRPr="00880312">
        <w:rPr>
          <w:rFonts w:ascii="Times New Roman" w:eastAsia="DengXian" w:hAnsi="Times New Roman" w:cs="Times New Roman"/>
          <w:sz w:val="24"/>
          <w:szCs w:val="24"/>
          <w:lang w:eastAsia="zh-CN"/>
        </w:rPr>
        <w:t>current</w:t>
      </w:r>
      <w:r w:rsidRPr="00880312">
        <w:rPr>
          <w:rFonts w:ascii="Times New Roman" w:eastAsia="DengXian" w:hAnsi="Times New Roman" w:cs="Times New Roman"/>
          <w:sz w:val="24"/>
          <w:szCs w:val="24"/>
          <w:lang w:eastAsia="zh-CN"/>
        </w:rPr>
        <w:t xml:space="preserve"> </w:t>
      </w:r>
      <w:r w:rsidR="00D02E08" w:rsidRPr="00880312">
        <w:rPr>
          <w:rFonts w:ascii="Times New Roman" w:eastAsia="DengXian" w:hAnsi="Times New Roman" w:cs="Times New Roman"/>
          <w:sz w:val="24"/>
          <w:szCs w:val="24"/>
          <w:lang w:eastAsia="zh-CN"/>
        </w:rPr>
        <w:t>debates</w:t>
      </w:r>
      <w:r w:rsidRPr="00880312">
        <w:rPr>
          <w:rFonts w:ascii="Times New Roman" w:eastAsia="DengXian" w:hAnsi="Times New Roman" w:cs="Times New Roman"/>
          <w:sz w:val="24"/>
          <w:szCs w:val="24"/>
          <w:lang w:eastAsia="zh-CN"/>
        </w:rPr>
        <w:t xml:space="preserve"> as </w:t>
      </w:r>
      <w:r w:rsidR="004D34A5">
        <w:rPr>
          <w:rFonts w:ascii="Times New Roman" w:eastAsia="DengXian" w:hAnsi="Times New Roman" w:cs="Times New Roman"/>
          <w:sz w:val="24"/>
          <w:szCs w:val="24"/>
          <w:lang w:eastAsia="zh-CN"/>
        </w:rPr>
        <w:t>crucial</w:t>
      </w:r>
      <w:r w:rsidRPr="00880312">
        <w:rPr>
          <w:rFonts w:ascii="Times New Roman" w:eastAsia="DengXian" w:hAnsi="Times New Roman" w:cs="Times New Roman"/>
          <w:sz w:val="24"/>
          <w:szCs w:val="24"/>
          <w:lang w:eastAsia="zh-CN"/>
        </w:rPr>
        <w:t xml:space="preserve"> </w:t>
      </w:r>
      <w:r w:rsidR="00BD63E9">
        <w:rPr>
          <w:rFonts w:ascii="Times New Roman" w:eastAsia="DengXian" w:hAnsi="Times New Roman" w:cs="Times New Roman"/>
          <w:sz w:val="24"/>
          <w:szCs w:val="24"/>
          <w:lang w:eastAsia="zh-CN"/>
        </w:rPr>
        <w:t xml:space="preserve">to address two important </w:t>
      </w:r>
      <w:r w:rsidR="004D34A5">
        <w:rPr>
          <w:rFonts w:ascii="Times New Roman" w:eastAsia="DengXian" w:hAnsi="Times New Roman" w:cs="Times New Roman"/>
          <w:sz w:val="24"/>
          <w:szCs w:val="24"/>
          <w:lang w:eastAsia="zh-CN"/>
        </w:rPr>
        <w:t>issues:</w:t>
      </w:r>
      <w:r w:rsidRPr="00880312">
        <w:rPr>
          <w:rFonts w:ascii="Times New Roman" w:eastAsia="DengXian" w:hAnsi="Times New Roman" w:cs="Times New Roman"/>
          <w:sz w:val="24"/>
          <w:szCs w:val="24"/>
          <w:lang w:eastAsia="zh-CN"/>
        </w:rPr>
        <w:t xml:space="preserve"> </w:t>
      </w:r>
      <w:r w:rsidR="00BD63E9">
        <w:rPr>
          <w:rFonts w:ascii="Times New Roman" w:eastAsia="DengXian" w:hAnsi="Times New Roman" w:cs="Times New Roman"/>
          <w:sz w:val="24"/>
          <w:szCs w:val="24"/>
          <w:lang w:eastAsia="zh-CN"/>
        </w:rPr>
        <w:t xml:space="preserve">rebuilding </w:t>
      </w:r>
      <w:r w:rsidRPr="00880312">
        <w:rPr>
          <w:rFonts w:ascii="Times New Roman" w:eastAsia="DengXian" w:hAnsi="Times New Roman" w:cs="Times New Roman"/>
          <w:sz w:val="24"/>
          <w:szCs w:val="24"/>
          <w:lang w:eastAsia="zh-CN"/>
        </w:rPr>
        <w:t xml:space="preserve">public trust in the banking system and </w:t>
      </w:r>
      <w:r w:rsidR="00BD63E9" w:rsidRPr="00880312">
        <w:rPr>
          <w:rFonts w:ascii="Times New Roman" w:eastAsia="DengXian" w:hAnsi="Times New Roman" w:cs="Times New Roman"/>
          <w:sz w:val="24"/>
          <w:szCs w:val="24"/>
          <w:lang w:eastAsia="zh-CN"/>
        </w:rPr>
        <w:t>improving</w:t>
      </w:r>
      <w:r w:rsidRPr="00880312">
        <w:rPr>
          <w:rFonts w:ascii="Times New Roman" w:eastAsia="DengXian" w:hAnsi="Times New Roman" w:cs="Times New Roman"/>
          <w:sz w:val="24"/>
          <w:szCs w:val="24"/>
          <w:lang w:eastAsia="zh-CN"/>
        </w:rPr>
        <w:t xml:space="preserve"> financial stability</w:t>
      </w:r>
      <w:r w:rsidR="00244803">
        <w:rPr>
          <w:rFonts w:ascii="Times New Roman" w:eastAsia="DengXian" w:hAnsi="Times New Roman" w:cs="Times New Roman"/>
          <w:sz w:val="24"/>
          <w:szCs w:val="24"/>
          <w:lang w:eastAsia="zh-CN"/>
        </w:rPr>
        <w:t xml:space="preserve"> (Thakor, 2016; Sheedy et al., 2018)</w:t>
      </w:r>
      <w:r w:rsidRPr="00880312">
        <w:rPr>
          <w:rFonts w:ascii="Times New Roman" w:eastAsia="DengXian" w:hAnsi="Times New Roman" w:cs="Times New Roman"/>
          <w:sz w:val="24"/>
          <w:szCs w:val="24"/>
          <w:lang w:eastAsia="zh-CN"/>
        </w:rPr>
        <w:t xml:space="preserve">. With more than $100 billion in fines </w:t>
      </w:r>
      <w:r w:rsidR="00D02E08" w:rsidRPr="00880312">
        <w:rPr>
          <w:rFonts w:ascii="Times New Roman" w:eastAsia="DengXian" w:hAnsi="Times New Roman" w:cs="Times New Roman"/>
          <w:sz w:val="24"/>
          <w:szCs w:val="24"/>
          <w:lang w:eastAsia="zh-CN"/>
        </w:rPr>
        <w:t>levied</w:t>
      </w:r>
      <w:r w:rsidRPr="00880312">
        <w:rPr>
          <w:rFonts w:ascii="Times New Roman" w:eastAsia="DengXian" w:hAnsi="Times New Roman" w:cs="Times New Roman"/>
          <w:sz w:val="24"/>
          <w:szCs w:val="24"/>
          <w:lang w:eastAsia="zh-CN"/>
        </w:rPr>
        <w:t xml:space="preserve"> on the </w:t>
      </w:r>
      <w:r w:rsidR="00D02E08" w:rsidRPr="00880312">
        <w:rPr>
          <w:rFonts w:ascii="Times New Roman" w:eastAsia="DengXian" w:hAnsi="Times New Roman" w:cs="Times New Roman"/>
          <w:sz w:val="24"/>
          <w:szCs w:val="24"/>
          <w:lang w:eastAsia="zh-CN"/>
        </w:rPr>
        <w:t>biggest</w:t>
      </w:r>
      <w:r w:rsidRPr="00880312">
        <w:rPr>
          <w:rFonts w:ascii="Times New Roman" w:eastAsia="DengXian" w:hAnsi="Times New Roman" w:cs="Times New Roman"/>
          <w:sz w:val="24"/>
          <w:szCs w:val="24"/>
          <w:lang w:eastAsia="zh-CN"/>
        </w:rPr>
        <w:t xml:space="preserve"> financial institutions since </w:t>
      </w:r>
      <w:r w:rsidR="004D34A5">
        <w:rPr>
          <w:rFonts w:ascii="Times New Roman" w:eastAsia="DengXian" w:hAnsi="Times New Roman" w:cs="Times New Roman"/>
          <w:sz w:val="24"/>
          <w:szCs w:val="24"/>
          <w:lang w:eastAsia="zh-CN"/>
        </w:rPr>
        <w:t xml:space="preserve">the </w:t>
      </w:r>
      <w:r w:rsidR="00D02E08">
        <w:rPr>
          <w:rFonts w:ascii="Times New Roman" w:eastAsia="DengXian" w:hAnsi="Times New Roman" w:cs="Times New Roman"/>
          <w:sz w:val="24"/>
          <w:szCs w:val="24"/>
          <w:lang w:eastAsia="zh-CN"/>
        </w:rPr>
        <w:t>GFC</w:t>
      </w:r>
      <w:r w:rsidR="004D34A5">
        <w:rPr>
          <w:rFonts w:ascii="Times New Roman" w:eastAsia="DengXian" w:hAnsi="Times New Roman" w:cs="Times New Roman"/>
          <w:sz w:val="24"/>
          <w:szCs w:val="24"/>
          <w:lang w:eastAsia="zh-CN"/>
        </w:rPr>
        <w:t xml:space="preserve"> of 2007-2009</w:t>
      </w:r>
      <w:r w:rsidRPr="00880312">
        <w:rPr>
          <w:rFonts w:ascii="Times New Roman" w:eastAsia="DengXian" w:hAnsi="Times New Roman" w:cs="Times New Roman"/>
          <w:sz w:val="24"/>
          <w:szCs w:val="24"/>
          <w:lang w:eastAsia="zh-CN"/>
        </w:rPr>
        <w:t>, there is a</w:t>
      </w:r>
      <w:r w:rsidR="004D34A5">
        <w:rPr>
          <w:rFonts w:ascii="Times New Roman" w:eastAsia="DengXian" w:hAnsi="Times New Roman" w:cs="Times New Roman"/>
          <w:sz w:val="24"/>
          <w:szCs w:val="24"/>
          <w:lang w:eastAsia="zh-CN"/>
        </w:rPr>
        <w:t>n</w:t>
      </w:r>
      <w:r w:rsidRPr="00880312">
        <w:rPr>
          <w:rFonts w:ascii="Times New Roman" w:eastAsia="DengXian" w:hAnsi="Times New Roman" w:cs="Times New Roman"/>
          <w:sz w:val="24"/>
          <w:szCs w:val="24"/>
          <w:lang w:eastAsia="zh-CN"/>
        </w:rPr>
        <w:t xml:space="preserve"> </w:t>
      </w:r>
      <w:r w:rsidR="00D02E08" w:rsidRPr="00880312">
        <w:rPr>
          <w:rFonts w:ascii="Times New Roman" w:eastAsia="DengXian" w:hAnsi="Times New Roman" w:cs="Times New Roman"/>
          <w:sz w:val="24"/>
          <w:szCs w:val="24"/>
          <w:lang w:eastAsia="zh-CN"/>
        </w:rPr>
        <w:t>increasing</w:t>
      </w:r>
      <w:r w:rsidRPr="00880312">
        <w:rPr>
          <w:rFonts w:ascii="Times New Roman" w:eastAsia="DengXian" w:hAnsi="Times New Roman" w:cs="Times New Roman"/>
          <w:sz w:val="24"/>
          <w:szCs w:val="24"/>
          <w:lang w:eastAsia="zh-CN"/>
        </w:rPr>
        <w:t xml:space="preserve"> </w:t>
      </w:r>
      <w:r w:rsidR="00D02E08" w:rsidRPr="00880312">
        <w:rPr>
          <w:rFonts w:ascii="Times New Roman" w:eastAsia="DengXian" w:hAnsi="Times New Roman" w:cs="Times New Roman"/>
          <w:sz w:val="24"/>
          <w:szCs w:val="24"/>
          <w:lang w:eastAsia="zh-CN"/>
        </w:rPr>
        <w:t>apprehension</w:t>
      </w:r>
      <w:r w:rsidRPr="00880312">
        <w:rPr>
          <w:rFonts w:ascii="Times New Roman" w:eastAsia="DengXian" w:hAnsi="Times New Roman" w:cs="Times New Roman"/>
          <w:sz w:val="24"/>
          <w:szCs w:val="24"/>
          <w:lang w:eastAsia="zh-CN"/>
        </w:rPr>
        <w:t xml:space="preserve"> that ethical </w:t>
      </w:r>
      <w:r w:rsidR="00D02E08" w:rsidRPr="00880312">
        <w:rPr>
          <w:rFonts w:ascii="Times New Roman" w:eastAsia="DengXian" w:hAnsi="Times New Roman" w:cs="Times New Roman"/>
          <w:sz w:val="24"/>
          <w:szCs w:val="24"/>
          <w:lang w:eastAsia="zh-CN"/>
        </w:rPr>
        <w:t>failures</w:t>
      </w:r>
      <w:r w:rsidRPr="00880312">
        <w:rPr>
          <w:rFonts w:ascii="Times New Roman" w:eastAsia="DengXian" w:hAnsi="Times New Roman" w:cs="Times New Roman"/>
          <w:sz w:val="24"/>
          <w:szCs w:val="24"/>
          <w:lang w:eastAsia="zh-CN"/>
        </w:rPr>
        <w:t xml:space="preserve"> in </w:t>
      </w:r>
      <w:r w:rsidR="00D02E08">
        <w:rPr>
          <w:rFonts w:ascii="Times New Roman" w:eastAsia="DengXian" w:hAnsi="Times New Roman" w:cs="Times New Roman"/>
          <w:sz w:val="24"/>
          <w:szCs w:val="24"/>
          <w:lang w:eastAsia="zh-CN"/>
        </w:rPr>
        <w:t>banks</w:t>
      </w:r>
      <w:r w:rsidR="00D02E08" w:rsidRPr="00880312">
        <w:rPr>
          <w:rFonts w:ascii="Times New Roman" w:eastAsia="DengXian" w:hAnsi="Times New Roman" w:cs="Times New Roman"/>
          <w:sz w:val="24"/>
          <w:szCs w:val="24"/>
          <w:lang w:eastAsia="zh-CN"/>
        </w:rPr>
        <w:t xml:space="preserve"> indicate</w:t>
      </w:r>
      <w:r w:rsidRPr="00880312">
        <w:rPr>
          <w:rFonts w:ascii="Times New Roman" w:eastAsia="DengXian" w:hAnsi="Times New Roman" w:cs="Times New Roman"/>
          <w:sz w:val="24"/>
          <w:szCs w:val="24"/>
          <w:lang w:eastAsia="zh-CN"/>
        </w:rPr>
        <w:t xml:space="preserve"> </w:t>
      </w:r>
      <w:r w:rsidR="002B4761">
        <w:rPr>
          <w:rFonts w:ascii="Times New Roman" w:eastAsia="DengXian" w:hAnsi="Times New Roman" w:cs="Times New Roman"/>
          <w:sz w:val="24"/>
          <w:szCs w:val="24"/>
          <w:lang w:eastAsia="zh-CN"/>
        </w:rPr>
        <w:t xml:space="preserve">a </w:t>
      </w:r>
      <w:r w:rsidR="00244803" w:rsidRPr="00880312">
        <w:rPr>
          <w:rFonts w:ascii="Times New Roman" w:eastAsia="DengXian" w:hAnsi="Times New Roman" w:cs="Times New Roman"/>
          <w:sz w:val="24"/>
          <w:szCs w:val="24"/>
          <w:lang w:eastAsia="zh-CN"/>
        </w:rPr>
        <w:t>systematic weakness (Thakur, 2016)</w:t>
      </w:r>
      <w:r w:rsidRPr="00880312">
        <w:rPr>
          <w:rFonts w:ascii="Times New Roman" w:eastAsia="DengXian" w:hAnsi="Times New Roman" w:cs="Times New Roman"/>
          <w:sz w:val="24"/>
          <w:szCs w:val="24"/>
          <w:lang w:eastAsia="zh-CN"/>
        </w:rPr>
        <w:t xml:space="preserve">. Recently, banking literature has started acknowledging the relationship between corporate culture and risk management practices with a dominant view that banks with high-risk cultures are engaged in more risk-taking (Nguyen et al., 2019, Thakor, 2016; Stulz, 2015; Ellul and Yeramilli, 2013; Mehran et al., 2011). </w:t>
      </w:r>
      <w:r w:rsidR="004D34A5">
        <w:rPr>
          <w:rFonts w:ascii="Times New Roman" w:eastAsia="DengXian" w:hAnsi="Times New Roman" w:cs="Times New Roman"/>
          <w:sz w:val="24"/>
          <w:szCs w:val="24"/>
          <w:lang w:eastAsia="zh-CN"/>
        </w:rPr>
        <w:t xml:space="preserve">Moreover, </w:t>
      </w:r>
      <w:r w:rsidR="004D34A5" w:rsidRPr="00880312">
        <w:rPr>
          <w:rFonts w:ascii="Times New Roman" w:eastAsia="DengXian" w:hAnsi="Times New Roman" w:cs="Times New Roman"/>
          <w:sz w:val="24"/>
          <w:szCs w:val="24"/>
          <w:lang w:eastAsia="zh-CN"/>
        </w:rPr>
        <w:t xml:space="preserve">regulators and policymakers are convinced </w:t>
      </w:r>
      <w:r w:rsidR="004D34A5">
        <w:rPr>
          <w:rFonts w:ascii="Times New Roman" w:eastAsia="DengXian" w:hAnsi="Times New Roman" w:cs="Times New Roman"/>
          <w:sz w:val="24"/>
          <w:szCs w:val="24"/>
          <w:lang w:eastAsia="zh-CN"/>
        </w:rPr>
        <w:t xml:space="preserve">after the GFC of 2007-2009 </w:t>
      </w:r>
      <w:r w:rsidR="004D34A5" w:rsidRPr="00880312">
        <w:rPr>
          <w:rFonts w:ascii="Times New Roman" w:eastAsia="DengXian" w:hAnsi="Times New Roman" w:cs="Times New Roman"/>
          <w:sz w:val="24"/>
          <w:szCs w:val="24"/>
          <w:lang w:eastAsia="zh-CN"/>
        </w:rPr>
        <w:t xml:space="preserve">that financial institutions need to create the "right" risk culture, as culture acts as a binding force for governance, risk management, compliance, and controls, making the bank more organized and assertive (IFC,2015). </w:t>
      </w:r>
      <w:r w:rsidR="004D34A5">
        <w:rPr>
          <w:rFonts w:ascii="Times New Roman" w:eastAsia="DengXian" w:hAnsi="Times New Roman" w:cs="Times New Roman"/>
          <w:sz w:val="24"/>
          <w:szCs w:val="24"/>
          <w:lang w:eastAsia="zh-CN"/>
        </w:rPr>
        <w:t>Prior literature</w:t>
      </w:r>
      <w:r w:rsidR="004D34A5" w:rsidRPr="00880312">
        <w:rPr>
          <w:rFonts w:ascii="Times New Roman" w:eastAsia="DengXian" w:hAnsi="Times New Roman" w:cs="Times New Roman"/>
          <w:sz w:val="24"/>
          <w:szCs w:val="24"/>
          <w:lang w:eastAsia="zh-CN"/>
        </w:rPr>
        <w:t xml:space="preserve"> </w:t>
      </w:r>
      <w:r w:rsidR="004D34A5">
        <w:rPr>
          <w:rFonts w:ascii="Times New Roman" w:eastAsia="DengXian" w:hAnsi="Times New Roman" w:cs="Times New Roman"/>
          <w:sz w:val="24"/>
          <w:szCs w:val="24"/>
          <w:lang w:eastAsia="zh-CN"/>
        </w:rPr>
        <w:t>also argues</w:t>
      </w:r>
      <w:r w:rsidR="004D34A5" w:rsidRPr="00880312">
        <w:rPr>
          <w:rFonts w:ascii="Times New Roman" w:eastAsia="DengXian" w:hAnsi="Times New Roman" w:cs="Times New Roman"/>
          <w:sz w:val="24"/>
          <w:szCs w:val="24"/>
          <w:lang w:eastAsia="zh-CN"/>
        </w:rPr>
        <w:t xml:space="preserve"> that risk management practices based only on structure, rules, or compliance are fundamentally flawed, as no </w:t>
      </w:r>
      <w:r w:rsidR="004D34A5">
        <w:rPr>
          <w:rFonts w:ascii="Times New Roman" w:eastAsia="DengXian" w:hAnsi="Times New Roman" w:cs="Times New Roman"/>
          <w:sz w:val="24"/>
          <w:szCs w:val="24"/>
          <w:lang w:eastAsia="zh-CN"/>
        </w:rPr>
        <w:t>law</w:t>
      </w:r>
      <w:r w:rsidR="004D34A5" w:rsidRPr="00880312">
        <w:rPr>
          <w:rFonts w:ascii="Times New Roman" w:eastAsia="DengXian" w:hAnsi="Times New Roman" w:cs="Times New Roman"/>
          <w:sz w:val="24"/>
          <w:szCs w:val="24"/>
          <w:lang w:eastAsia="zh-CN"/>
        </w:rPr>
        <w:t xml:space="preserve">s are sufficient to control the behaviour of individuals (Sheedy et al., 2014). </w:t>
      </w:r>
      <w:r w:rsidR="004D34A5">
        <w:rPr>
          <w:rFonts w:ascii="Times New Roman" w:eastAsia="DengXian" w:hAnsi="Times New Roman" w:cs="Times New Roman"/>
          <w:sz w:val="24"/>
          <w:szCs w:val="24"/>
          <w:lang w:eastAsia="zh-CN"/>
        </w:rPr>
        <w:t>Evidence suggests</w:t>
      </w:r>
      <w:r w:rsidR="004D34A5" w:rsidRPr="00880312">
        <w:rPr>
          <w:rFonts w:ascii="Times New Roman" w:eastAsia="DengXian" w:hAnsi="Times New Roman" w:cs="Times New Roman"/>
          <w:sz w:val="24"/>
          <w:szCs w:val="24"/>
          <w:lang w:eastAsia="zh-CN"/>
        </w:rPr>
        <w:t xml:space="preserve"> that governance structures alone have not effectively safeguarded against unexpected losses and insolvency (Balasubrimanyan et al., 2019; Ellul and Yeramilli, 2013; Fahlanbrach et al., 2012). Thus, such evidence further strengthens the need to understand the culture in financial institutions for better implementation of policies</w:t>
      </w:r>
      <w:r w:rsidR="004D34A5">
        <w:rPr>
          <w:rFonts w:ascii="Times New Roman" w:eastAsia="DengXian" w:hAnsi="Times New Roman" w:cs="Times New Roman"/>
          <w:sz w:val="24"/>
          <w:szCs w:val="24"/>
          <w:lang w:eastAsia="zh-CN"/>
        </w:rPr>
        <w:t>.</w:t>
      </w:r>
    </w:p>
    <w:p w14:paraId="4942F64D" w14:textId="19842A4E" w:rsidR="004D34A5" w:rsidRPr="004D34A5" w:rsidRDefault="004D34A5" w:rsidP="00880312">
      <w:pPr>
        <w:spacing w:line="480" w:lineRule="auto"/>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Recognizing the importance of risk culture for financial institutions, h</w:t>
      </w:r>
      <w:r w:rsidR="00880312" w:rsidRPr="00880312">
        <w:rPr>
          <w:rFonts w:ascii="Times New Roman" w:eastAsia="DengXian" w:hAnsi="Times New Roman" w:cs="Times New Roman"/>
          <w:sz w:val="24"/>
          <w:szCs w:val="24"/>
          <w:lang w:eastAsia="zh-CN"/>
        </w:rPr>
        <w:t xml:space="preserve">owever, the interesting question is, who is responsible for shaping the corporate </w:t>
      </w:r>
      <w:r>
        <w:rPr>
          <w:rFonts w:ascii="Times New Roman" w:eastAsia="DengXian" w:hAnsi="Times New Roman" w:cs="Times New Roman"/>
          <w:sz w:val="24"/>
          <w:szCs w:val="24"/>
          <w:lang w:eastAsia="zh-CN"/>
        </w:rPr>
        <w:t xml:space="preserve">risk </w:t>
      </w:r>
      <w:r w:rsidR="00880312" w:rsidRPr="00880312">
        <w:rPr>
          <w:rFonts w:ascii="Times New Roman" w:eastAsia="DengXian" w:hAnsi="Times New Roman" w:cs="Times New Roman"/>
          <w:sz w:val="24"/>
          <w:szCs w:val="24"/>
          <w:lang w:eastAsia="zh-CN"/>
        </w:rPr>
        <w:t>culture? Regulators have assigned this responsibility to the top management</w:t>
      </w:r>
      <w:r w:rsidR="002B4761">
        <w:rPr>
          <w:rFonts w:ascii="Times New Roman" w:eastAsia="DengXian" w:hAnsi="Times New Roman" w:cs="Times New Roman"/>
          <w:sz w:val="24"/>
          <w:szCs w:val="24"/>
          <w:lang w:eastAsia="zh-CN"/>
        </w:rPr>
        <w:t xml:space="preserve">, such as </w:t>
      </w:r>
      <w:r>
        <w:rPr>
          <w:rFonts w:ascii="Times New Roman" w:eastAsia="DengXian" w:hAnsi="Times New Roman" w:cs="Times New Roman"/>
          <w:sz w:val="24"/>
          <w:szCs w:val="24"/>
          <w:lang w:eastAsia="zh-CN"/>
        </w:rPr>
        <w:t xml:space="preserve">the </w:t>
      </w:r>
      <w:r w:rsidR="00880312" w:rsidRPr="00880312">
        <w:rPr>
          <w:rFonts w:ascii="Times New Roman" w:eastAsia="DengXian" w:hAnsi="Times New Roman" w:cs="Times New Roman"/>
          <w:sz w:val="24"/>
          <w:szCs w:val="24"/>
          <w:lang w:eastAsia="zh-CN"/>
        </w:rPr>
        <w:t>Board, CEO, and senior executives</w:t>
      </w:r>
      <w:r>
        <w:rPr>
          <w:rFonts w:ascii="Times New Roman" w:eastAsia="DengXian" w:hAnsi="Times New Roman" w:cs="Times New Roman"/>
          <w:sz w:val="24"/>
          <w:szCs w:val="24"/>
          <w:lang w:eastAsia="zh-CN"/>
        </w:rPr>
        <w:t>,</w:t>
      </w:r>
      <w:r w:rsidR="00880312" w:rsidRPr="00880312">
        <w:rPr>
          <w:rFonts w:ascii="Times New Roman" w:eastAsia="DengXian" w:hAnsi="Times New Roman" w:cs="Times New Roman"/>
          <w:sz w:val="24"/>
          <w:szCs w:val="24"/>
          <w:lang w:eastAsia="zh-CN"/>
        </w:rPr>
        <w:t xml:space="preserve"> in the form of "Tone from the top" as one of the common foundational elements that support a sound risk culture (FSB, 2014; Firodelisi et al., 2016). Thus, acknowledging the importance of monitoring and advising functions of the board of directors</w:t>
      </w:r>
      <w:r w:rsidR="00880312" w:rsidRPr="00880312">
        <w:rPr>
          <w:rFonts w:ascii="Times New Roman" w:eastAsia="DengXian" w:hAnsi="Times New Roman" w:cs="Times New Roman"/>
          <w:color w:val="000000" w:themeColor="text1"/>
          <w:sz w:val="24"/>
          <w:szCs w:val="24"/>
          <w:lang w:eastAsia="zh-CN"/>
        </w:rPr>
        <w:t>, this study analy</w:t>
      </w:r>
      <w:r w:rsidR="002B4761">
        <w:rPr>
          <w:rFonts w:ascii="Times New Roman" w:eastAsia="DengXian" w:hAnsi="Times New Roman" w:cs="Times New Roman"/>
          <w:color w:val="000000" w:themeColor="text1"/>
          <w:sz w:val="24"/>
          <w:szCs w:val="24"/>
          <w:lang w:eastAsia="zh-CN"/>
        </w:rPr>
        <w:t>s</w:t>
      </w:r>
      <w:r w:rsidR="00880312" w:rsidRPr="00880312">
        <w:rPr>
          <w:rFonts w:ascii="Times New Roman" w:eastAsia="DengXian" w:hAnsi="Times New Roman" w:cs="Times New Roman"/>
          <w:color w:val="000000" w:themeColor="text1"/>
          <w:sz w:val="24"/>
          <w:szCs w:val="24"/>
          <w:lang w:eastAsia="zh-CN"/>
        </w:rPr>
        <w:t xml:space="preserve">es the board's role in shaping the relationship between corporate culture and bank risk-taking. </w:t>
      </w:r>
      <w:r w:rsidRPr="00880312">
        <w:rPr>
          <w:rFonts w:ascii="Times New Roman" w:eastAsia="DengXian" w:hAnsi="Times New Roman" w:cs="Times New Roman"/>
          <w:sz w:val="24"/>
          <w:szCs w:val="24"/>
          <w:lang w:eastAsia="zh-CN"/>
        </w:rPr>
        <w:t xml:space="preserve">The academic literature also supports the regulatory stance, i.e., understanding and developing an appropriate risk culture is the board's and senior executives' responsibility (Mehran et al., 2011; Stulz, 2015). </w:t>
      </w:r>
      <w:r w:rsidR="00880312" w:rsidRPr="00880312">
        <w:rPr>
          <w:rFonts w:ascii="Times New Roman" w:eastAsia="DengXian" w:hAnsi="Times New Roman" w:cs="Times New Roman"/>
          <w:color w:val="000000" w:themeColor="text1"/>
          <w:sz w:val="24"/>
          <w:szCs w:val="24"/>
          <w:lang w:eastAsia="zh-CN"/>
        </w:rPr>
        <w:t>We focus on board composition by exploring the role of a gender-diverse board on bank risk culture.</w:t>
      </w:r>
      <w:r w:rsidR="00244803" w:rsidRPr="00244803">
        <w:rPr>
          <w:sz w:val="16"/>
          <w:szCs w:val="16"/>
        </w:rPr>
        <w:t xml:space="preserve"> </w:t>
      </w:r>
      <w:r w:rsidR="00880312" w:rsidRPr="00880312">
        <w:rPr>
          <w:rFonts w:ascii="Times New Roman" w:eastAsia="DengXian" w:hAnsi="Times New Roman" w:cs="Times New Roman"/>
          <w:color w:val="000000" w:themeColor="text1"/>
          <w:sz w:val="24"/>
          <w:szCs w:val="24"/>
          <w:lang w:eastAsia="zh-CN"/>
        </w:rPr>
        <w:t xml:space="preserve">The inherent idea is that gender diverse board with more women representation </w:t>
      </w:r>
      <w:r>
        <w:rPr>
          <w:rFonts w:ascii="Times New Roman" w:eastAsia="DengXian" w:hAnsi="Times New Roman" w:cs="Times New Roman"/>
          <w:color w:val="000000" w:themeColor="text1"/>
          <w:sz w:val="24"/>
          <w:szCs w:val="24"/>
          <w:lang w:eastAsia="zh-CN"/>
        </w:rPr>
        <w:t>improves</w:t>
      </w:r>
      <w:r w:rsidR="00880312" w:rsidRPr="00880312">
        <w:rPr>
          <w:rFonts w:ascii="Times New Roman" w:eastAsia="DengXian" w:hAnsi="Times New Roman" w:cs="Times New Roman"/>
          <w:color w:val="000000" w:themeColor="text1"/>
          <w:sz w:val="24"/>
          <w:szCs w:val="24"/>
          <w:lang w:eastAsia="zh-CN"/>
        </w:rPr>
        <w:t xml:space="preserve"> governance outcome</w:t>
      </w:r>
      <w:r>
        <w:rPr>
          <w:rFonts w:ascii="Times New Roman" w:eastAsia="DengXian" w:hAnsi="Times New Roman" w:cs="Times New Roman"/>
          <w:color w:val="000000" w:themeColor="text1"/>
          <w:sz w:val="24"/>
          <w:szCs w:val="24"/>
          <w:lang w:eastAsia="zh-CN"/>
        </w:rPr>
        <w:t>s as w</w:t>
      </w:r>
      <w:r w:rsidR="00880312" w:rsidRPr="00880312">
        <w:rPr>
          <w:rFonts w:ascii="Times New Roman" w:eastAsia="DengXian" w:hAnsi="Times New Roman" w:cs="Times New Roman"/>
          <w:color w:val="000000" w:themeColor="text1"/>
          <w:sz w:val="24"/>
          <w:szCs w:val="24"/>
          <w:lang w:eastAsia="zh-CN"/>
        </w:rPr>
        <w:t>omen are better monitors, bring</w:t>
      </w:r>
      <w:r>
        <w:rPr>
          <w:rFonts w:ascii="Times New Roman" w:eastAsia="DengXian" w:hAnsi="Times New Roman" w:cs="Times New Roman"/>
          <w:color w:val="000000" w:themeColor="text1"/>
          <w:sz w:val="24"/>
          <w:szCs w:val="24"/>
          <w:lang w:eastAsia="zh-CN"/>
        </w:rPr>
        <w:t xml:space="preserve"> different skills and experiences, and are ethically more inclined towards combined societal goals than personal one</w:t>
      </w:r>
      <w:r w:rsidR="00880312" w:rsidRPr="00880312">
        <w:rPr>
          <w:rFonts w:ascii="Times New Roman" w:eastAsia="DengXian" w:hAnsi="Times New Roman" w:cs="Times New Roman"/>
          <w:color w:val="000000" w:themeColor="text1"/>
          <w:sz w:val="24"/>
          <w:szCs w:val="24"/>
          <w:lang w:eastAsia="zh-CN"/>
        </w:rPr>
        <w:t>s (Arnaboldi et al., 2021).</w:t>
      </w:r>
    </w:p>
    <w:p w14:paraId="661A8178" w14:textId="675CB91F" w:rsidR="00880312" w:rsidRPr="004D34A5" w:rsidRDefault="001E7A91" w:rsidP="00880312">
      <w:pPr>
        <w:spacing w:line="480" w:lineRule="auto"/>
        <w:jc w:val="both"/>
        <w:rPr>
          <w:rFonts w:ascii="Times New Roman" w:eastAsia="DengXian" w:hAnsi="Times New Roman"/>
          <w:color w:val="000000" w:themeColor="text1"/>
          <w:sz w:val="24"/>
          <w:szCs w:val="24"/>
          <w:lang w:eastAsia="zh-CN"/>
        </w:rPr>
      </w:pPr>
      <w:r>
        <w:rPr>
          <w:rFonts w:ascii="Times New Roman" w:eastAsia="DengXian" w:hAnsi="Times New Roman" w:cs="Times New Roman"/>
          <w:sz w:val="24"/>
          <w:szCs w:val="24"/>
          <w:lang w:eastAsia="zh-CN"/>
        </w:rPr>
        <w:t>Recently, gender</w:t>
      </w:r>
      <w:r w:rsidR="004D34A5">
        <w:rPr>
          <w:rFonts w:ascii="Times New Roman" w:eastAsia="DengXian" w:hAnsi="Times New Roman" w:cs="Times New Roman"/>
          <w:sz w:val="24"/>
          <w:szCs w:val="24"/>
          <w:lang w:eastAsia="zh-CN"/>
        </w:rPr>
        <w:t>-</w:t>
      </w:r>
      <w:r>
        <w:rPr>
          <w:rFonts w:ascii="Times New Roman" w:eastAsia="DengXian" w:hAnsi="Times New Roman" w:cs="Times New Roman"/>
          <w:sz w:val="24"/>
          <w:szCs w:val="24"/>
          <w:lang w:eastAsia="zh-CN"/>
        </w:rPr>
        <w:t>diverse board</w:t>
      </w:r>
      <w:r w:rsidR="004D34A5">
        <w:rPr>
          <w:rFonts w:ascii="Times New Roman" w:eastAsia="DengXian" w:hAnsi="Times New Roman" w:cs="Times New Roman"/>
          <w:sz w:val="24"/>
          <w:szCs w:val="24"/>
          <w:lang w:eastAsia="zh-CN"/>
        </w:rPr>
        <w:t>s</w:t>
      </w:r>
      <w:r>
        <w:rPr>
          <w:rFonts w:ascii="Times New Roman" w:eastAsia="DengXian" w:hAnsi="Times New Roman" w:cs="Times New Roman"/>
          <w:sz w:val="24"/>
          <w:szCs w:val="24"/>
          <w:lang w:eastAsia="zh-CN"/>
        </w:rPr>
        <w:t xml:space="preserve"> ha</w:t>
      </w:r>
      <w:r w:rsidR="004D34A5">
        <w:rPr>
          <w:rFonts w:ascii="Times New Roman" w:eastAsia="DengXian" w:hAnsi="Times New Roman" w:cs="Times New Roman"/>
          <w:sz w:val="24"/>
          <w:szCs w:val="24"/>
          <w:lang w:eastAsia="zh-CN"/>
        </w:rPr>
        <w:t>ve</w:t>
      </w:r>
      <w:r>
        <w:rPr>
          <w:rFonts w:ascii="Times New Roman" w:eastAsia="DengXian" w:hAnsi="Times New Roman" w:cs="Times New Roman"/>
          <w:sz w:val="24"/>
          <w:szCs w:val="24"/>
          <w:lang w:eastAsia="zh-CN"/>
        </w:rPr>
        <w:t xml:space="preserve"> gained </w:t>
      </w:r>
      <w:r w:rsidR="004D34A5">
        <w:rPr>
          <w:rFonts w:ascii="Times New Roman" w:eastAsia="DengXian" w:hAnsi="Times New Roman" w:cs="Times New Roman"/>
          <w:sz w:val="24"/>
          <w:szCs w:val="24"/>
          <w:lang w:eastAsia="zh-CN"/>
        </w:rPr>
        <w:t>significant attention and policymakers worldwide</w:t>
      </w:r>
      <w:r w:rsidR="00880312" w:rsidRPr="00880312">
        <w:rPr>
          <w:rFonts w:ascii="Times New Roman" w:eastAsia="DengXian" w:hAnsi="Times New Roman" w:cs="Times New Roman"/>
          <w:sz w:val="24"/>
          <w:szCs w:val="24"/>
          <w:lang w:eastAsia="zh-CN"/>
        </w:rPr>
        <w:t xml:space="preserve"> are convinced that gender-diverse boards are more effective monitors</w:t>
      </w:r>
      <w:r>
        <w:rPr>
          <w:rFonts w:ascii="Times New Roman" w:eastAsia="DengXian" w:hAnsi="Times New Roman" w:cs="Times New Roman"/>
          <w:sz w:val="24"/>
          <w:szCs w:val="24"/>
          <w:lang w:eastAsia="zh-CN"/>
        </w:rPr>
        <w:t>.</w:t>
      </w:r>
      <w:r w:rsidR="00880312" w:rsidRPr="00880312">
        <w:rPr>
          <w:rFonts w:ascii="Times New Roman" w:eastAsia="DengXian" w:hAnsi="Times New Roman" w:cs="Times New Roman"/>
          <w:sz w:val="24"/>
          <w:szCs w:val="24"/>
          <w:lang w:eastAsia="zh-CN"/>
        </w:rPr>
        <w:t xml:space="preserve"> </w:t>
      </w:r>
      <w:r>
        <w:rPr>
          <w:rFonts w:ascii="Times New Roman" w:eastAsia="DengXian" w:hAnsi="Times New Roman" w:cs="Times New Roman"/>
          <w:sz w:val="24"/>
          <w:szCs w:val="24"/>
          <w:lang w:eastAsia="zh-CN"/>
        </w:rPr>
        <w:t>A</w:t>
      </w:r>
      <w:r w:rsidR="00880312" w:rsidRPr="00880312">
        <w:rPr>
          <w:rFonts w:ascii="Times New Roman" w:eastAsia="DengXian" w:hAnsi="Times New Roman" w:cs="Times New Roman"/>
          <w:sz w:val="24"/>
          <w:szCs w:val="24"/>
          <w:lang w:eastAsia="zh-CN"/>
        </w:rPr>
        <w:t xml:space="preserve">s a result, 32 countries have implemented a wide range of board room diversity policies ranging from legal quotas, governance code amendments and disclosure requirements </w:t>
      </w:r>
      <w:r w:rsidR="004D34A5">
        <w:rPr>
          <w:rFonts w:ascii="Times New Roman" w:eastAsia="DengXian" w:hAnsi="Times New Roman" w:cs="Times New Roman"/>
          <w:sz w:val="24"/>
          <w:szCs w:val="24"/>
          <w:lang w:eastAsia="zh-CN"/>
        </w:rPr>
        <w:t>from</w:t>
      </w:r>
      <w:r w:rsidR="00880312" w:rsidRPr="00880312">
        <w:rPr>
          <w:rFonts w:ascii="Times New Roman" w:eastAsia="DengXian" w:hAnsi="Times New Roman" w:cs="Times New Roman"/>
          <w:sz w:val="24"/>
          <w:szCs w:val="24"/>
          <w:lang w:eastAsia="zh-CN"/>
        </w:rPr>
        <w:t xml:space="preserve"> 2008-2015 (Zattoni et al., 2022; Zalaata et al., 2019; Adams,2016).  Prior literature justifies the appointment of female directors on the board based on economic and social theories. Economic theories present a  "business case" for selecting women on the board, emphasizing that boardroom gender diversity improves shareholder value (Zalaata et al., 2019) as women are physiologically, psychologically and cognitively different from their male counterparts and bring unique experiences, expertise, skills, talents and work ethics when appointed on board.(Carter, Simkins, &amp; Simpson, 2003; Adams, 2016; Croson &amp; Gneezy, 2009; Zalatta et al., 2019). The other argument for gender diverse board is based on social-based theories, </w:t>
      </w:r>
      <w:r w:rsidR="004D34A5">
        <w:rPr>
          <w:rFonts w:ascii="Times New Roman" w:eastAsia="DengXian" w:hAnsi="Times New Roman" w:cs="Times New Roman"/>
          <w:sz w:val="24"/>
          <w:szCs w:val="24"/>
          <w:lang w:eastAsia="zh-CN"/>
        </w:rPr>
        <w:t>emphasising</w:t>
      </w:r>
      <w:r w:rsidR="00880312" w:rsidRPr="00880312">
        <w:rPr>
          <w:rFonts w:ascii="Times New Roman" w:eastAsia="DengXian" w:hAnsi="Times New Roman" w:cs="Times New Roman"/>
          <w:sz w:val="24"/>
          <w:szCs w:val="24"/>
          <w:lang w:eastAsia="zh-CN"/>
        </w:rPr>
        <w:t xml:space="preserve"> the difference between men and women based on behaviours, ethics and social role. These theories find women to be more ethical, depict communal traits, maintain interpersonal relationships and show concern for the well-being of others (Adams &amp; Funk, 2012; Chizema, Kamuriwo, &amp; Shinozawa, 2015). </w:t>
      </w:r>
      <w:r w:rsidR="00EE79B1" w:rsidRPr="00880312">
        <w:rPr>
          <w:rFonts w:ascii="Times New Roman" w:eastAsia="DengXian" w:hAnsi="Times New Roman" w:cs="Times New Roman"/>
          <w:sz w:val="24"/>
          <w:szCs w:val="24"/>
          <w:lang w:eastAsia="zh-CN"/>
        </w:rPr>
        <w:t xml:space="preserve">With regards to risk, prior literature associates women being risk-averse as they are less </w:t>
      </w:r>
      <w:r w:rsidR="00BD63E9">
        <w:rPr>
          <w:rFonts w:ascii="Times New Roman" w:eastAsia="DengXian" w:hAnsi="Times New Roman" w:cs="Times New Roman"/>
          <w:sz w:val="24"/>
          <w:szCs w:val="24"/>
          <w:lang w:eastAsia="zh-CN"/>
        </w:rPr>
        <w:t xml:space="preserve">competitive, </w:t>
      </w:r>
      <w:r w:rsidR="004D34A5">
        <w:rPr>
          <w:rFonts w:ascii="Times New Roman" w:eastAsia="DengXian" w:hAnsi="Times New Roman" w:cs="Times New Roman"/>
          <w:sz w:val="24"/>
          <w:szCs w:val="24"/>
          <w:lang w:eastAsia="zh-CN"/>
        </w:rPr>
        <w:t xml:space="preserve">and </w:t>
      </w:r>
      <w:r w:rsidR="00EE79B1" w:rsidRPr="00880312">
        <w:rPr>
          <w:rFonts w:ascii="Times New Roman" w:eastAsia="DengXian" w:hAnsi="Times New Roman" w:cs="Times New Roman"/>
          <w:sz w:val="24"/>
          <w:szCs w:val="24"/>
          <w:lang w:eastAsia="zh-CN"/>
        </w:rPr>
        <w:t>overconfident</w:t>
      </w:r>
      <w:r w:rsidR="00BD63E9">
        <w:rPr>
          <w:rFonts w:ascii="Times New Roman" w:eastAsia="DengXian" w:hAnsi="Times New Roman" w:cs="Times New Roman"/>
          <w:sz w:val="24"/>
          <w:szCs w:val="24"/>
          <w:lang w:eastAsia="zh-CN"/>
        </w:rPr>
        <w:t xml:space="preserve">, but more </w:t>
      </w:r>
      <w:r w:rsidR="00EE79B1" w:rsidRPr="00880312">
        <w:rPr>
          <w:rFonts w:ascii="Times New Roman" w:eastAsia="DengXian" w:hAnsi="Times New Roman" w:cs="Times New Roman"/>
          <w:sz w:val="24"/>
          <w:szCs w:val="24"/>
          <w:lang w:eastAsia="zh-CN"/>
        </w:rPr>
        <w:t xml:space="preserve">communal, </w:t>
      </w:r>
      <w:r w:rsidR="00BD63E9" w:rsidRPr="00880312">
        <w:rPr>
          <w:rFonts w:ascii="Times New Roman" w:eastAsia="DengXian" w:hAnsi="Times New Roman" w:cs="Times New Roman"/>
          <w:sz w:val="24"/>
          <w:szCs w:val="24"/>
          <w:lang w:eastAsia="zh-CN"/>
        </w:rPr>
        <w:t>rational</w:t>
      </w:r>
      <w:r w:rsidR="00EE79B1" w:rsidRPr="00880312">
        <w:rPr>
          <w:rFonts w:ascii="Times New Roman" w:eastAsia="DengXian" w:hAnsi="Times New Roman" w:cs="Times New Roman"/>
          <w:sz w:val="24"/>
          <w:szCs w:val="24"/>
          <w:lang w:eastAsia="zh-CN"/>
        </w:rPr>
        <w:t xml:space="preserve">, independent, objective and responsible, enabling female directors to </w:t>
      </w:r>
      <w:r w:rsidR="00BD63E9">
        <w:rPr>
          <w:rFonts w:ascii="Times New Roman" w:eastAsia="DengXian" w:hAnsi="Times New Roman" w:cs="Times New Roman"/>
          <w:sz w:val="24"/>
          <w:szCs w:val="24"/>
          <w:lang w:eastAsia="zh-CN"/>
        </w:rPr>
        <w:t xml:space="preserve">be more vigilant in </w:t>
      </w:r>
      <w:r w:rsidR="00EE79B1" w:rsidRPr="00880312">
        <w:rPr>
          <w:rFonts w:ascii="Times New Roman" w:eastAsia="DengXian" w:hAnsi="Times New Roman" w:cs="Times New Roman"/>
          <w:sz w:val="24"/>
          <w:szCs w:val="24"/>
          <w:lang w:eastAsia="zh-CN"/>
        </w:rPr>
        <w:t>monitor</w:t>
      </w:r>
      <w:r w:rsidR="00BD63E9">
        <w:rPr>
          <w:rFonts w:ascii="Times New Roman" w:eastAsia="DengXian" w:hAnsi="Times New Roman" w:cs="Times New Roman"/>
          <w:sz w:val="24"/>
          <w:szCs w:val="24"/>
          <w:lang w:eastAsia="zh-CN"/>
        </w:rPr>
        <w:t>ing</w:t>
      </w:r>
      <w:r w:rsidR="00EE79B1" w:rsidRPr="00880312">
        <w:rPr>
          <w:rFonts w:ascii="Times New Roman" w:eastAsia="DengXian" w:hAnsi="Times New Roman" w:cs="Times New Roman"/>
          <w:sz w:val="24"/>
          <w:szCs w:val="24"/>
          <w:lang w:eastAsia="zh-CN"/>
        </w:rPr>
        <w:t xml:space="preserve"> executives </w:t>
      </w:r>
      <w:r w:rsidR="00BD63E9">
        <w:rPr>
          <w:rFonts w:ascii="Times New Roman" w:eastAsia="DengXian" w:hAnsi="Times New Roman" w:cs="Times New Roman"/>
          <w:sz w:val="24"/>
          <w:szCs w:val="24"/>
          <w:lang w:eastAsia="zh-CN"/>
        </w:rPr>
        <w:t>compared to</w:t>
      </w:r>
      <w:r w:rsidR="00EE79B1" w:rsidRPr="00880312">
        <w:rPr>
          <w:rFonts w:ascii="Times New Roman" w:eastAsia="DengXian" w:hAnsi="Times New Roman" w:cs="Times New Roman"/>
          <w:sz w:val="24"/>
          <w:szCs w:val="24"/>
          <w:lang w:eastAsia="zh-CN"/>
        </w:rPr>
        <w:t xml:space="preserve"> male </w:t>
      </w:r>
      <w:r w:rsidR="00BD63E9" w:rsidRPr="00880312">
        <w:rPr>
          <w:rFonts w:ascii="Times New Roman" w:eastAsia="DengXian" w:hAnsi="Times New Roman" w:cs="Times New Roman"/>
          <w:sz w:val="24"/>
          <w:szCs w:val="24"/>
          <w:lang w:eastAsia="zh-CN"/>
        </w:rPr>
        <w:t>directors (</w:t>
      </w:r>
      <w:r w:rsidR="00EE79B1" w:rsidRPr="00880312">
        <w:rPr>
          <w:rFonts w:ascii="Times New Roman" w:eastAsia="DengXian" w:hAnsi="Times New Roman" w:cs="Times New Roman"/>
          <w:sz w:val="24"/>
          <w:szCs w:val="24"/>
          <w:lang w:eastAsia="zh-CN"/>
        </w:rPr>
        <w:t xml:space="preserve">Croson and Gneezy, 2009; Zalaata et al., 2019). </w:t>
      </w:r>
    </w:p>
    <w:p w14:paraId="21E5C7DD" w14:textId="6D8D9888" w:rsidR="00880312" w:rsidRPr="00880312" w:rsidRDefault="00EE79B1" w:rsidP="00880312">
      <w:pPr>
        <w:spacing w:line="480" w:lineRule="auto"/>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Furthermore, p</w:t>
      </w:r>
      <w:r w:rsidR="00880312" w:rsidRPr="00880312">
        <w:rPr>
          <w:rFonts w:ascii="Times New Roman" w:eastAsia="DengXian" w:hAnsi="Times New Roman" w:cs="Times New Roman"/>
          <w:sz w:val="24"/>
          <w:szCs w:val="24"/>
          <w:lang w:eastAsia="zh-CN"/>
        </w:rPr>
        <w:t>revious works (Byrnes et al.,1999;</w:t>
      </w:r>
      <w:r w:rsidR="00880312" w:rsidRPr="00880312">
        <w:rPr>
          <w:rFonts w:ascii="Times New Roman" w:eastAsia="DengXian" w:hAnsi="Times New Roman" w:cs="Times New Roman"/>
          <w:color w:val="000000" w:themeColor="text1"/>
          <w:sz w:val="24"/>
          <w:szCs w:val="24"/>
          <w:lang w:eastAsia="zh-CN"/>
        </w:rPr>
        <w:t xml:space="preserve"> </w:t>
      </w:r>
      <w:r w:rsidR="00880312" w:rsidRPr="00880312">
        <w:rPr>
          <w:rFonts w:ascii="Times New Roman" w:eastAsia="DengXian" w:hAnsi="Times New Roman" w:cs="Times New Roman"/>
          <w:sz w:val="24"/>
          <w:szCs w:val="24"/>
          <w:lang w:eastAsia="zh-CN"/>
        </w:rPr>
        <w:t xml:space="preserve">Wilson and Altanlar, 2011; Berger et al., 2014; Adams &amp; Ferreira, 2009; Gregory, Jeanes, Tharyan &amp; Tonks, 2013) </w:t>
      </w:r>
      <w:r w:rsidR="00BD63E9" w:rsidRPr="00880312">
        <w:rPr>
          <w:rFonts w:ascii="Times New Roman" w:eastAsia="DengXian" w:hAnsi="Times New Roman" w:cs="Times New Roman"/>
          <w:sz w:val="24"/>
          <w:szCs w:val="24"/>
          <w:lang w:eastAsia="zh-CN"/>
        </w:rPr>
        <w:t>primarily</w:t>
      </w:r>
      <w:r w:rsidR="00880312" w:rsidRPr="00880312">
        <w:rPr>
          <w:rFonts w:ascii="Times New Roman" w:eastAsia="DengXian" w:hAnsi="Times New Roman" w:cs="Times New Roman"/>
          <w:sz w:val="24"/>
          <w:szCs w:val="24"/>
          <w:lang w:eastAsia="zh-CN"/>
        </w:rPr>
        <w:t xml:space="preserve"> </w:t>
      </w:r>
      <w:r w:rsidR="00BD63E9" w:rsidRPr="00880312">
        <w:rPr>
          <w:rFonts w:ascii="Times New Roman" w:eastAsia="DengXian" w:hAnsi="Times New Roman" w:cs="Times New Roman"/>
          <w:sz w:val="24"/>
          <w:szCs w:val="24"/>
          <w:lang w:eastAsia="zh-CN"/>
        </w:rPr>
        <w:t>explore</w:t>
      </w:r>
      <w:r w:rsidR="00880312" w:rsidRPr="00880312">
        <w:rPr>
          <w:rFonts w:ascii="Times New Roman" w:eastAsia="DengXian" w:hAnsi="Times New Roman" w:cs="Times New Roman"/>
          <w:sz w:val="24"/>
          <w:szCs w:val="24"/>
          <w:lang w:eastAsia="zh-CN"/>
        </w:rPr>
        <w:t xml:space="preserve"> board diversity as the independent variable on firm outcome. Relatively few studies have explored board diversity as moderating variable with a primary focus on </w:t>
      </w:r>
      <w:r w:rsidR="00BD63E9">
        <w:rPr>
          <w:rFonts w:ascii="Times New Roman" w:eastAsia="DengXian" w:hAnsi="Times New Roman" w:cs="Times New Roman"/>
          <w:sz w:val="24"/>
          <w:szCs w:val="24"/>
          <w:lang w:eastAsia="zh-CN"/>
        </w:rPr>
        <w:t xml:space="preserve">board </w:t>
      </w:r>
      <w:r w:rsidR="00880312" w:rsidRPr="00880312">
        <w:rPr>
          <w:rFonts w:ascii="Times New Roman" w:eastAsia="DengXian" w:hAnsi="Times New Roman" w:cs="Times New Roman"/>
          <w:sz w:val="24"/>
          <w:szCs w:val="24"/>
          <w:lang w:eastAsia="zh-CN"/>
        </w:rPr>
        <w:t xml:space="preserve">gender diversity as a moderator of the baseline relationship(Triana et al., 2014; Mitra, Post and Sauerwald, 2021; Tuggle et al.,2022;  Zattoni et al., 2022). </w:t>
      </w:r>
      <w:r w:rsidRPr="00880312">
        <w:rPr>
          <w:rFonts w:ascii="Times New Roman" w:eastAsia="DengXian" w:hAnsi="Times New Roman" w:cs="Times New Roman"/>
          <w:sz w:val="24"/>
          <w:szCs w:val="24"/>
          <w:lang w:eastAsia="zh-CN"/>
        </w:rPr>
        <w:t>Thus,</w:t>
      </w:r>
      <w:r w:rsidR="00880312" w:rsidRPr="00880312">
        <w:rPr>
          <w:rFonts w:ascii="Times New Roman" w:eastAsia="DengXian" w:hAnsi="Times New Roman" w:cs="Times New Roman"/>
          <w:sz w:val="24"/>
          <w:szCs w:val="24"/>
          <w:lang w:eastAsia="zh-CN"/>
        </w:rPr>
        <w:t xml:space="preserve"> based on the prior literature, we believe that there is an </w:t>
      </w:r>
      <w:r w:rsidR="00BD63E9">
        <w:rPr>
          <w:rFonts w:ascii="Times New Roman" w:eastAsia="DengXian" w:hAnsi="Times New Roman" w:cs="Times New Roman"/>
          <w:sz w:val="24"/>
          <w:szCs w:val="24"/>
          <w:lang w:eastAsia="zh-CN"/>
        </w:rPr>
        <w:t xml:space="preserve">emerging </w:t>
      </w:r>
      <w:r w:rsidR="00880312" w:rsidRPr="00880312">
        <w:rPr>
          <w:rFonts w:ascii="Times New Roman" w:eastAsia="DengXian" w:hAnsi="Times New Roman" w:cs="Times New Roman"/>
          <w:sz w:val="24"/>
          <w:szCs w:val="24"/>
          <w:lang w:eastAsia="zh-CN"/>
        </w:rPr>
        <w:t xml:space="preserve">area of research that </w:t>
      </w:r>
      <w:r w:rsidR="00BD63E9" w:rsidRPr="00880312">
        <w:rPr>
          <w:rFonts w:ascii="Times New Roman" w:eastAsia="DengXian" w:hAnsi="Times New Roman" w:cs="Times New Roman"/>
          <w:sz w:val="24"/>
          <w:szCs w:val="24"/>
          <w:lang w:eastAsia="zh-CN"/>
        </w:rPr>
        <w:t>confirms</w:t>
      </w:r>
      <w:r w:rsidR="00880312" w:rsidRPr="00880312">
        <w:rPr>
          <w:rFonts w:ascii="Times New Roman" w:eastAsia="DengXian" w:hAnsi="Times New Roman" w:cs="Times New Roman"/>
          <w:sz w:val="24"/>
          <w:szCs w:val="24"/>
          <w:lang w:eastAsia="zh-CN"/>
        </w:rPr>
        <w:t xml:space="preserve"> </w:t>
      </w:r>
      <w:r w:rsidR="00BD63E9">
        <w:rPr>
          <w:rFonts w:ascii="Times New Roman" w:eastAsia="DengXian" w:hAnsi="Times New Roman" w:cs="Times New Roman"/>
          <w:sz w:val="24"/>
          <w:szCs w:val="24"/>
          <w:lang w:eastAsia="zh-CN"/>
        </w:rPr>
        <w:t xml:space="preserve">the moderating role of  </w:t>
      </w:r>
      <w:r w:rsidR="00880312" w:rsidRPr="00880312">
        <w:rPr>
          <w:rFonts w:ascii="Times New Roman" w:eastAsia="DengXian" w:hAnsi="Times New Roman" w:cs="Times New Roman"/>
          <w:sz w:val="24"/>
          <w:szCs w:val="24"/>
          <w:lang w:eastAsia="zh-CN"/>
        </w:rPr>
        <w:t xml:space="preserve">board diversity </w:t>
      </w:r>
      <w:r w:rsidR="00BD63E9">
        <w:rPr>
          <w:rFonts w:ascii="Times New Roman" w:eastAsia="DengXian" w:hAnsi="Times New Roman" w:cs="Times New Roman"/>
          <w:sz w:val="24"/>
          <w:szCs w:val="24"/>
          <w:lang w:eastAsia="zh-CN"/>
        </w:rPr>
        <w:t xml:space="preserve">for </w:t>
      </w:r>
      <w:r w:rsidR="00880312" w:rsidRPr="00880312">
        <w:rPr>
          <w:rFonts w:ascii="Times New Roman" w:eastAsia="DengXian" w:hAnsi="Times New Roman" w:cs="Times New Roman"/>
          <w:sz w:val="24"/>
          <w:szCs w:val="24"/>
          <w:lang w:eastAsia="zh-CN"/>
        </w:rPr>
        <w:t>a baseline relationship. Hence</w:t>
      </w:r>
      <w:r w:rsidR="00BD63E9">
        <w:rPr>
          <w:rFonts w:ascii="Times New Roman" w:eastAsia="DengXian" w:hAnsi="Times New Roman" w:cs="Times New Roman"/>
          <w:sz w:val="24"/>
          <w:szCs w:val="24"/>
          <w:lang w:eastAsia="zh-CN"/>
        </w:rPr>
        <w:t xml:space="preserve">, further </w:t>
      </w:r>
      <w:r w:rsidR="00BD63E9" w:rsidRPr="00880312">
        <w:rPr>
          <w:rFonts w:ascii="Times New Roman" w:eastAsia="DengXian" w:hAnsi="Times New Roman" w:cs="Times New Roman"/>
          <w:sz w:val="24"/>
          <w:szCs w:val="24"/>
          <w:lang w:eastAsia="zh-CN"/>
        </w:rPr>
        <w:t>improving</w:t>
      </w:r>
      <w:r w:rsidR="00880312" w:rsidRPr="00880312">
        <w:rPr>
          <w:rFonts w:ascii="Times New Roman" w:eastAsia="DengXian" w:hAnsi="Times New Roman" w:cs="Times New Roman"/>
          <w:sz w:val="24"/>
          <w:szCs w:val="24"/>
          <w:lang w:eastAsia="zh-CN"/>
        </w:rPr>
        <w:t xml:space="preserve"> and contextualizing </w:t>
      </w:r>
      <w:r w:rsidR="00BD63E9">
        <w:rPr>
          <w:rFonts w:ascii="Times New Roman" w:eastAsia="DengXian" w:hAnsi="Times New Roman" w:cs="Times New Roman"/>
          <w:sz w:val="24"/>
          <w:szCs w:val="24"/>
          <w:lang w:eastAsia="zh-CN"/>
        </w:rPr>
        <w:t>the moderating role of</w:t>
      </w:r>
      <w:r w:rsidR="00880312" w:rsidRPr="00880312">
        <w:rPr>
          <w:rFonts w:ascii="Times New Roman" w:eastAsia="DengXian" w:hAnsi="Times New Roman" w:cs="Times New Roman"/>
          <w:sz w:val="24"/>
          <w:szCs w:val="24"/>
          <w:lang w:eastAsia="zh-CN"/>
        </w:rPr>
        <w:t xml:space="preserve"> directors' diversity </w:t>
      </w:r>
      <w:r w:rsidR="00BD63E9">
        <w:rPr>
          <w:rFonts w:ascii="Times New Roman" w:eastAsia="DengXian" w:hAnsi="Times New Roman" w:cs="Times New Roman"/>
          <w:sz w:val="24"/>
          <w:szCs w:val="24"/>
          <w:lang w:eastAsia="zh-CN"/>
        </w:rPr>
        <w:t>with regard to</w:t>
      </w:r>
      <w:r w:rsidR="00880312" w:rsidRPr="00880312">
        <w:rPr>
          <w:rFonts w:ascii="Times New Roman" w:eastAsia="DengXian" w:hAnsi="Times New Roman" w:cs="Times New Roman"/>
          <w:sz w:val="24"/>
          <w:szCs w:val="24"/>
          <w:lang w:eastAsia="zh-CN"/>
        </w:rPr>
        <w:t xml:space="preserve"> gender</w:t>
      </w:r>
      <w:r w:rsidR="00BD63E9">
        <w:rPr>
          <w:rFonts w:ascii="Times New Roman" w:eastAsia="DengXian" w:hAnsi="Times New Roman" w:cs="Times New Roman"/>
          <w:sz w:val="24"/>
          <w:szCs w:val="24"/>
          <w:lang w:eastAsia="zh-CN"/>
        </w:rPr>
        <w:t xml:space="preserve">, we believe that board gender diversity </w:t>
      </w:r>
      <w:r w:rsidR="00880312" w:rsidRPr="00880312">
        <w:rPr>
          <w:rFonts w:ascii="Times New Roman" w:eastAsia="DengXian" w:hAnsi="Times New Roman" w:cs="Times New Roman"/>
          <w:sz w:val="24"/>
          <w:szCs w:val="24"/>
          <w:lang w:eastAsia="zh-CN"/>
        </w:rPr>
        <w:t xml:space="preserve">is a channel to </w:t>
      </w:r>
      <w:r w:rsidR="004D34A5">
        <w:rPr>
          <w:rFonts w:ascii="Times New Roman" w:eastAsia="DengXian" w:hAnsi="Times New Roman" w:cs="Times New Roman"/>
          <w:sz w:val="24"/>
          <w:szCs w:val="24"/>
          <w:lang w:eastAsia="zh-CN"/>
        </w:rPr>
        <w:t>enhanc</w:t>
      </w:r>
      <w:r w:rsidR="00BD63E9" w:rsidRPr="00880312">
        <w:rPr>
          <w:rFonts w:ascii="Times New Roman" w:eastAsia="DengXian" w:hAnsi="Times New Roman" w:cs="Times New Roman"/>
          <w:sz w:val="24"/>
          <w:szCs w:val="24"/>
          <w:lang w:eastAsia="zh-CN"/>
        </w:rPr>
        <w:t>e</w:t>
      </w:r>
      <w:r w:rsidR="00880312" w:rsidRPr="00880312">
        <w:rPr>
          <w:rFonts w:ascii="Times New Roman" w:eastAsia="DengXian" w:hAnsi="Times New Roman" w:cs="Times New Roman"/>
          <w:sz w:val="24"/>
          <w:szCs w:val="24"/>
          <w:lang w:eastAsia="zh-CN"/>
        </w:rPr>
        <w:t xml:space="preserve"> </w:t>
      </w:r>
      <w:r w:rsidR="00BD63E9">
        <w:rPr>
          <w:rFonts w:ascii="Times New Roman" w:eastAsia="DengXian" w:hAnsi="Times New Roman" w:cs="Times New Roman"/>
          <w:sz w:val="24"/>
          <w:szCs w:val="24"/>
          <w:lang w:eastAsia="zh-CN"/>
        </w:rPr>
        <w:t>board effectiveness.</w:t>
      </w:r>
    </w:p>
    <w:p w14:paraId="07313903" w14:textId="31BCC548" w:rsidR="00880312" w:rsidRPr="00880312" w:rsidRDefault="00933604" w:rsidP="00880312">
      <w:pPr>
        <w:spacing w:line="480" w:lineRule="auto"/>
        <w:jc w:val="both"/>
        <w:rPr>
          <w:rFonts w:ascii="Times New Roman" w:eastAsia="DengXian" w:hAnsi="Times New Roman" w:cs="Times New Roman"/>
          <w:sz w:val="24"/>
          <w:szCs w:val="24"/>
          <w:lang w:eastAsia="zh-CN"/>
        </w:rPr>
      </w:pPr>
      <w:r>
        <w:rPr>
          <w:rFonts w:ascii="Times New Roman" w:eastAsia="DengXian" w:hAnsi="Times New Roman" w:cs="Times New Roman"/>
          <w:color w:val="000000" w:themeColor="text1"/>
          <w:sz w:val="24"/>
          <w:szCs w:val="24"/>
          <w:lang w:eastAsia="zh-CN"/>
        </w:rPr>
        <w:t xml:space="preserve">This study </w:t>
      </w:r>
      <w:r w:rsidR="004D34A5">
        <w:rPr>
          <w:rFonts w:ascii="Times New Roman" w:eastAsia="DengXian" w:hAnsi="Times New Roman" w:cs="Times New Roman"/>
          <w:color w:val="000000" w:themeColor="text1"/>
          <w:sz w:val="24"/>
          <w:szCs w:val="24"/>
          <w:lang w:eastAsia="zh-CN"/>
        </w:rPr>
        <w:t>examines th</w:t>
      </w:r>
      <w:r>
        <w:rPr>
          <w:rFonts w:ascii="Times New Roman" w:eastAsia="DengXian" w:hAnsi="Times New Roman" w:cs="Times New Roman"/>
          <w:color w:val="000000" w:themeColor="text1"/>
          <w:sz w:val="24"/>
          <w:szCs w:val="24"/>
          <w:lang w:eastAsia="zh-CN"/>
        </w:rPr>
        <w:t xml:space="preserve">e moderating effect of </w:t>
      </w:r>
      <w:r w:rsidRPr="00880312">
        <w:rPr>
          <w:rFonts w:ascii="Times New Roman" w:eastAsia="DengXian" w:hAnsi="Times New Roman" w:cs="Times New Roman"/>
          <w:color w:val="000000" w:themeColor="text1"/>
          <w:sz w:val="24"/>
          <w:szCs w:val="24"/>
          <w:lang w:eastAsia="zh-CN"/>
        </w:rPr>
        <w:t>a gender-diverse board</w:t>
      </w:r>
      <w:r>
        <w:rPr>
          <w:rFonts w:ascii="Times New Roman" w:eastAsia="DengXian" w:hAnsi="Times New Roman" w:cs="Times New Roman"/>
          <w:color w:val="000000" w:themeColor="text1"/>
          <w:sz w:val="24"/>
          <w:szCs w:val="24"/>
          <w:lang w:eastAsia="zh-CN"/>
        </w:rPr>
        <w:t xml:space="preserve"> </w:t>
      </w:r>
      <w:r w:rsidR="00BF1BB1">
        <w:rPr>
          <w:rFonts w:ascii="Times New Roman" w:eastAsia="DengXian" w:hAnsi="Times New Roman" w:cs="Times New Roman"/>
          <w:color w:val="000000" w:themeColor="text1"/>
          <w:sz w:val="24"/>
          <w:szCs w:val="24"/>
          <w:lang w:eastAsia="zh-CN"/>
        </w:rPr>
        <w:t>in bank risk-taking</w:t>
      </w:r>
      <w:r>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sz w:val="24"/>
          <w:szCs w:val="24"/>
          <w:lang w:eastAsia="zh-CN"/>
        </w:rPr>
        <w:t xml:space="preserve"> </w:t>
      </w:r>
      <w:r w:rsidR="00880312" w:rsidRPr="00880312">
        <w:rPr>
          <w:rFonts w:ascii="Times New Roman" w:eastAsia="DengXian" w:hAnsi="Times New Roman" w:cs="Times New Roman"/>
          <w:sz w:val="24"/>
          <w:szCs w:val="24"/>
          <w:lang w:eastAsia="zh-CN"/>
        </w:rPr>
        <w:t xml:space="preserve">Using a sample of U.S. banks and bank holding companies (BHC) for 2004-2018, we employ </w:t>
      </w:r>
      <w:r>
        <w:rPr>
          <w:rFonts w:ascii="Times New Roman" w:eastAsia="DengXian" w:hAnsi="Times New Roman" w:cs="Times New Roman"/>
          <w:sz w:val="24"/>
          <w:szCs w:val="24"/>
          <w:lang w:eastAsia="zh-CN"/>
        </w:rPr>
        <w:t xml:space="preserve">a </w:t>
      </w:r>
      <w:r w:rsidR="00880312" w:rsidRPr="00880312">
        <w:rPr>
          <w:rFonts w:ascii="Times New Roman" w:eastAsia="DengXian" w:hAnsi="Times New Roman" w:cs="Times New Roman"/>
          <w:sz w:val="24"/>
          <w:szCs w:val="24"/>
          <w:lang w:eastAsia="zh-CN"/>
        </w:rPr>
        <w:t xml:space="preserve">panel </w:t>
      </w:r>
      <w:r>
        <w:rPr>
          <w:rFonts w:ascii="Times New Roman" w:eastAsia="DengXian" w:hAnsi="Times New Roman" w:cs="Times New Roman"/>
          <w:sz w:val="24"/>
          <w:szCs w:val="24"/>
          <w:lang w:eastAsia="zh-CN"/>
        </w:rPr>
        <w:t xml:space="preserve">data analysis </w:t>
      </w:r>
      <w:r w:rsidR="004D34A5">
        <w:rPr>
          <w:rFonts w:ascii="Times New Roman" w:eastAsia="DengXian" w:hAnsi="Times New Roman" w:cs="Times New Roman"/>
          <w:sz w:val="24"/>
          <w:szCs w:val="24"/>
          <w:lang w:eastAsia="zh-CN"/>
        </w:rPr>
        <w:t>to test the hypotheses in achieving the study's main aim</w:t>
      </w:r>
      <w:r w:rsidR="00880312" w:rsidRPr="00880312">
        <w:rPr>
          <w:rFonts w:ascii="Times New Roman" w:eastAsia="DengXian" w:hAnsi="Times New Roman" w:cs="Times New Roman"/>
          <w:sz w:val="24"/>
          <w:szCs w:val="24"/>
          <w:lang w:eastAsia="zh-CN"/>
        </w:rPr>
        <w:t>. We show</w:t>
      </w:r>
      <w:r>
        <w:rPr>
          <w:rFonts w:ascii="Times New Roman" w:eastAsia="DengXian" w:hAnsi="Times New Roman" w:cs="Times New Roman"/>
          <w:sz w:val="24"/>
          <w:szCs w:val="24"/>
          <w:lang w:eastAsia="zh-CN"/>
        </w:rPr>
        <w:t xml:space="preserve"> a  </w:t>
      </w:r>
      <w:r w:rsidR="00880312" w:rsidRPr="00880312">
        <w:rPr>
          <w:rFonts w:ascii="Times New Roman" w:eastAsia="DengXian" w:hAnsi="Times New Roman" w:cs="Times New Roman"/>
          <w:sz w:val="24"/>
          <w:szCs w:val="24"/>
          <w:lang w:eastAsia="zh-CN"/>
        </w:rPr>
        <w:t xml:space="preserve">moderating impact of board gender diversity to mitigate risk </w:t>
      </w:r>
      <w:r>
        <w:rPr>
          <w:rFonts w:ascii="Times New Roman" w:eastAsia="DengXian" w:hAnsi="Times New Roman" w:cs="Times New Roman"/>
          <w:sz w:val="24"/>
          <w:szCs w:val="24"/>
          <w:lang w:eastAsia="zh-CN"/>
        </w:rPr>
        <w:t>in banks</w:t>
      </w:r>
      <w:r w:rsidR="000E4DB2">
        <w:rPr>
          <w:rFonts w:ascii="Times New Roman" w:eastAsia="DengXian" w:hAnsi="Times New Roman" w:cs="Times New Roman"/>
          <w:sz w:val="24"/>
          <w:szCs w:val="24"/>
          <w:lang w:eastAsia="zh-CN"/>
        </w:rPr>
        <w:t>. W</w:t>
      </w:r>
      <w:r w:rsidR="00880312" w:rsidRPr="00880312">
        <w:rPr>
          <w:rFonts w:ascii="Times New Roman" w:eastAsia="DengXian" w:hAnsi="Times New Roman" w:cs="Times New Roman"/>
          <w:sz w:val="24"/>
          <w:szCs w:val="24"/>
          <w:lang w:eastAsia="zh-CN"/>
        </w:rPr>
        <w:t xml:space="preserve">e </w:t>
      </w:r>
      <w:r w:rsidR="000E4DB2" w:rsidRPr="00880312">
        <w:rPr>
          <w:rFonts w:ascii="Times New Roman" w:eastAsia="DengXian" w:hAnsi="Times New Roman" w:cs="Times New Roman"/>
          <w:sz w:val="24"/>
          <w:szCs w:val="24"/>
          <w:lang w:eastAsia="zh-CN"/>
        </w:rPr>
        <w:t>find</w:t>
      </w:r>
      <w:r w:rsidR="00880312" w:rsidRPr="00880312">
        <w:rPr>
          <w:rFonts w:ascii="Times New Roman" w:eastAsia="DengXian" w:hAnsi="Times New Roman" w:cs="Times New Roman"/>
          <w:sz w:val="24"/>
          <w:szCs w:val="24"/>
          <w:lang w:eastAsia="zh-CN"/>
        </w:rPr>
        <w:t xml:space="preserve"> a negative relationship between bank risk and </w:t>
      </w:r>
      <w:r w:rsidR="000E4DB2">
        <w:rPr>
          <w:rFonts w:ascii="Times New Roman" w:eastAsia="DengXian" w:hAnsi="Times New Roman" w:cs="Times New Roman"/>
          <w:sz w:val="24"/>
          <w:szCs w:val="24"/>
          <w:lang w:eastAsia="zh-CN"/>
        </w:rPr>
        <w:t xml:space="preserve">risk </w:t>
      </w:r>
      <w:r w:rsidR="00880312" w:rsidRPr="00880312">
        <w:rPr>
          <w:rFonts w:ascii="Times New Roman" w:eastAsia="DengXian" w:hAnsi="Times New Roman" w:cs="Times New Roman"/>
          <w:sz w:val="24"/>
          <w:szCs w:val="24"/>
          <w:lang w:eastAsia="zh-CN"/>
        </w:rPr>
        <w:t>culture in the presence of a female on board. Our result finds its grounds in social role theory, suggesting that women are more ethical, risk-averse, better at monitoring and have a different impact on corporate outcomes than their male counterparts due to gender stereotypes (Boulouta, 2013). Our findings also support the economic</w:t>
      </w:r>
      <w:r w:rsidR="004D34A5">
        <w:rPr>
          <w:rFonts w:ascii="Times New Roman" w:eastAsia="DengXian" w:hAnsi="Times New Roman" w:cs="Times New Roman"/>
          <w:sz w:val="24"/>
          <w:szCs w:val="24"/>
          <w:lang w:eastAsia="zh-CN"/>
        </w:rPr>
        <w:t xml:space="preserve"> </w:t>
      </w:r>
      <w:r w:rsidR="000E4DB2">
        <w:rPr>
          <w:rFonts w:ascii="Times New Roman" w:eastAsia="DengXian" w:hAnsi="Times New Roman" w:cs="Times New Roman"/>
          <w:sz w:val="24"/>
          <w:szCs w:val="24"/>
          <w:lang w:eastAsia="zh-CN"/>
        </w:rPr>
        <w:t>case of board gender diversity i.e</w:t>
      </w:r>
      <w:r w:rsidR="004D34A5">
        <w:rPr>
          <w:rFonts w:ascii="Times New Roman" w:eastAsia="DengXian" w:hAnsi="Times New Roman" w:cs="Times New Roman"/>
          <w:sz w:val="24"/>
          <w:szCs w:val="24"/>
          <w:lang w:eastAsia="zh-CN"/>
        </w:rPr>
        <w:t>.</w:t>
      </w:r>
      <w:r w:rsidR="000E4DB2">
        <w:rPr>
          <w:rFonts w:ascii="Times New Roman" w:eastAsia="DengXian" w:hAnsi="Times New Roman" w:cs="Times New Roman"/>
          <w:sz w:val="24"/>
          <w:szCs w:val="24"/>
          <w:lang w:eastAsia="zh-CN"/>
        </w:rPr>
        <w:t xml:space="preserve"> </w:t>
      </w:r>
      <w:r w:rsidR="00880312" w:rsidRPr="00880312">
        <w:rPr>
          <w:rFonts w:ascii="Times New Roman" w:eastAsia="DengXian" w:hAnsi="Times New Roman" w:cs="Times New Roman"/>
          <w:sz w:val="24"/>
          <w:szCs w:val="24"/>
          <w:lang w:eastAsia="zh-CN"/>
        </w:rPr>
        <w:t xml:space="preserve"> that women bring unique experiences, skills, and ethics, which results in better monitoring by the board. Our </w:t>
      </w:r>
      <w:r w:rsidR="00BD63E9" w:rsidRPr="00880312">
        <w:rPr>
          <w:rFonts w:ascii="Times New Roman" w:eastAsia="DengXian" w:hAnsi="Times New Roman" w:cs="Times New Roman"/>
          <w:sz w:val="24"/>
          <w:szCs w:val="24"/>
          <w:lang w:eastAsia="zh-CN"/>
        </w:rPr>
        <w:t>results</w:t>
      </w:r>
      <w:r w:rsidR="00880312" w:rsidRPr="00880312">
        <w:rPr>
          <w:rFonts w:ascii="Times New Roman" w:eastAsia="DengXian" w:hAnsi="Times New Roman" w:cs="Times New Roman"/>
          <w:sz w:val="24"/>
          <w:szCs w:val="24"/>
          <w:lang w:eastAsia="zh-CN"/>
        </w:rPr>
        <w:t xml:space="preserve"> further </w:t>
      </w:r>
      <w:r w:rsidR="00BD63E9" w:rsidRPr="00880312">
        <w:rPr>
          <w:rFonts w:ascii="Times New Roman" w:eastAsia="DengXian" w:hAnsi="Times New Roman" w:cs="Times New Roman"/>
          <w:sz w:val="24"/>
          <w:szCs w:val="24"/>
          <w:lang w:eastAsia="zh-CN"/>
        </w:rPr>
        <w:t>show</w:t>
      </w:r>
      <w:r w:rsidR="00880312" w:rsidRPr="00880312">
        <w:rPr>
          <w:rFonts w:ascii="Times New Roman" w:eastAsia="DengXian" w:hAnsi="Times New Roman" w:cs="Times New Roman"/>
          <w:sz w:val="24"/>
          <w:szCs w:val="24"/>
          <w:lang w:eastAsia="zh-CN"/>
        </w:rPr>
        <w:t xml:space="preserve"> that female directors </w:t>
      </w:r>
      <w:r w:rsidR="00BD63E9">
        <w:rPr>
          <w:rFonts w:ascii="Times New Roman" w:eastAsia="DengXian" w:hAnsi="Times New Roman" w:cs="Times New Roman"/>
          <w:sz w:val="24"/>
          <w:szCs w:val="24"/>
          <w:lang w:eastAsia="zh-CN"/>
        </w:rPr>
        <w:t xml:space="preserve">are more influential once they reach </w:t>
      </w:r>
      <w:r w:rsidR="00880312" w:rsidRPr="00880312">
        <w:rPr>
          <w:rFonts w:ascii="Times New Roman" w:eastAsia="DengXian" w:hAnsi="Times New Roman" w:cs="Times New Roman"/>
          <w:sz w:val="24"/>
          <w:szCs w:val="24"/>
          <w:lang w:eastAsia="zh-CN"/>
        </w:rPr>
        <w:t xml:space="preserve">critical mass of three or more and </w:t>
      </w:r>
      <w:r w:rsidR="00BD63E9">
        <w:rPr>
          <w:rFonts w:ascii="Times New Roman" w:eastAsia="DengXian" w:hAnsi="Times New Roman" w:cs="Times New Roman"/>
          <w:sz w:val="24"/>
          <w:szCs w:val="24"/>
          <w:lang w:eastAsia="zh-CN"/>
        </w:rPr>
        <w:t>provide support to female</w:t>
      </w:r>
      <w:r w:rsidR="004D34A5">
        <w:rPr>
          <w:rFonts w:ascii="Times New Roman" w:eastAsia="DengXian" w:hAnsi="Times New Roman" w:cs="Times New Roman"/>
          <w:sz w:val="24"/>
          <w:szCs w:val="24"/>
          <w:lang w:eastAsia="zh-CN"/>
        </w:rPr>
        <w:t>s</w:t>
      </w:r>
      <w:r w:rsidR="00BD63E9">
        <w:rPr>
          <w:rFonts w:ascii="Times New Roman" w:eastAsia="DengXian" w:hAnsi="Times New Roman" w:cs="Times New Roman"/>
          <w:sz w:val="24"/>
          <w:szCs w:val="24"/>
          <w:lang w:eastAsia="zh-CN"/>
        </w:rPr>
        <w:t xml:space="preserve"> in </w:t>
      </w:r>
      <w:r w:rsidR="00880312" w:rsidRPr="00880312">
        <w:rPr>
          <w:rFonts w:ascii="Times New Roman" w:eastAsia="DengXian" w:hAnsi="Times New Roman" w:cs="Times New Roman"/>
          <w:sz w:val="24"/>
          <w:szCs w:val="24"/>
          <w:lang w:eastAsia="zh-CN"/>
        </w:rPr>
        <w:t>leadership roles (CEO or chairperson)</w:t>
      </w:r>
      <w:r w:rsidR="00BD63E9">
        <w:rPr>
          <w:rFonts w:ascii="Times New Roman" w:eastAsia="DengXian" w:hAnsi="Times New Roman" w:cs="Times New Roman"/>
          <w:sz w:val="24"/>
          <w:szCs w:val="24"/>
          <w:lang w:eastAsia="zh-CN"/>
        </w:rPr>
        <w:t xml:space="preserve"> in their organization</w:t>
      </w:r>
      <w:r w:rsidR="00880312" w:rsidRPr="00880312">
        <w:rPr>
          <w:rFonts w:ascii="Times New Roman" w:eastAsia="DengXian" w:hAnsi="Times New Roman" w:cs="Times New Roman"/>
          <w:sz w:val="24"/>
          <w:szCs w:val="24"/>
          <w:lang w:eastAsia="zh-CN"/>
        </w:rPr>
        <w:t>.</w:t>
      </w:r>
    </w:p>
    <w:p w14:paraId="0664E5C2" w14:textId="0CA22F2F"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Furthermore, we show that the </w:t>
      </w:r>
      <w:r w:rsidR="0091261D">
        <w:rPr>
          <w:rFonts w:ascii="Times New Roman" w:eastAsia="DengXian" w:hAnsi="Times New Roman" w:cs="Times New Roman"/>
          <w:sz w:val="24"/>
          <w:szCs w:val="24"/>
          <w:lang w:eastAsia="zh-CN"/>
        </w:rPr>
        <w:t xml:space="preserve">increased </w:t>
      </w:r>
      <w:r w:rsidRPr="00880312">
        <w:rPr>
          <w:rFonts w:ascii="Times New Roman" w:eastAsia="DengXian" w:hAnsi="Times New Roman" w:cs="Times New Roman"/>
          <w:sz w:val="24"/>
          <w:szCs w:val="24"/>
          <w:lang w:eastAsia="zh-CN"/>
        </w:rPr>
        <w:t xml:space="preserve">influence of board gender diversity on risk culture </w:t>
      </w:r>
      <w:r w:rsidR="0091261D">
        <w:rPr>
          <w:rFonts w:ascii="Times New Roman" w:eastAsia="DengXian" w:hAnsi="Times New Roman" w:cs="Times New Roman"/>
          <w:sz w:val="24"/>
          <w:szCs w:val="24"/>
          <w:lang w:eastAsia="zh-CN"/>
        </w:rPr>
        <w:t>follwing</w:t>
      </w:r>
      <w:r w:rsidRPr="00880312">
        <w:rPr>
          <w:rFonts w:ascii="Times New Roman" w:eastAsia="DengXian" w:hAnsi="Times New Roman" w:cs="Times New Roman"/>
          <w:sz w:val="24"/>
          <w:szCs w:val="24"/>
          <w:lang w:eastAsia="zh-CN"/>
        </w:rPr>
        <w:t xml:space="preserve"> the post-2009 period. Our results are robust in controlling for many factors influencing bank risk-taking, including the bank's business models and governance variables. An identification challenge for us is to address the potential concerns related to sample selection bias, omitted variables and reverse causality in our empirical analysis. Our baseline regression results, i.e., a negative relation between board gender diversity and risk culture on bank risk, remain statistically significant after addressing these econometric concerns. </w:t>
      </w:r>
    </w:p>
    <w:p w14:paraId="67CF09C2" w14:textId="4BD9E83F"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To the best of our knowledge, this is the first paper in banking literature that documents a link between risk culture and board composition as a strategy for risk </w:t>
      </w:r>
      <w:r w:rsidR="00480A22">
        <w:rPr>
          <w:rFonts w:ascii="Times New Roman" w:eastAsia="DengXian" w:hAnsi="Times New Roman" w:cs="Times New Roman"/>
          <w:sz w:val="24"/>
          <w:szCs w:val="24"/>
          <w:lang w:eastAsia="zh-CN"/>
        </w:rPr>
        <w:t>manag</w:t>
      </w:r>
      <w:r w:rsidR="004D34A5">
        <w:rPr>
          <w:rFonts w:ascii="Times New Roman" w:eastAsia="DengXian" w:hAnsi="Times New Roman" w:cs="Times New Roman"/>
          <w:sz w:val="24"/>
          <w:szCs w:val="24"/>
          <w:lang w:eastAsia="zh-CN"/>
        </w:rPr>
        <w:t>e</w:t>
      </w:r>
      <w:r w:rsidR="00480A22">
        <w:rPr>
          <w:rFonts w:ascii="Times New Roman" w:eastAsia="DengXian" w:hAnsi="Times New Roman" w:cs="Times New Roman"/>
          <w:sz w:val="24"/>
          <w:szCs w:val="24"/>
          <w:lang w:eastAsia="zh-CN"/>
        </w:rPr>
        <w:t>ment</w:t>
      </w:r>
      <w:r w:rsidRPr="00880312">
        <w:rPr>
          <w:rFonts w:ascii="Times New Roman" w:eastAsia="DengXian" w:hAnsi="Times New Roman" w:cs="Times New Roman"/>
          <w:sz w:val="24"/>
          <w:szCs w:val="24"/>
          <w:lang w:eastAsia="zh-CN"/>
        </w:rPr>
        <w:t xml:space="preserve">. Despite the emphasis given by the regulators, there is still an insufficient understanding of risk culture in banks and how it influences risk management practices and employee behaviour (Srivastav and Hagendorff, 2016). Thus, this study fills the gap in the recent calls in governance and risk management literature to evaluate risk-taking because of the relationship between governance structure, risk management function and risk culture (Srivastav and Handergroff, 2016; Lingel and Sheedy, 2014). </w:t>
      </w:r>
      <w:r w:rsidRPr="00880312" w:rsidDel="00173415">
        <w:rPr>
          <w:rFonts w:ascii="Times New Roman" w:eastAsia="DengXian" w:hAnsi="Times New Roman" w:cs="Times New Roman"/>
          <w:sz w:val="24"/>
          <w:szCs w:val="24"/>
          <w:lang w:eastAsia="zh-CN"/>
        </w:rPr>
        <w:t xml:space="preserve"> </w:t>
      </w:r>
      <w:r w:rsidRPr="00880312">
        <w:rPr>
          <w:rFonts w:ascii="Times New Roman" w:eastAsia="DengXian" w:hAnsi="Times New Roman" w:cs="Times New Roman"/>
          <w:sz w:val="24"/>
          <w:szCs w:val="24"/>
          <w:lang w:eastAsia="zh-CN"/>
        </w:rPr>
        <w:t xml:space="preserve">This study contributes to the banking literature that highlights the role of culture as a control mechanism to restore public trust in banking and enhance financial stability (Barth and Mansouri, 2021, Song and Thakor, 2019; Thakor, 2016; Cohen et al., 2014). This study also contributes to the risk management literature </w:t>
      </w:r>
      <w:r w:rsidR="004D34A5">
        <w:rPr>
          <w:rFonts w:ascii="Times New Roman" w:eastAsia="DengXian" w:hAnsi="Times New Roman" w:cs="Times New Roman"/>
          <w:sz w:val="24"/>
          <w:szCs w:val="24"/>
          <w:lang w:eastAsia="zh-CN"/>
        </w:rPr>
        <w:t>emphasising</w:t>
      </w:r>
      <w:r w:rsidRPr="00880312">
        <w:rPr>
          <w:rFonts w:ascii="Times New Roman" w:eastAsia="DengXian" w:hAnsi="Times New Roman" w:cs="Times New Roman"/>
          <w:sz w:val="24"/>
          <w:szCs w:val="24"/>
          <w:lang w:eastAsia="zh-CN"/>
        </w:rPr>
        <w:t xml:space="preserve"> that firms' risk-taking culture shapes risk management practices (Mervelskemper et al., 2018; Bowman and Malmender, 2015; Stulz, 2014; Ellul and Yeramilli, 2013; Fahlenbrach et al., 2012). Further, given the relevance of cultivating ethical conduct for improved long-term firm value and the welfare of stakeholders, this study allows for a better understanding of how board gender diversity can shape organizational culture from an ethical standpoint. </w:t>
      </w:r>
    </w:p>
    <w:p w14:paraId="46BC6902" w14:textId="303FB9A6" w:rsidR="00880312" w:rsidRPr="00880312" w:rsidRDefault="004D34A5" w:rsidP="00880312">
      <w:pPr>
        <w:spacing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lang w:eastAsia="zh-CN"/>
        </w:rPr>
        <w:t>The s</w:t>
      </w:r>
      <w:r w:rsidR="00880312" w:rsidRPr="00880312">
        <w:rPr>
          <w:rFonts w:ascii="Times New Roman" w:eastAsia="DengXian" w:hAnsi="Times New Roman" w:cs="Times New Roman"/>
          <w:sz w:val="24"/>
          <w:szCs w:val="24"/>
          <w:lang w:eastAsia="zh-CN"/>
        </w:rPr>
        <w:t xml:space="preserve">econd contribution is related to gender studies. </w:t>
      </w:r>
      <w:r w:rsidR="00880312" w:rsidRPr="00880312">
        <w:rPr>
          <w:rFonts w:ascii="Times New Roman" w:eastAsia="DengXian" w:hAnsi="Times New Roman" w:cs="Times New Roman"/>
          <w:sz w:val="24"/>
          <w:szCs w:val="24"/>
        </w:rPr>
        <w:t xml:space="preserve">We contribute to the literature on board gender diversity and corporate outcomes (Ahern and Dittmar, 2012; Cumming et al, 2015; Giannetti and Zhao, 2019; Arnaboldi et al., 2021). The prior literature emphasises on the quality of board decisions depending on </w:t>
      </w:r>
      <w:r>
        <w:rPr>
          <w:rFonts w:ascii="Times New Roman" w:eastAsia="DengXian" w:hAnsi="Times New Roman" w:cs="Times New Roman"/>
          <w:sz w:val="24"/>
          <w:szCs w:val="24"/>
        </w:rPr>
        <w:t xml:space="preserve">the </w:t>
      </w:r>
      <w:r w:rsidR="00880312" w:rsidRPr="00880312">
        <w:rPr>
          <w:rFonts w:ascii="Times New Roman" w:eastAsia="DengXian" w:hAnsi="Times New Roman" w:cs="Times New Roman"/>
          <w:sz w:val="24"/>
          <w:szCs w:val="24"/>
        </w:rPr>
        <w:t>skills and attributes of the directors. We contribute to this stream of literature by separating the ethical aspect from the gender diversity hypothesis. Our study also contributes to the women</w:t>
      </w:r>
      <w:r>
        <w:rPr>
          <w:rFonts w:ascii="Times New Roman" w:eastAsia="DengXian" w:hAnsi="Times New Roman" w:cs="Times New Roman"/>
          <w:sz w:val="24"/>
          <w:szCs w:val="24"/>
        </w:rPr>
        <w:t>'s</w:t>
      </w:r>
      <w:r w:rsidR="00880312" w:rsidRPr="00880312">
        <w:rPr>
          <w:rFonts w:ascii="Times New Roman" w:eastAsia="DengXian" w:hAnsi="Times New Roman" w:cs="Times New Roman"/>
          <w:sz w:val="24"/>
          <w:szCs w:val="24"/>
        </w:rPr>
        <w:t xml:space="preserve"> role in </w:t>
      </w:r>
      <w:r>
        <w:rPr>
          <w:rFonts w:ascii="Times New Roman" w:eastAsia="DengXian" w:hAnsi="Times New Roman" w:cs="Times New Roman"/>
          <w:sz w:val="24"/>
          <w:szCs w:val="24"/>
        </w:rPr>
        <w:t xml:space="preserve">a </w:t>
      </w:r>
      <w:r w:rsidR="00880312" w:rsidRPr="00880312">
        <w:rPr>
          <w:rFonts w:ascii="Times New Roman" w:eastAsia="DengXian" w:hAnsi="Times New Roman" w:cs="Times New Roman"/>
          <w:sz w:val="24"/>
          <w:szCs w:val="24"/>
        </w:rPr>
        <w:t>leadership position</w:t>
      </w:r>
      <w:r>
        <w:rPr>
          <w:rFonts w:ascii="Times New Roman" w:eastAsia="DengXian" w:hAnsi="Times New Roman" w:cs="Times New Roman"/>
          <w:sz w:val="24"/>
          <w:szCs w:val="24"/>
        </w:rPr>
        <w:t>s</w:t>
      </w:r>
      <w:r w:rsidR="00880312" w:rsidRPr="00880312">
        <w:rPr>
          <w:rFonts w:ascii="Times New Roman" w:eastAsia="DengXian" w:hAnsi="Times New Roman" w:cs="Times New Roman"/>
          <w:sz w:val="24"/>
          <w:szCs w:val="24"/>
        </w:rPr>
        <w:t xml:space="preserve"> in the banking</w:t>
      </w:r>
      <w:r w:rsidR="00880312" w:rsidRPr="00880312">
        <w:rPr>
          <w:rFonts w:eastAsia="DengXian" w:cs="Times New Roman"/>
          <w:sz w:val="24"/>
          <w:szCs w:val="24"/>
        </w:rPr>
        <w:t xml:space="preserve"> industry.  </w:t>
      </w:r>
      <w:r w:rsidR="00880312" w:rsidRPr="00880312">
        <w:rPr>
          <w:rFonts w:ascii="Times New Roman" w:eastAsia="DengXian" w:hAnsi="Times New Roman" w:cs="Times New Roman"/>
          <w:sz w:val="24"/>
          <w:szCs w:val="24"/>
        </w:rPr>
        <w:t>As with increasing competition in today</w:t>
      </w:r>
      <w:r>
        <w:rPr>
          <w:rFonts w:ascii="Times New Roman" w:eastAsia="DengXian" w:hAnsi="Times New Roman" w:cs="Times New Roman"/>
          <w:sz w:val="24"/>
          <w:szCs w:val="24"/>
        </w:rPr>
        <w:t>’s</w:t>
      </w:r>
      <w:r w:rsidR="00880312" w:rsidRPr="00880312">
        <w:rPr>
          <w:rFonts w:ascii="Times New Roman" w:eastAsia="DengXian" w:hAnsi="Times New Roman" w:cs="Times New Roman"/>
          <w:sz w:val="24"/>
          <w:szCs w:val="24"/>
        </w:rPr>
        <w:t xml:space="preserve"> world, leaders are required to </w:t>
      </w:r>
      <w:r>
        <w:rPr>
          <w:rFonts w:ascii="Times New Roman" w:eastAsia="DengXian" w:hAnsi="Times New Roman" w:cs="Times New Roman"/>
          <w:sz w:val="24"/>
          <w:szCs w:val="24"/>
        </w:rPr>
        <w:t>focus on results and</w:t>
      </w:r>
      <w:r w:rsidR="00880312" w:rsidRPr="00880312">
        <w:rPr>
          <w:rFonts w:ascii="Times New Roman" w:eastAsia="DengXian" w:hAnsi="Times New Roman" w:cs="Times New Roman"/>
          <w:sz w:val="24"/>
          <w:szCs w:val="24"/>
        </w:rPr>
        <w:t xml:space="preserve"> facilitate communication and motivation in the organization (transformational leadership). Women in general, exhibit these transformational leadership qualities by focusing on relationships, communication and catering to wider social needs ( Psychogios, 2007)</w:t>
      </w:r>
    </w:p>
    <w:p w14:paraId="5DDB4184" w14:textId="573BEA7B" w:rsidR="006D79E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The remainder of the paper is organized as follows. Section 2 explains the theory. Section 3 </w:t>
      </w:r>
      <w:r w:rsidR="006D79E2" w:rsidRPr="00880312">
        <w:rPr>
          <w:rFonts w:ascii="Times New Roman" w:eastAsia="DengXian" w:hAnsi="Times New Roman" w:cs="Times New Roman"/>
          <w:sz w:val="24"/>
          <w:szCs w:val="24"/>
          <w:lang w:eastAsia="zh-CN"/>
        </w:rPr>
        <w:t>analyses</w:t>
      </w:r>
      <w:r w:rsidRPr="00880312">
        <w:rPr>
          <w:rFonts w:ascii="Times New Roman" w:eastAsia="DengXian" w:hAnsi="Times New Roman" w:cs="Times New Roman"/>
          <w:sz w:val="24"/>
          <w:szCs w:val="24"/>
          <w:lang w:eastAsia="zh-CN"/>
        </w:rPr>
        <w:t xml:space="preserve"> extant literature. Section 4 outlines the research design and data sources. Section 5 reports the empirical results and discussions. Section 6 concludes the paper and Section 7 discusses the implications.</w:t>
      </w:r>
    </w:p>
    <w:p w14:paraId="3F6D5E6A" w14:textId="7011D54E" w:rsidR="00880312" w:rsidRPr="004D34A5" w:rsidRDefault="006D79E2" w:rsidP="004D34A5">
      <w:pPr>
        <w:pStyle w:val="ListParagraph"/>
        <w:numPr>
          <w:ilvl w:val="0"/>
          <w:numId w:val="23"/>
        </w:numPr>
        <w:rPr>
          <w:rStyle w:val="Heading2Char"/>
          <w:rFonts w:eastAsia="DengXian"/>
          <w:iCs w:val="0"/>
          <w:sz w:val="24"/>
          <w:szCs w:val="24"/>
          <w:lang w:eastAsia="zh-CN"/>
        </w:rPr>
      </w:pPr>
      <w:r w:rsidRPr="004D34A5">
        <w:rPr>
          <w:rFonts w:ascii="Times New Roman" w:hAnsi="Times New Roman"/>
          <w:sz w:val="24"/>
          <w:szCs w:val="24"/>
          <w:lang w:eastAsia="zh-CN"/>
        </w:rPr>
        <w:br w:type="page"/>
      </w:r>
      <w:bookmarkStart w:id="85" w:name="_Toc145616191"/>
      <w:r w:rsidR="00880312" w:rsidRPr="004D34A5">
        <w:rPr>
          <w:rStyle w:val="Heading2Char"/>
          <w:sz w:val="32"/>
          <w:szCs w:val="32"/>
        </w:rPr>
        <w:t>Theory</w:t>
      </w:r>
      <w:r w:rsidR="00885F9C" w:rsidRPr="004D34A5">
        <w:rPr>
          <w:rStyle w:val="Heading2Char"/>
          <w:sz w:val="32"/>
          <w:szCs w:val="32"/>
        </w:rPr>
        <w:t>, related literature</w:t>
      </w:r>
      <w:r w:rsidR="00880312" w:rsidRPr="004D34A5">
        <w:rPr>
          <w:rStyle w:val="Heading2Char"/>
          <w:sz w:val="32"/>
          <w:szCs w:val="32"/>
        </w:rPr>
        <w:t xml:space="preserve"> and hypothes</w:t>
      </w:r>
      <w:r w:rsidR="00885F9C" w:rsidRPr="004D34A5">
        <w:rPr>
          <w:rStyle w:val="Heading2Char"/>
          <w:sz w:val="32"/>
          <w:szCs w:val="32"/>
        </w:rPr>
        <w:t>e</w:t>
      </w:r>
      <w:r w:rsidR="00880312" w:rsidRPr="004D34A5">
        <w:rPr>
          <w:rStyle w:val="Heading2Char"/>
          <w:sz w:val="32"/>
          <w:szCs w:val="32"/>
        </w:rPr>
        <w:t>s development</w:t>
      </w:r>
      <w:bookmarkEnd w:id="85"/>
    </w:p>
    <w:p w14:paraId="0BB78A63" w14:textId="77777777" w:rsidR="004D34A5" w:rsidRDefault="004D34A5" w:rsidP="004D34A5">
      <w:pPr>
        <w:rPr>
          <w:rFonts w:ascii="Times New Roman" w:hAnsi="Times New Roman"/>
          <w:b/>
          <w:bCs/>
          <w:sz w:val="24"/>
          <w:szCs w:val="24"/>
          <w:lang w:eastAsia="zh-CN"/>
        </w:rPr>
      </w:pPr>
    </w:p>
    <w:p w14:paraId="2EF0766F" w14:textId="77777777" w:rsidR="004D34A5" w:rsidRPr="004D34A5" w:rsidRDefault="004D34A5" w:rsidP="004D34A5">
      <w:pPr>
        <w:rPr>
          <w:rFonts w:ascii="Times New Roman" w:hAnsi="Times New Roman"/>
          <w:b/>
          <w:bCs/>
          <w:sz w:val="24"/>
          <w:szCs w:val="24"/>
          <w:lang w:eastAsia="zh-CN"/>
        </w:rPr>
      </w:pPr>
    </w:p>
    <w:p w14:paraId="770216FD" w14:textId="6F81DE2B" w:rsidR="00533CCC" w:rsidRDefault="004D34A5" w:rsidP="004D34A5">
      <w:pPr>
        <w:pStyle w:val="Heading3"/>
        <w:rPr>
          <w:rFonts w:ascii="Times New Roman" w:hAnsi="Times New Roman" w:cs="Times New Roman"/>
          <w:b/>
          <w:bCs/>
          <w:color w:val="000000" w:themeColor="text1"/>
          <w:sz w:val="28"/>
          <w:szCs w:val="28"/>
          <w:lang w:eastAsia="zh-CN"/>
        </w:rPr>
      </w:pPr>
      <w:bookmarkStart w:id="86" w:name="_Toc145616192"/>
      <w:r w:rsidRPr="004D34A5">
        <w:rPr>
          <w:rFonts w:ascii="Times New Roman" w:hAnsi="Times New Roman" w:cs="Times New Roman"/>
          <w:b/>
          <w:bCs/>
          <w:color w:val="000000" w:themeColor="text1"/>
          <w:sz w:val="28"/>
          <w:szCs w:val="28"/>
          <w:lang w:eastAsia="zh-CN"/>
        </w:rPr>
        <w:t>4.</w:t>
      </w:r>
      <w:r w:rsidR="00533CCC" w:rsidRPr="004D34A5">
        <w:rPr>
          <w:rFonts w:ascii="Times New Roman" w:hAnsi="Times New Roman" w:cs="Times New Roman"/>
          <w:b/>
          <w:bCs/>
          <w:color w:val="000000" w:themeColor="text1"/>
          <w:sz w:val="28"/>
          <w:szCs w:val="28"/>
          <w:lang w:eastAsia="zh-CN"/>
        </w:rPr>
        <w:t>2.1 Theoretical Framework</w:t>
      </w:r>
      <w:bookmarkEnd w:id="86"/>
    </w:p>
    <w:p w14:paraId="38CDE37E" w14:textId="77777777" w:rsidR="004D34A5" w:rsidRPr="004D34A5" w:rsidRDefault="004D34A5" w:rsidP="004D34A5">
      <w:pPr>
        <w:rPr>
          <w:lang w:eastAsia="zh-CN"/>
        </w:rPr>
      </w:pPr>
    </w:p>
    <w:p w14:paraId="61CBCCD7" w14:textId="2AF6ED15"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Risk management in financial institutions (banks) is a challenging task. This challenge increases when risk culture is incorporated to understand the dynamics of effective risk management in the banking sector. One necessary explanation for this challenge is the lack of a theoretical model for culture in banks. Numerous features of banks (implicit and explicit guarantees, information asymmetry and resource allocation) make them unique and hence require a specialized model of bank culture (Song and Thakor, 2019). We follow the theoretical model </w:t>
      </w:r>
      <w:r w:rsidR="004D34A5">
        <w:rPr>
          <w:rFonts w:ascii="Times New Roman" w:eastAsia="DengXian" w:hAnsi="Times New Roman" w:cs="Times New Roman"/>
          <w:sz w:val="24"/>
          <w:szCs w:val="24"/>
          <w:lang w:eastAsia="zh-CN"/>
        </w:rPr>
        <w:t>Song and Thakor (2019) suggested</w:t>
      </w:r>
      <w:r w:rsidRPr="00880312">
        <w:rPr>
          <w:rFonts w:ascii="Times New Roman" w:eastAsia="DengXian" w:hAnsi="Times New Roman" w:cs="Times New Roman"/>
          <w:sz w:val="24"/>
          <w:szCs w:val="24"/>
          <w:lang w:eastAsia="zh-CN"/>
        </w:rPr>
        <w:t xml:space="preserve">, developed under a principal-agent setting. According to this model, banks make choices between safety and growth. If they opt for safety, it comes at the expense of growth and vice versa. The </w:t>
      </w:r>
      <w:r w:rsidR="004D34A5">
        <w:rPr>
          <w:rFonts w:ascii="Times New Roman" w:eastAsia="DengXian" w:hAnsi="Times New Roman" w:cs="Times New Roman"/>
          <w:sz w:val="24"/>
          <w:szCs w:val="24"/>
          <w:lang w:eastAsia="zh-CN"/>
        </w:rPr>
        <w:t>organisation's culture further influences the choice between security and growth, t</w:t>
      </w:r>
      <w:r w:rsidRPr="00880312">
        <w:rPr>
          <w:rFonts w:ascii="Times New Roman" w:eastAsia="DengXian" w:hAnsi="Times New Roman" w:cs="Times New Roman"/>
          <w:sz w:val="24"/>
          <w:szCs w:val="24"/>
          <w:lang w:eastAsia="zh-CN"/>
        </w:rPr>
        <w:t>hus, suggesting that a bank with risky culture will choose growth and hence take more risk</w:t>
      </w:r>
      <w:r w:rsidR="004D34A5" w:rsidRPr="00880312">
        <w:rPr>
          <w:rFonts w:ascii="Times New Roman" w:eastAsia="DengXian" w:hAnsi="Times New Roman" w:cs="Times New Roman"/>
          <w:sz w:val="24"/>
          <w:szCs w:val="24"/>
          <w:lang w:eastAsia="zh-CN"/>
        </w:rPr>
        <w:t>(Song and Thakor, 2019).</w:t>
      </w:r>
      <w:r w:rsidRPr="00880312">
        <w:rPr>
          <w:rFonts w:ascii="Times New Roman" w:eastAsia="DengXian" w:hAnsi="Times New Roman" w:cs="Times New Roman"/>
          <w:sz w:val="24"/>
          <w:szCs w:val="24"/>
          <w:lang w:eastAsia="zh-CN"/>
        </w:rPr>
        <w:t xml:space="preserve"> Power et al. (2013) also </w:t>
      </w:r>
      <w:r w:rsidR="00533CCC" w:rsidRPr="00880312">
        <w:rPr>
          <w:rFonts w:ascii="Times New Roman" w:eastAsia="DengXian" w:hAnsi="Times New Roman" w:cs="Times New Roman"/>
          <w:sz w:val="24"/>
          <w:szCs w:val="24"/>
          <w:lang w:eastAsia="zh-CN"/>
        </w:rPr>
        <w:t>hold</w:t>
      </w:r>
      <w:r w:rsidRPr="00880312">
        <w:rPr>
          <w:rFonts w:ascii="Times New Roman" w:eastAsia="DengXian" w:hAnsi="Times New Roman" w:cs="Times New Roman"/>
          <w:sz w:val="24"/>
          <w:szCs w:val="24"/>
          <w:lang w:eastAsia="zh-CN"/>
        </w:rPr>
        <w:t xml:space="preserve"> the same opinion and recommend a balance between safety and growth as too much emphasis on controls and risk</w:t>
      </w:r>
      <w:r w:rsidR="004D34A5">
        <w:rPr>
          <w:rFonts w:ascii="Times New Roman" w:eastAsia="DengXian" w:hAnsi="Times New Roman" w:cs="Times New Roman"/>
          <w:sz w:val="24"/>
          <w:szCs w:val="24"/>
          <w:lang w:eastAsia="zh-CN"/>
        </w:rPr>
        <w:t xml:space="preserve"> </w:t>
      </w:r>
      <w:r w:rsidRPr="00880312">
        <w:rPr>
          <w:rFonts w:ascii="Times New Roman" w:eastAsia="DengXian" w:hAnsi="Times New Roman" w:cs="Times New Roman"/>
          <w:sz w:val="24"/>
          <w:szCs w:val="24"/>
          <w:lang w:eastAsia="zh-CN"/>
        </w:rPr>
        <w:t xml:space="preserve">avoidance can restrict innovation and result in organisational paralysis. </w:t>
      </w:r>
    </w:p>
    <w:p w14:paraId="627E471E" w14:textId="2BA18544"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Furthermore, agency theory also emphasises that managers are usually more resourceful and self-</w:t>
      </w:r>
      <w:r w:rsidR="001E1179" w:rsidRPr="00880312">
        <w:rPr>
          <w:rFonts w:ascii="Times New Roman" w:eastAsia="DengXian" w:hAnsi="Times New Roman" w:cs="Times New Roman"/>
          <w:sz w:val="24"/>
          <w:szCs w:val="24"/>
          <w:lang w:eastAsia="zh-CN"/>
        </w:rPr>
        <w:t>interested</w:t>
      </w:r>
      <w:r w:rsidRPr="00880312">
        <w:rPr>
          <w:rFonts w:ascii="Times New Roman" w:eastAsia="DengXian" w:hAnsi="Times New Roman" w:cs="Times New Roman"/>
          <w:sz w:val="24"/>
          <w:szCs w:val="24"/>
          <w:lang w:eastAsia="zh-CN"/>
        </w:rPr>
        <w:t xml:space="preserve"> and, </w:t>
      </w:r>
      <w:r w:rsidR="004D34A5">
        <w:rPr>
          <w:rFonts w:ascii="Times New Roman" w:eastAsia="DengXian" w:hAnsi="Times New Roman" w:cs="Times New Roman"/>
          <w:sz w:val="24"/>
          <w:szCs w:val="24"/>
          <w:lang w:eastAsia="zh-CN"/>
        </w:rPr>
        <w:t>without monitoring,</w:t>
      </w:r>
      <w:r w:rsidR="001E1179">
        <w:rPr>
          <w:rFonts w:ascii="Times New Roman" w:eastAsia="DengXian" w:hAnsi="Times New Roman" w:cs="Times New Roman"/>
          <w:sz w:val="24"/>
          <w:szCs w:val="24"/>
          <w:lang w:eastAsia="zh-CN"/>
        </w:rPr>
        <w:t xml:space="preserve"> will </w:t>
      </w:r>
      <w:r w:rsidR="001E1179" w:rsidRPr="00880312">
        <w:rPr>
          <w:rFonts w:ascii="Times New Roman" w:eastAsia="DengXian" w:hAnsi="Times New Roman" w:cs="Times New Roman"/>
          <w:sz w:val="24"/>
          <w:szCs w:val="24"/>
          <w:lang w:eastAsia="zh-CN"/>
        </w:rPr>
        <w:t>follow</w:t>
      </w:r>
      <w:r w:rsidRPr="00880312">
        <w:rPr>
          <w:rFonts w:ascii="Times New Roman" w:eastAsia="DengXian" w:hAnsi="Times New Roman" w:cs="Times New Roman"/>
          <w:sz w:val="24"/>
          <w:szCs w:val="24"/>
          <w:lang w:eastAsia="zh-CN"/>
        </w:rPr>
        <w:t xml:space="preserve"> policy in the best of their interest rather than that of shareholders (Adams and Ferreira, 2008). Thus, to reduce such agency problems, managers need monitoring by the board of directors, who are more responsible, conservative, independent and objective (Zalaata et al., 2019). According to behavioural and psychology literature (Sarin and Wieland, 2016), these qualities are dominant in women compared to men, thus making female directors better monitor than their male counterparts (Zalaata et al., 2019).</w:t>
      </w:r>
    </w:p>
    <w:p w14:paraId="217B4322" w14:textId="6E825B17"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 On the other hand, economic-based theories (economics, finance, management and psychology) provide a "business case" of gender-diverse boards on corporate outcomes (Khlif and Achek, 2017; Adams and Funk, 2012; Zalaata et al., 2018). According to these theories, women are </w:t>
      </w:r>
      <w:r w:rsidR="001E1179" w:rsidRPr="00880312">
        <w:rPr>
          <w:rFonts w:ascii="Times New Roman" w:eastAsia="DengXian" w:hAnsi="Times New Roman" w:cs="Times New Roman"/>
          <w:sz w:val="24"/>
          <w:szCs w:val="24"/>
          <w:lang w:eastAsia="zh-CN"/>
        </w:rPr>
        <w:t>psychologically</w:t>
      </w:r>
      <w:r w:rsidRPr="00880312">
        <w:rPr>
          <w:rFonts w:ascii="Times New Roman" w:eastAsia="DengXian" w:hAnsi="Times New Roman" w:cs="Times New Roman"/>
          <w:sz w:val="24"/>
          <w:szCs w:val="24"/>
          <w:lang w:eastAsia="zh-CN"/>
        </w:rPr>
        <w:t xml:space="preserve">, cognitively, </w:t>
      </w:r>
      <w:r w:rsidR="001E1179">
        <w:rPr>
          <w:rFonts w:ascii="Times New Roman" w:eastAsia="DengXian" w:hAnsi="Times New Roman" w:cs="Times New Roman"/>
          <w:sz w:val="24"/>
          <w:szCs w:val="24"/>
          <w:lang w:eastAsia="zh-CN"/>
        </w:rPr>
        <w:t xml:space="preserve">behaviourally </w:t>
      </w:r>
      <w:r w:rsidRPr="00880312">
        <w:rPr>
          <w:rFonts w:ascii="Times New Roman" w:eastAsia="DengXian" w:hAnsi="Times New Roman" w:cs="Times New Roman"/>
          <w:sz w:val="24"/>
          <w:szCs w:val="24"/>
          <w:lang w:eastAsia="zh-CN"/>
        </w:rPr>
        <w:t xml:space="preserve">and psychologically different from men (Zalaata et al., 2019). </w:t>
      </w:r>
      <w:r w:rsidR="00533710" w:rsidRPr="009F2AF8">
        <w:rPr>
          <w:rFonts w:ascii="Times New Roman" w:eastAsia="DengXian" w:hAnsi="Times New Roman" w:cs="Times New Roman"/>
          <w:sz w:val="24"/>
          <w:szCs w:val="24"/>
          <w:lang w:eastAsia="zh-CN"/>
        </w:rPr>
        <w:t>These attributes improve the board's effectiveness and positively impact the relationship between governance structure and corporate outcomes (Charness &amp; Gneezy, 2012; Adams &amp; Ferreira, 2009). According to economic-based theories, the unique attribute women bring to the board reduces agency problems through improved corporate disclosure, board engagement, monitoring and risk-taking (Adams and Ferreira, 2009; Gul et al., 2011; Arnaboldi et al., 2021)</w:t>
      </w:r>
      <w:r w:rsidR="00533710" w:rsidRPr="00880312">
        <w:rPr>
          <w:rFonts w:ascii="Times New Roman" w:eastAsia="DengXian" w:hAnsi="Times New Roman" w:cs="Times New Roman"/>
          <w:sz w:val="24"/>
          <w:szCs w:val="24"/>
          <w:lang w:eastAsia="zh-CN"/>
        </w:rPr>
        <w:t xml:space="preserve">. </w:t>
      </w:r>
      <w:r w:rsidRPr="00880312">
        <w:rPr>
          <w:rFonts w:ascii="Times New Roman" w:eastAsia="DengXian" w:hAnsi="Times New Roman" w:cs="Times New Roman"/>
          <w:sz w:val="24"/>
          <w:szCs w:val="24"/>
          <w:lang w:eastAsia="zh-CN"/>
        </w:rPr>
        <w:t xml:space="preserve">Thus, the presence of women brings new </w:t>
      </w:r>
      <w:r w:rsidR="001E1179" w:rsidRPr="00880312">
        <w:rPr>
          <w:rFonts w:ascii="Times New Roman" w:eastAsia="DengXian" w:hAnsi="Times New Roman" w:cs="Times New Roman"/>
          <w:sz w:val="24"/>
          <w:szCs w:val="24"/>
          <w:lang w:eastAsia="zh-CN"/>
        </w:rPr>
        <w:t>values</w:t>
      </w:r>
      <w:r w:rsidRPr="00880312">
        <w:rPr>
          <w:rFonts w:ascii="Times New Roman" w:eastAsia="DengXian" w:hAnsi="Times New Roman" w:cs="Times New Roman"/>
          <w:sz w:val="24"/>
          <w:szCs w:val="24"/>
          <w:lang w:eastAsia="zh-CN"/>
        </w:rPr>
        <w:t xml:space="preserve">, </w:t>
      </w:r>
      <w:r w:rsidR="001E1179" w:rsidRPr="00880312">
        <w:rPr>
          <w:rFonts w:ascii="Times New Roman" w:eastAsia="DengXian" w:hAnsi="Times New Roman" w:cs="Times New Roman"/>
          <w:sz w:val="24"/>
          <w:szCs w:val="24"/>
          <w:lang w:eastAsia="zh-CN"/>
        </w:rPr>
        <w:t>knowledge</w:t>
      </w:r>
      <w:r w:rsidRPr="00880312">
        <w:rPr>
          <w:rFonts w:ascii="Times New Roman" w:eastAsia="DengXian" w:hAnsi="Times New Roman" w:cs="Times New Roman"/>
          <w:sz w:val="24"/>
          <w:szCs w:val="24"/>
          <w:lang w:eastAsia="zh-CN"/>
        </w:rPr>
        <w:t xml:space="preserve">, </w:t>
      </w:r>
      <w:r w:rsidR="001E1179" w:rsidRPr="00880312">
        <w:rPr>
          <w:rFonts w:ascii="Times New Roman" w:eastAsia="DengXian" w:hAnsi="Times New Roman" w:cs="Times New Roman"/>
          <w:sz w:val="24"/>
          <w:szCs w:val="24"/>
          <w:lang w:eastAsia="zh-CN"/>
        </w:rPr>
        <w:t>perceptions</w:t>
      </w:r>
      <w:r w:rsidRPr="00880312">
        <w:rPr>
          <w:rFonts w:ascii="Times New Roman" w:eastAsia="DengXian" w:hAnsi="Times New Roman" w:cs="Times New Roman"/>
          <w:sz w:val="24"/>
          <w:szCs w:val="24"/>
          <w:lang w:eastAsia="zh-CN"/>
        </w:rPr>
        <w:t xml:space="preserve">, </w:t>
      </w:r>
      <w:r w:rsidR="001E1179" w:rsidRPr="00880312">
        <w:rPr>
          <w:rFonts w:ascii="Times New Roman" w:eastAsia="DengXian" w:hAnsi="Times New Roman" w:cs="Times New Roman"/>
          <w:sz w:val="24"/>
          <w:szCs w:val="24"/>
          <w:lang w:eastAsia="zh-CN"/>
        </w:rPr>
        <w:t>beliefs</w:t>
      </w:r>
      <w:r w:rsidRPr="00880312">
        <w:rPr>
          <w:rFonts w:ascii="Times New Roman" w:eastAsia="DengXian" w:hAnsi="Times New Roman" w:cs="Times New Roman"/>
          <w:sz w:val="24"/>
          <w:szCs w:val="24"/>
          <w:lang w:eastAsia="zh-CN"/>
        </w:rPr>
        <w:t xml:space="preserve"> and work ethics that </w:t>
      </w:r>
      <w:r w:rsidR="001E1179" w:rsidRPr="00880312">
        <w:rPr>
          <w:rFonts w:ascii="Times New Roman" w:eastAsia="DengXian" w:hAnsi="Times New Roman" w:cs="Times New Roman"/>
          <w:sz w:val="24"/>
          <w:szCs w:val="24"/>
          <w:lang w:eastAsia="zh-CN"/>
        </w:rPr>
        <w:t>may improve</w:t>
      </w:r>
      <w:r w:rsidRPr="00880312">
        <w:rPr>
          <w:rFonts w:ascii="Times New Roman" w:eastAsia="DengXian" w:hAnsi="Times New Roman" w:cs="Times New Roman"/>
          <w:sz w:val="24"/>
          <w:szCs w:val="24"/>
          <w:lang w:eastAsia="zh-CN"/>
        </w:rPr>
        <w:t xml:space="preserve"> board decision</w:t>
      </w:r>
      <w:r w:rsidR="001E1179">
        <w:rPr>
          <w:rFonts w:ascii="Times New Roman" w:eastAsia="DengXian" w:hAnsi="Times New Roman" w:cs="Times New Roman"/>
          <w:sz w:val="24"/>
          <w:szCs w:val="24"/>
          <w:lang w:eastAsia="zh-CN"/>
        </w:rPr>
        <w:t>s</w:t>
      </w:r>
      <w:r w:rsidR="001E1179" w:rsidRPr="00880312" w:rsidDel="001E1179">
        <w:rPr>
          <w:rFonts w:ascii="Times New Roman" w:eastAsia="DengXian" w:hAnsi="Times New Roman" w:cs="Times New Roman"/>
          <w:sz w:val="24"/>
          <w:szCs w:val="24"/>
          <w:lang w:eastAsia="zh-CN"/>
        </w:rPr>
        <w:t xml:space="preserve"> </w:t>
      </w:r>
      <w:r w:rsidR="001E1179">
        <w:rPr>
          <w:rFonts w:ascii="Times New Roman" w:eastAsia="DengXian" w:hAnsi="Times New Roman" w:cs="Times New Roman"/>
          <w:sz w:val="24"/>
          <w:szCs w:val="24"/>
          <w:lang w:eastAsia="zh-CN"/>
        </w:rPr>
        <w:t>a</w:t>
      </w:r>
      <w:r w:rsidRPr="00880312">
        <w:rPr>
          <w:rFonts w:ascii="Times New Roman" w:eastAsia="DengXian" w:hAnsi="Times New Roman" w:cs="Times New Roman"/>
          <w:sz w:val="24"/>
          <w:szCs w:val="24"/>
          <w:lang w:eastAsia="zh-CN"/>
        </w:rPr>
        <w:t xml:space="preserve">nd </w:t>
      </w:r>
      <w:r w:rsidR="001E1179" w:rsidRPr="00880312">
        <w:rPr>
          <w:rFonts w:ascii="Times New Roman" w:eastAsia="DengXian" w:hAnsi="Times New Roman" w:cs="Times New Roman"/>
          <w:sz w:val="24"/>
          <w:szCs w:val="24"/>
          <w:lang w:eastAsia="zh-CN"/>
        </w:rPr>
        <w:t>efficiency</w:t>
      </w:r>
      <w:r w:rsidRPr="00880312">
        <w:rPr>
          <w:rFonts w:ascii="Times New Roman" w:eastAsia="DengXian" w:hAnsi="Times New Roman" w:cs="Times New Roman"/>
          <w:sz w:val="24"/>
          <w:szCs w:val="24"/>
          <w:lang w:eastAsia="zh-CN"/>
        </w:rPr>
        <w:t xml:space="preserve"> (Zalaata et al., 2019). </w:t>
      </w:r>
    </w:p>
    <w:p w14:paraId="10CB4526" w14:textId="4854A689" w:rsidR="00880312" w:rsidRPr="0088031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Apart from the "business case" argument for having a more gender-diverse board, the literature supports the "ethical/moral" case for having women on board. According to ethical, behavioural, psychological and social theories, the presence of women on corporate boards improves social responsibility, good governance and greater connection with stakeholders (Wang and Clift, 2009). According to social role theory</w:t>
      </w:r>
      <w:r w:rsidR="004D34A5">
        <w:rPr>
          <w:rFonts w:ascii="Times New Roman" w:eastAsia="DengXian" w:hAnsi="Times New Roman" w:cs="Times New Roman"/>
          <w:sz w:val="24"/>
          <w:szCs w:val="24"/>
          <w:lang w:eastAsia="zh-CN"/>
        </w:rPr>
        <w:t>,</w:t>
      </w:r>
      <w:r w:rsidR="001E1179">
        <w:rPr>
          <w:rFonts w:ascii="Times New Roman" w:eastAsia="DengXian" w:hAnsi="Times New Roman" w:cs="Times New Roman"/>
          <w:sz w:val="24"/>
          <w:szCs w:val="24"/>
          <w:lang w:eastAsia="zh-CN"/>
        </w:rPr>
        <w:t xml:space="preserve"> difference in </w:t>
      </w:r>
      <w:r w:rsidR="004D34A5">
        <w:rPr>
          <w:rFonts w:ascii="Times New Roman" w:eastAsia="DengXian" w:hAnsi="Times New Roman" w:cs="Times New Roman"/>
          <w:sz w:val="24"/>
          <w:szCs w:val="24"/>
          <w:lang w:eastAsia="zh-CN"/>
        </w:rPr>
        <w:t xml:space="preserve">the </w:t>
      </w:r>
      <w:r w:rsidR="001E1179">
        <w:rPr>
          <w:rFonts w:ascii="Times New Roman" w:eastAsia="DengXian" w:hAnsi="Times New Roman" w:cs="Times New Roman"/>
          <w:sz w:val="24"/>
          <w:szCs w:val="24"/>
          <w:lang w:eastAsia="zh-CN"/>
        </w:rPr>
        <w:t xml:space="preserve">behaviour of men and women is </w:t>
      </w:r>
      <w:r w:rsidRPr="00880312">
        <w:rPr>
          <w:rFonts w:ascii="Times New Roman" w:eastAsia="DengXian" w:hAnsi="Times New Roman" w:cs="Times New Roman"/>
          <w:sz w:val="24"/>
          <w:szCs w:val="24"/>
          <w:lang w:eastAsia="zh-CN"/>
        </w:rPr>
        <w:t>because they are taught different appropriate behaviours as a part of their upbringing, making women more caring, compassionate, and attentive to others' needs</w:t>
      </w:r>
      <w:r w:rsidR="001E1179" w:rsidRPr="00880312">
        <w:rPr>
          <w:rFonts w:ascii="Times New Roman" w:eastAsia="DengXian" w:hAnsi="Times New Roman" w:cs="Times New Roman"/>
          <w:sz w:val="24"/>
          <w:szCs w:val="24"/>
          <w:lang w:eastAsia="zh-CN"/>
        </w:rPr>
        <w:t>( Chizema et al., 2015)</w:t>
      </w:r>
      <w:r w:rsidRPr="00880312">
        <w:rPr>
          <w:rFonts w:ascii="Times New Roman" w:eastAsia="DengXian" w:hAnsi="Times New Roman" w:cs="Times New Roman"/>
          <w:sz w:val="24"/>
          <w:szCs w:val="24"/>
          <w:lang w:eastAsia="zh-CN"/>
        </w:rPr>
        <w:t>. Prior literature also supports the theoretical prediction between women and men</w:t>
      </w:r>
      <w:r w:rsidR="004D34A5">
        <w:rPr>
          <w:rFonts w:ascii="Times New Roman" w:eastAsia="DengXian" w:hAnsi="Times New Roman" w:cs="Times New Roman"/>
          <w:sz w:val="24"/>
          <w:szCs w:val="24"/>
          <w:lang w:eastAsia="zh-CN"/>
        </w:rPr>
        <w:t>,</w:t>
      </w:r>
      <w:r w:rsidRPr="00880312">
        <w:rPr>
          <w:rFonts w:ascii="Times New Roman" w:eastAsia="DengXian" w:hAnsi="Times New Roman" w:cs="Times New Roman"/>
          <w:sz w:val="24"/>
          <w:szCs w:val="24"/>
          <w:lang w:eastAsia="zh-CN"/>
        </w:rPr>
        <w:t xml:space="preserve"> with women being more ethical, caring, </w:t>
      </w:r>
      <w:r w:rsidR="004D34A5">
        <w:rPr>
          <w:rFonts w:ascii="Times New Roman" w:eastAsia="DengXian" w:hAnsi="Times New Roman" w:cs="Times New Roman"/>
          <w:sz w:val="24"/>
          <w:szCs w:val="24"/>
          <w:lang w:eastAsia="zh-CN"/>
        </w:rPr>
        <w:t xml:space="preserve">and </w:t>
      </w:r>
      <w:r w:rsidRPr="00880312">
        <w:rPr>
          <w:rFonts w:ascii="Times New Roman" w:eastAsia="DengXian" w:hAnsi="Times New Roman" w:cs="Times New Roman"/>
          <w:sz w:val="24"/>
          <w:szCs w:val="24"/>
          <w:lang w:eastAsia="zh-CN"/>
        </w:rPr>
        <w:t xml:space="preserve">stakeholder-oriented (Kohlberg, 1982; Adams and Funk, 2012) and </w:t>
      </w:r>
      <w:r w:rsidR="001E1179">
        <w:rPr>
          <w:rFonts w:ascii="Times New Roman" w:eastAsia="DengXian" w:hAnsi="Times New Roman" w:cs="Times New Roman"/>
          <w:sz w:val="24"/>
          <w:szCs w:val="24"/>
          <w:lang w:eastAsia="zh-CN"/>
        </w:rPr>
        <w:t xml:space="preserve">with less probability </w:t>
      </w:r>
      <w:r w:rsidR="004D34A5">
        <w:rPr>
          <w:rFonts w:ascii="Times New Roman" w:eastAsia="DengXian" w:hAnsi="Times New Roman" w:cs="Times New Roman"/>
          <w:sz w:val="24"/>
          <w:szCs w:val="24"/>
          <w:lang w:eastAsia="zh-CN"/>
        </w:rPr>
        <w:t>of following</w:t>
      </w:r>
      <w:r w:rsidR="001E1179">
        <w:rPr>
          <w:rFonts w:ascii="Times New Roman" w:eastAsia="DengXian" w:hAnsi="Times New Roman" w:cs="Times New Roman"/>
          <w:sz w:val="24"/>
          <w:szCs w:val="24"/>
          <w:lang w:eastAsia="zh-CN"/>
        </w:rPr>
        <w:t xml:space="preserve"> individual</w:t>
      </w:r>
      <w:r w:rsidRPr="00880312">
        <w:rPr>
          <w:rFonts w:ascii="Times New Roman" w:eastAsia="DengXian" w:hAnsi="Times New Roman" w:cs="Times New Roman"/>
          <w:sz w:val="24"/>
          <w:szCs w:val="24"/>
          <w:lang w:eastAsia="zh-CN"/>
        </w:rPr>
        <w:t xml:space="preserve"> goals (Levi et al., 2014). </w:t>
      </w:r>
      <w:r w:rsidR="00533710" w:rsidRPr="00880312">
        <w:rPr>
          <w:rFonts w:ascii="Times New Roman" w:eastAsia="DengXian" w:hAnsi="Times New Roman" w:cs="Times New Roman"/>
          <w:sz w:val="24"/>
          <w:szCs w:val="24"/>
          <w:lang w:eastAsia="zh-CN"/>
        </w:rPr>
        <w:t xml:space="preserve">These skills help female directors gain executives' trust; thus, they </w:t>
      </w:r>
      <w:r w:rsidR="004D34A5">
        <w:rPr>
          <w:rFonts w:ascii="Times New Roman" w:eastAsia="DengXian" w:hAnsi="Times New Roman" w:cs="Times New Roman"/>
          <w:sz w:val="24"/>
          <w:szCs w:val="24"/>
          <w:lang w:eastAsia="zh-CN"/>
        </w:rPr>
        <w:t xml:space="preserve">are </w:t>
      </w:r>
      <w:r w:rsidR="00533710" w:rsidRPr="00880312">
        <w:rPr>
          <w:rFonts w:ascii="Times New Roman" w:eastAsia="DengXian" w:hAnsi="Times New Roman" w:cs="Times New Roman"/>
          <w:sz w:val="24"/>
          <w:szCs w:val="24"/>
          <w:lang w:eastAsia="zh-CN"/>
        </w:rPr>
        <w:t xml:space="preserve">comfortable </w:t>
      </w:r>
      <w:r w:rsidR="004D34A5">
        <w:rPr>
          <w:rFonts w:ascii="Times New Roman" w:eastAsia="DengXian" w:hAnsi="Times New Roman" w:cs="Times New Roman"/>
          <w:sz w:val="24"/>
          <w:szCs w:val="24"/>
          <w:lang w:eastAsia="zh-CN"/>
        </w:rPr>
        <w:t xml:space="preserve">in </w:t>
      </w:r>
      <w:r w:rsidR="00533710" w:rsidRPr="00880312">
        <w:rPr>
          <w:rFonts w:ascii="Times New Roman" w:eastAsia="DengXian" w:hAnsi="Times New Roman" w:cs="Times New Roman"/>
          <w:sz w:val="24"/>
          <w:szCs w:val="24"/>
          <w:lang w:eastAsia="zh-CN"/>
        </w:rPr>
        <w:t>exchanging information with the female board of directors, thus making board monitoring more effective with gender-diverse boards (Adams &amp; Ferreira, 2007</w:t>
      </w:r>
      <w:r w:rsidR="001E1179" w:rsidRPr="00880312">
        <w:rPr>
          <w:rFonts w:ascii="Times New Roman" w:eastAsia="DengXian" w:hAnsi="Times New Roman" w:cs="Times New Roman"/>
          <w:sz w:val="24"/>
          <w:szCs w:val="24"/>
          <w:lang w:eastAsia="zh-CN"/>
        </w:rPr>
        <w:t>). Thus</w:t>
      </w:r>
      <w:r w:rsidRPr="00880312">
        <w:rPr>
          <w:rFonts w:ascii="Times New Roman" w:eastAsia="DengXian" w:hAnsi="Times New Roman" w:cs="Times New Roman"/>
          <w:sz w:val="24"/>
          <w:szCs w:val="24"/>
          <w:lang w:eastAsia="zh-CN"/>
        </w:rPr>
        <w:t xml:space="preserve">, it can be </w:t>
      </w:r>
      <w:r w:rsidR="001E1179" w:rsidRPr="00880312">
        <w:rPr>
          <w:rFonts w:ascii="Times New Roman" w:eastAsia="DengXian" w:hAnsi="Times New Roman" w:cs="Times New Roman"/>
          <w:sz w:val="24"/>
          <w:szCs w:val="24"/>
          <w:lang w:eastAsia="zh-CN"/>
        </w:rPr>
        <w:t>claimed</w:t>
      </w:r>
      <w:r w:rsidRPr="00880312">
        <w:rPr>
          <w:rFonts w:ascii="Times New Roman" w:eastAsia="DengXian" w:hAnsi="Times New Roman" w:cs="Times New Roman"/>
          <w:sz w:val="24"/>
          <w:szCs w:val="24"/>
          <w:lang w:eastAsia="zh-CN"/>
        </w:rPr>
        <w:t xml:space="preserve"> that </w:t>
      </w:r>
      <w:r w:rsidR="004D34A5">
        <w:rPr>
          <w:rFonts w:ascii="Times New Roman" w:eastAsia="DengXian" w:hAnsi="Times New Roman" w:cs="Times New Roman"/>
          <w:sz w:val="24"/>
          <w:szCs w:val="24"/>
          <w:lang w:eastAsia="zh-CN"/>
        </w:rPr>
        <w:t>female directors' better communal attributes and ethical behaviour put</w:t>
      </w:r>
      <w:r w:rsidR="001E1179">
        <w:rPr>
          <w:rFonts w:ascii="Times New Roman" w:eastAsia="DengXian" w:hAnsi="Times New Roman" w:cs="Times New Roman"/>
          <w:sz w:val="24"/>
          <w:szCs w:val="24"/>
          <w:lang w:eastAsia="zh-CN"/>
        </w:rPr>
        <w:t xml:space="preserve"> them in a </w:t>
      </w:r>
      <w:r w:rsidRPr="00880312">
        <w:rPr>
          <w:rFonts w:ascii="Times New Roman" w:eastAsia="DengXian" w:hAnsi="Times New Roman" w:cs="Times New Roman"/>
          <w:sz w:val="24"/>
          <w:szCs w:val="24"/>
          <w:lang w:eastAsia="zh-CN"/>
        </w:rPr>
        <w:t>stronger position to influence the corporate culture.</w:t>
      </w:r>
    </w:p>
    <w:p w14:paraId="61287574" w14:textId="7285AB56" w:rsidR="006D79E2" w:rsidRDefault="00880312" w:rsidP="00880312">
      <w:pPr>
        <w:spacing w:line="480" w:lineRule="auto"/>
        <w:jc w:val="both"/>
        <w:rPr>
          <w:rFonts w:ascii="Times New Roman" w:eastAsia="DengXian" w:hAnsi="Times New Roman" w:cs="Times New Roman"/>
          <w:sz w:val="24"/>
          <w:szCs w:val="24"/>
          <w:lang w:eastAsia="zh-CN"/>
        </w:rPr>
      </w:pPr>
      <w:r w:rsidRPr="00880312">
        <w:rPr>
          <w:rFonts w:ascii="Times New Roman" w:eastAsia="DengXian" w:hAnsi="Times New Roman" w:cs="Times New Roman"/>
          <w:sz w:val="24"/>
          <w:szCs w:val="24"/>
          <w:lang w:eastAsia="zh-CN"/>
        </w:rPr>
        <w:t xml:space="preserve">Thus, we can take insight from </w:t>
      </w:r>
      <w:r w:rsidR="00BF1BB1">
        <w:rPr>
          <w:rFonts w:ascii="Times New Roman" w:eastAsia="DengXian" w:hAnsi="Times New Roman" w:cs="Times New Roman"/>
          <w:sz w:val="24"/>
          <w:szCs w:val="24"/>
          <w:lang w:eastAsia="zh-CN"/>
        </w:rPr>
        <w:t xml:space="preserve">the </w:t>
      </w:r>
      <w:r w:rsidRPr="00880312">
        <w:rPr>
          <w:rFonts w:ascii="Times New Roman" w:eastAsia="DengXian" w:hAnsi="Times New Roman" w:cs="Times New Roman"/>
          <w:sz w:val="24"/>
          <w:szCs w:val="24"/>
          <w:lang w:eastAsia="zh-CN"/>
        </w:rPr>
        <w:t>economic and social-based theories that female directors are better at monitoring and reducing agency problem</w:t>
      </w:r>
      <w:r w:rsidR="004D34A5">
        <w:rPr>
          <w:rFonts w:ascii="Times New Roman" w:eastAsia="DengXian" w:hAnsi="Times New Roman" w:cs="Times New Roman"/>
          <w:sz w:val="24"/>
          <w:szCs w:val="24"/>
          <w:lang w:eastAsia="zh-CN"/>
        </w:rPr>
        <w:t>s</w:t>
      </w:r>
      <w:r w:rsidRPr="00880312">
        <w:rPr>
          <w:rFonts w:ascii="Times New Roman" w:eastAsia="DengXian" w:hAnsi="Times New Roman" w:cs="Times New Roman"/>
          <w:sz w:val="24"/>
          <w:szCs w:val="24"/>
          <w:lang w:eastAsia="zh-CN"/>
        </w:rPr>
        <w:t>.</w:t>
      </w:r>
    </w:p>
    <w:p w14:paraId="4251BA21" w14:textId="77777777" w:rsidR="004D34A5" w:rsidRDefault="004D34A5" w:rsidP="004D34A5">
      <w:pPr>
        <w:pStyle w:val="Heading2"/>
        <w:rPr>
          <w:lang w:eastAsia="zh-CN"/>
        </w:rPr>
      </w:pPr>
      <w:bookmarkStart w:id="87" w:name="_Toc145616193"/>
      <w:r>
        <w:rPr>
          <w:lang w:eastAsia="zh-CN"/>
        </w:rPr>
        <w:t>4</w:t>
      </w:r>
      <w:r w:rsidR="00533CCC">
        <w:rPr>
          <w:lang w:eastAsia="zh-CN"/>
        </w:rPr>
        <w:t>.</w:t>
      </w:r>
      <w:r>
        <w:rPr>
          <w:lang w:eastAsia="zh-CN"/>
        </w:rPr>
        <w:t>3</w:t>
      </w:r>
      <w:r w:rsidR="00880312" w:rsidRPr="00880312">
        <w:rPr>
          <w:lang w:eastAsia="zh-CN"/>
        </w:rPr>
        <w:t>. Related Literature and Hypothesis Development</w:t>
      </w:r>
      <w:bookmarkEnd w:id="87"/>
    </w:p>
    <w:p w14:paraId="682EDB40" w14:textId="228779A0" w:rsidR="00880312" w:rsidRPr="00880312" w:rsidRDefault="00880312" w:rsidP="004D34A5">
      <w:pPr>
        <w:pStyle w:val="Heading2"/>
        <w:rPr>
          <w:lang w:eastAsia="zh-CN"/>
        </w:rPr>
      </w:pPr>
      <w:r w:rsidRPr="00880312">
        <w:rPr>
          <w:lang w:eastAsia="zh-CN"/>
        </w:rPr>
        <w:t xml:space="preserve"> </w:t>
      </w:r>
    </w:p>
    <w:p w14:paraId="689E069B" w14:textId="793AD25A" w:rsidR="00880312" w:rsidRDefault="004D34A5" w:rsidP="004D34A5">
      <w:pPr>
        <w:pStyle w:val="Heading3"/>
        <w:rPr>
          <w:rFonts w:ascii="Times New Roman" w:hAnsi="Times New Roman" w:cs="Times New Roman"/>
          <w:b/>
          <w:bCs/>
          <w:color w:val="000000" w:themeColor="text1"/>
          <w:sz w:val="28"/>
          <w:szCs w:val="28"/>
          <w:lang w:eastAsia="zh-CN"/>
        </w:rPr>
      </w:pPr>
      <w:bookmarkStart w:id="88" w:name="_Toc145616194"/>
      <w:r w:rsidRPr="004D34A5">
        <w:rPr>
          <w:rFonts w:ascii="Times New Roman" w:hAnsi="Times New Roman" w:cs="Times New Roman"/>
          <w:b/>
          <w:bCs/>
          <w:color w:val="000000" w:themeColor="text1"/>
          <w:sz w:val="28"/>
          <w:szCs w:val="28"/>
          <w:lang w:eastAsia="zh-CN"/>
        </w:rPr>
        <w:t>4</w:t>
      </w:r>
      <w:r w:rsidR="00533CCC" w:rsidRPr="004D34A5">
        <w:rPr>
          <w:rFonts w:ascii="Times New Roman" w:hAnsi="Times New Roman" w:cs="Times New Roman"/>
          <w:b/>
          <w:bCs/>
          <w:color w:val="000000" w:themeColor="text1"/>
          <w:sz w:val="28"/>
          <w:szCs w:val="28"/>
          <w:lang w:eastAsia="zh-CN"/>
        </w:rPr>
        <w:t>.</w:t>
      </w:r>
      <w:r w:rsidRPr="004D34A5">
        <w:rPr>
          <w:rFonts w:ascii="Times New Roman" w:hAnsi="Times New Roman" w:cs="Times New Roman"/>
          <w:b/>
          <w:bCs/>
          <w:color w:val="000000" w:themeColor="text1"/>
          <w:sz w:val="28"/>
          <w:szCs w:val="28"/>
          <w:lang w:eastAsia="zh-CN"/>
        </w:rPr>
        <w:t>3</w:t>
      </w:r>
      <w:r w:rsidR="00880312" w:rsidRPr="004D34A5">
        <w:rPr>
          <w:rFonts w:ascii="Times New Roman" w:hAnsi="Times New Roman" w:cs="Times New Roman"/>
          <w:b/>
          <w:bCs/>
          <w:color w:val="000000" w:themeColor="text1"/>
          <w:sz w:val="28"/>
          <w:szCs w:val="28"/>
          <w:lang w:eastAsia="zh-CN"/>
        </w:rPr>
        <w:t xml:space="preserve">.1. Risk </w:t>
      </w:r>
      <w:r w:rsidRPr="004D34A5">
        <w:rPr>
          <w:rFonts w:ascii="Times New Roman" w:hAnsi="Times New Roman" w:cs="Times New Roman"/>
          <w:b/>
          <w:bCs/>
          <w:color w:val="000000" w:themeColor="text1"/>
          <w:sz w:val="28"/>
          <w:szCs w:val="28"/>
          <w:lang w:eastAsia="zh-CN"/>
        </w:rPr>
        <w:t>C</w:t>
      </w:r>
      <w:r w:rsidR="00880312" w:rsidRPr="004D34A5">
        <w:rPr>
          <w:rFonts w:ascii="Times New Roman" w:hAnsi="Times New Roman" w:cs="Times New Roman"/>
          <w:b/>
          <w:bCs/>
          <w:color w:val="000000" w:themeColor="text1"/>
          <w:sz w:val="28"/>
          <w:szCs w:val="28"/>
          <w:lang w:eastAsia="zh-CN"/>
        </w:rPr>
        <w:t>ulture and Risk Management</w:t>
      </w:r>
      <w:bookmarkEnd w:id="88"/>
    </w:p>
    <w:p w14:paraId="2BB73F94" w14:textId="77777777" w:rsidR="004D34A5" w:rsidRPr="004D34A5" w:rsidRDefault="004D34A5" w:rsidP="004D34A5">
      <w:pPr>
        <w:rPr>
          <w:lang w:eastAsia="zh-CN"/>
        </w:rPr>
      </w:pPr>
    </w:p>
    <w:p w14:paraId="117058C7" w14:textId="5B5CEB40"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Corporate culture is extensively discussed in organizational behaviour literature (Cartwright and Cooper, 1993; Cameron and Quinn, 2011; Cameron et al., 2014); however, mainstream economists avoided this word, considering it an inefficient way of explaining things based on sound economic principles. In the last ten years, economics and finance literature has started focusing on the cultural dimension due to the failure of traditional economic models based on the assumption of "homo economicus". Later, it became evident that the "homo economicus" concept is rooted in a cultural context, and people's choices and behaviours affect the economic outcome (Guiso, Sapienza and Zingale, 2006; Gilulano, 2007; Femendez and Fogli, 2009). Culture is a broad concept, and there is no commonly established definition of corporate culture. In general, corporate culture is defined as a set of beliefs, values and assumptions shared among organizational members, which aids shared meaning and directs the behaviour of employees (e.g. Hofstede </w:t>
      </w:r>
      <w:r w:rsidRPr="00880312">
        <w:rPr>
          <w:rFonts w:ascii="Times New Roman" w:eastAsia="DengXian" w:hAnsi="Times New Roman" w:cs="Times New Roman"/>
          <w:i/>
          <w:iCs/>
          <w:color w:val="000000" w:themeColor="text1"/>
          <w:sz w:val="24"/>
          <w:szCs w:val="24"/>
          <w:lang w:eastAsia="zh-CN"/>
        </w:rPr>
        <w:t>et al.</w:t>
      </w:r>
      <w:r w:rsidRPr="00880312">
        <w:rPr>
          <w:rFonts w:ascii="Times New Roman" w:eastAsia="DengXian" w:hAnsi="Times New Roman" w:cs="Times New Roman"/>
          <w:color w:val="000000" w:themeColor="text1"/>
          <w:sz w:val="24"/>
          <w:szCs w:val="24"/>
          <w:lang w:eastAsia="zh-CN"/>
        </w:rPr>
        <w:t>, 1990; Schein, 1985, Ngyuen et al., 2019). Risk culture</w:t>
      </w:r>
      <w:r w:rsidRPr="00880312">
        <w:rPr>
          <w:rFonts w:ascii="Times New Roman" w:eastAsia="DengXian" w:hAnsi="Times New Roman" w:cs="Times New Roman"/>
          <w:color w:val="000000" w:themeColor="text1"/>
          <w:sz w:val="24"/>
          <w:szCs w:val="24"/>
          <w:vertAlign w:val="superscript"/>
          <w:lang w:eastAsia="zh-CN"/>
        </w:rPr>
        <w:footnoteReference w:id="9"/>
      </w:r>
      <w:r w:rsidRPr="00880312">
        <w:rPr>
          <w:rFonts w:ascii="Times New Roman" w:eastAsia="DengXian" w:hAnsi="Times New Roman" w:cs="Times New Roman"/>
          <w:color w:val="000000" w:themeColor="text1"/>
          <w:sz w:val="24"/>
          <w:szCs w:val="24"/>
          <w:lang w:eastAsia="zh-CN"/>
        </w:rPr>
        <w:t xml:space="preserve"> is one aspect of broad corporate culture and depicts implicit and explicit contracts governing the risk behaviour within the organization (Fiordelisi, 2019). Like organization culture, risk culture relies on people's assumptions regarding norms, values and artefacts </w:t>
      </w:r>
      <w:r w:rsidR="004D34A5">
        <w:rPr>
          <w:rFonts w:ascii="Times New Roman" w:eastAsia="DengXian" w:hAnsi="Times New Roman" w:cs="Times New Roman"/>
          <w:color w:val="000000" w:themeColor="text1"/>
          <w:sz w:val="24"/>
          <w:szCs w:val="24"/>
          <w:lang w:eastAsia="zh-CN"/>
        </w:rPr>
        <w:t xml:space="preserve">of risk </w:t>
      </w:r>
      <w:r w:rsidRPr="00880312">
        <w:rPr>
          <w:rFonts w:ascii="Times New Roman" w:eastAsia="DengXian" w:hAnsi="Times New Roman" w:cs="Times New Roman"/>
          <w:color w:val="000000" w:themeColor="text1"/>
          <w:sz w:val="24"/>
          <w:szCs w:val="24"/>
          <w:lang w:eastAsia="zh-CN"/>
        </w:rPr>
        <w:t xml:space="preserve">(Schein, 1990). </w:t>
      </w:r>
    </w:p>
    <w:p w14:paraId="1E0A966C" w14:textId="77777777" w:rsid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The risk culture debate in financial institutions gained momentum after the financial crisis of 2007-2009, convincing regulators that risk culture is an appropriate criterion to determine the adoption of risk management policies and practices in banks (IFC, 2015, FSB, 2014). Furthermore, academicians also recommended risk culture as a crucial input for effective risk management alongside risk governance structures and incentives (Stulz,2016). In response to regulators' calls to improve bank risk culture for effective risk management, research in economics and finance has recently explored the relationship between risk culture and bank risk-taking. The limited literature shows a positive relationship between risk culture and bank risk-taking, with high-risk culture leading to riskier lending practices, more considerable loan losses, lower borrower quality, less covenant requirement and high credit risk (Nguyen, 2019; Barth and Mansouri, 2021). Ellul and Yerramilli (2013) take a different perspective, i.e., "business model channel", and reveal that risk culture and risk management function are jointly endogenous in determining the overall risk of firms. The results of their study indicate that bank holding companies (BHC) with conservative risk cultures take less risk due to robust risk management systems and vice versa. The study also identifies that organizations are rigid regarding their business model, thus suggesting that organizations do not learn from past experiences. Consistent with this, Falenbrach et al. (2012) also ascribe risk-taking to the culture of financial intuitions and reveal that financial institutions with the worst performance in the Russian crisis of 1998 were also the worst performer during the crisis of 2007-2009. In contrast, Bouwman and Malmendier (2015) hold a contrary view. They show that past experiences shape culture as banks learn from their history of surviving the shocks, improving their future risk-taking behaviours.</w:t>
      </w:r>
    </w:p>
    <w:p w14:paraId="4C184FE3" w14:textId="5BBD969F" w:rsidR="004D34A5" w:rsidRDefault="004D34A5">
      <w:pPr>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br w:type="page"/>
      </w:r>
    </w:p>
    <w:p w14:paraId="134845D4" w14:textId="77777777" w:rsidR="004D34A5" w:rsidRPr="00880312" w:rsidRDefault="004D34A5" w:rsidP="00880312">
      <w:pPr>
        <w:spacing w:line="480" w:lineRule="auto"/>
        <w:jc w:val="both"/>
        <w:rPr>
          <w:rFonts w:ascii="Times New Roman" w:eastAsia="DengXian" w:hAnsi="Times New Roman" w:cs="Times New Roman"/>
          <w:color w:val="000000" w:themeColor="text1"/>
          <w:sz w:val="24"/>
          <w:szCs w:val="24"/>
          <w:lang w:eastAsia="zh-CN"/>
        </w:rPr>
      </w:pPr>
    </w:p>
    <w:p w14:paraId="173975B1" w14:textId="2AC31FAD" w:rsidR="00880312" w:rsidRDefault="004D34A5" w:rsidP="004D34A5">
      <w:pPr>
        <w:pStyle w:val="Heading3"/>
        <w:rPr>
          <w:rFonts w:ascii="Times New Roman" w:hAnsi="Times New Roman" w:cs="Times New Roman"/>
          <w:b/>
          <w:bCs/>
          <w:color w:val="000000" w:themeColor="text1"/>
          <w:sz w:val="28"/>
          <w:szCs w:val="28"/>
          <w:lang w:eastAsia="zh-CN"/>
        </w:rPr>
      </w:pPr>
      <w:bookmarkStart w:id="89" w:name="_Toc145616195"/>
      <w:r w:rsidRPr="004D34A5">
        <w:rPr>
          <w:rFonts w:ascii="Times New Roman" w:hAnsi="Times New Roman" w:cs="Times New Roman"/>
          <w:b/>
          <w:bCs/>
          <w:color w:val="000000" w:themeColor="text1"/>
          <w:sz w:val="28"/>
          <w:szCs w:val="28"/>
          <w:lang w:eastAsia="zh-CN"/>
        </w:rPr>
        <w:t>4</w:t>
      </w:r>
      <w:r w:rsidR="00880312" w:rsidRPr="004D34A5">
        <w:rPr>
          <w:rFonts w:ascii="Times New Roman" w:hAnsi="Times New Roman" w:cs="Times New Roman"/>
          <w:b/>
          <w:bCs/>
          <w:color w:val="000000" w:themeColor="text1"/>
          <w:sz w:val="28"/>
          <w:szCs w:val="28"/>
          <w:lang w:eastAsia="zh-CN"/>
        </w:rPr>
        <w:t>.</w:t>
      </w:r>
      <w:r w:rsidRPr="004D34A5">
        <w:rPr>
          <w:rFonts w:ascii="Times New Roman" w:hAnsi="Times New Roman" w:cs="Times New Roman"/>
          <w:b/>
          <w:bCs/>
          <w:color w:val="000000" w:themeColor="text1"/>
          <w:sz w:val="28"/>
          <w:szCs w:val="28"/>
          <w:lang w:eastAsia="zh-CN"/>
        </w:rPr>
        <w:t>3</w:t>
      </w:r>
      <w:r w:rsidR="00880312" w:rsidRPr="004D34A5">
        <w:rPr>
          <w:rFonts w:ascii="Times New Roman" w:hAnsi="Times New Roman" w:cs="Times New Roman"/>
          <w:b/>
          <w:bCs/>
          <w:color w:val="000000" w:themeColor="text1"/>
          <w:sz w:val="28"/>
          <w:szCs w:val="28"/>
          <w:lang w:eastAsia="zh-CN"/>
        </w:rPr>
        <w:t>.</w:t>
      </w:r>
      <w:r w:rsidR="00480042" w:rsidRPr="004D34A5">
        <w:rPr>
          <w:rFonts w:ascii="Times New Roman" w:hAnsi="Times New Roman" w:cs="Times New Roman"/>
          <w:b/>
          <w:bCs/>
          <w:color w:val="000000" w:themeColor="text1"/>
          <w:sz w:val="28"/>
          <w:szCs w:val="28"/>
          <w:lang w:eastAsia="zh-CN"/>
        </w:rPr>
        <w:t>2</w:t>
      </w:r>
      <w:r w:rsidR="00880312" w:rsidRPr="004D34A5">
        <w:rPr>
          <w:rFonts w:ascii="Times New Roman" w:hAnsi="Times New Roman" w:cs="Times New Roman"/>
          <w:b/>
          <w:bCs/>
          <w:color w:val="000000" w:themeColor="text1"/>
          <w:sz w:val="28"/>
          <w:szCs w:val="28"/>
          <w:lang w:eastAsia="zh-CN"/>
        </w:rPr>
        <w:t xml:space="preserve"> Risk Culture, Corporate Governance and Bank Risk</w:t>
      </w:r>
      <w:bookmarkEnd w:id="89"/>
    </w:p>
    <w:p w14:paraId="7A86C451" w14:textId="77777777" w:rsidR="004D34A5" w:rsidRPr="004D34A5" w:rsidRDefault="004D34A5" w:rsidP="004D34A5">
      <w:pPr>
        <w:rPr>
          <w:lang w:eastAsia="zh-CN"/>
        </w:rPr>
      </w:pPr>
    </w:p>
    <w:p w14:paraId="1264D395" w14:textId="6F683C89" w:rsidR="00880312" w:rsidRPr="00880312" w:rsidRDefault="00742375" w:rsidP="00880312">
      <w:pPr>
        <w:spacing w:line="480" w:lineRule="auto"/>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t>Corporate governance plays an essential role in shaping the risk culture of financial institutions. The importance of governance can be realized from the fact that r</w:t>
      </w:r>
      <w:r w:rsidR="00880312" w:rsidRPr="00880312">
        <w:rPr>
          <w:rFonts w:ascii="Times New Roman" w:eastAsia="DengXian" w:hAnsi="Times New Roman" w:cs="Times New Roman"/>
          <w:color w:val="000000" w:themeColor="text1"/>
          <w:sz w:val="24"/>
          <w:szCs w:val="24"/>
          <w:lang w:eastAsia="zh-CN"/>
        </w:rPr>
        <w:t xml:space="preserve">egulators have assigned the responsibility of developing </w:t>
      </w:r>
      <w:r w:rsidR="004D34A5">
        <w:rPr>
          <w:rFonts w:ascii="Times New Roman" w:eastAsia="DengXian" w:hAnsi="Times New Roman" w:cs="Times New Roman"/>
          <w:color w:val="000000" w:themeColor="text1"/>
          <w:sz w:val="24"/>
          <w:szCs w:val="24"/>
          <w:lang w:eastAsia="zh-CN"/>
        </w:rPr>
        <w:t xml:space="preserve">the </w:t>
      </w:r>
      <w:r w:rsidR="00880312" w:rsidRPr="00880312">
        <w:rPr>
          <w:rFonts w:ascii="Times New Roman" w:eastAsia="DengXian" w:hAnsi="Times New Roman" w:cs="Times New Roman"/>
          <w:color w:val="000000" w:themeColor="text1"/>
          <w:sz w:val="24"/>
          <w:szCs w:val="24"/>
          <w:lang w:eastAsia="zh-CN"/>
        </w:rPr>
        <w:t>“right culture” in financial institutions to the top management (</w:t>
      </w:r>
      <w:r w:rsidR="00BF1BB1">
        <w:rPr>
          <w:rFonts w:ascii="Times New Roman" w:eastAsia="DengXian" w:hAnsi="Times New Roman" w:cs="Times New Roman"/>
          <w:color w:val="000000" w:themeColor="text1"/>
          <w:sz w:val="24"/>
          <w:szCs w:val="24"/>
          <w:lang w:eastAsia="zh-CN"/>
        </w:rPr>
        <w:t xml:space="preserve">e.g. </w:t>
      </w:r>
      <w:r w:rsidR="00880312" w:rsidRPr="00880312">
        <w:rPr>
          <w:rFonts w:ascii="Times New Roman" w:eastAsia="DengXian" w:hAnsi="Times New Roman" w:cs="Times New Roman"/>
          <w:color w:val="000000" w:themeColor="text1"/>
          <w:sz w:val="24"/>
          <w:szCs w:val="24"/>
          <w:lang w:eastAsia="zh-CN"/>
        </w:rPr>
        <w:t xml:space="preserve">Board, CEO, and senior executives) in the form of "Tone from the top" as one of the common foundational elements that support a sound risk culture (FSB, 2014; Firodelisi et al., 2016). Concerning the role of top management, extensive literature exists analyzing the impact of corporate governance on a bank's financial decisions, particularly risk-taking (Beltratti and Stulz, 2012; Berger et al., 2014; IMF, 2014; Hines et al., 2015; Aebi et al., 2012; Pathan et al., 2013; Malik et al., 2020; Mollah et al., 2021). However, what is missing in these governance studies is the impact of the governance mechanism on the organizational outcome through its effects on intangible assets, i.e., corporate culture. Holmstrom and Milgram (1991) proposed a model that explains how governance affects a firm's value through intangible assets, mainly emphasizing the importance of corporate culture. This preposition finds its ground in the evidence which suggests that governance reforms do not explicitly add value, the reason being that good governance creates tension between the metrics rewarded and unrewarded by shareholders (Strine, 2006; Graham et al., 2005; Hermalin and Weisbach, 2012; Acharya et al., 2013). For example, an unrewarded intangible measure, such as integrity, is strongly related to a firm intrinsic value but competes with a rewarded tangible measure like earnings or sales. In that case, it is most likely that rewarded tangible measure is preferred, although it leads to a decline in firm value in the long run (Germann,2019). Furthermore, it is argued that policies and strategies focusing only on governance structures, rules, or compliance are fundamentally flawed, as no rules can cover every situation (Lingel and Sheedy, 2014). Thus, studying the relationship between governance structure and culture can </w:t>
      </w:r>
      <w:r w:rsidR="004D34A5">
        <w:rPr>
          <w:rFonts w:ascii="Times New Roman" w:eastAsia="DengXian" w:hAnsi="Times New Roman" w:cs="Times New Roman"/>
          <w:color w:val="000000" w:themeColor="text1"/>
          <w:sz w:val="24"/>
          <w:szCs w:val="24"/>
          <w:lang w:eastAsia="zh-CN"/>
        </w:rPr>
        <w:t>create long-term value</w:t>
      </w:r>
      <w:r w:rsidR="00880312" w:rsidRPr="00880312">
        <w:rPr>
          <w:rFonts w:ascii="Times New Roman" w:eastAsia="DengXian" w:hAnsi="Times New Roman" w:cs="Times New Roman"/>
          <w:color w:val="000000" w:themeColor="text1"/>
          <w:sz w:val="24"/>
          <w:szCs w:val="24"/>
          <w:lang w:eastAsia="zh-CN"/>
        </w:rPr>
        <w:t xml:space="preserve"> for the firms (Hermalin and Weisbach, 2012; Acharya et al., 2013; Lingel and Sheedy, 2014).</w:t>
      </w:r>
    </w:p>
    <w:p w14:paraId="4115AB29" w14:textId="47BEBA24" w:rsidR="00057265"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A study by Lingel and Sheedy (201</w:t>
      </w:r>
      <w:r w:rsidR="002E6137">
        <w:rPr>
          <w:rFonts w:ascii="Times New Roman" w:eastAsia="DengXian" w:hAnsi="Times New Roman" w:cs="Times New Roman"/>
          <w:color w:val="000000" w:themeColor="text1"/>
          <w:sz w:val="24"/>
          <w:szCs w:val="24"/>
          <w:lang w:eastAsia="zh-CN"/>
        </w:rPr>
        <w:t>2</w:t>
      </w:r>
      <w:r w:rsidRPr="00880312">
        <w:rPr>
          <w:rFonts w:ascii="Times New Roman" w:eastAsia="DengXian" w:hAnsi="Times New Roman" w:cs="Times New Roman"/>
          <w:color w:val="000000" w:themeColor="text1"/>
          <w:sz w:val="24"/>
          <w:szCs w:val="24"/>
          <w:lang w:eastAsia="zh-CN"/>
        </w:rPr>
        <w:t xml:space="preserve">) reveals that strong risk culture combined with appropriate processes and governance structures is the best way to produce desirable risk behaviours. The study also shows that governance structures partially moderate the relationship between risk-taking and risk culture. The risk governance structure used in their study included the presence of a CRO, board risk committee and independent board of directors. Similarly, Grennan's (2019) study also reveals a link between governance and culture. Using a textual approach to measure corporate culture, they find that better governance leads to a statistically significant increase in customer orientation, firm integrity, and safety culture. Guiso et al. (2015) study shows the relationship between the culture of integrity and firm value and tests whether integrity culture is weaker among publicly traded companies. While studying the governance structure, i.e., ownership structure, they find public limited companies cannot sustain an integrity culture. They highlighted the issue of "incomplete contracts", emphasizing that in the absence of incomplete contracts, values(culture) </w:t>
      </w:r>
      <w:r w:rsidR="004D34A5">
        <w:rPr>
          <w:rFonts w:ascii="Times New Roman" w:eastAsia="DengXian" w:hAnsi="Times New Roman" w:cs="Times New Roman"/>
          <w:color w:val="000000" w:themeColor="text1"/>
          <w:sz w:val="24"/>
          <w:szCs w:val="24"/>
          <w:lang w:eastAsia="zh-CN"/>
        </w:rPr>
        <w:t>significantly enhance</w:t>
      </w:r>
      <w:r w:rsidRPr="00880312">
        <w:rPr>
          <w:rFonts w:ascii="Times New Roman" w:eastAsia="DengXian" w:hAnsi="Times New Roman" w:cs="Times New Roman"/>
          <w:color w:val="000000" w:themeColor="text1"/>
          <w:sz w:val="24"/>
          <w:szCs w:val="24"/>
          <w:lang w:eastAsia="zh-CN"/>
        </w:rPr>
        <w:t xml:space="preserve"> the inefficiencies created by such agreements.</w:t>
      </w:r>
    </w:p>
    <w:p w14:paraId="775407ED" w14:textId="3165D5A8" w:rsidR="00880312" w:rsidRDefault="004D34A5" w:rsidP="004D34A5">
      <w:pPr>
        <w:pStyle w:val="Heading3"/>
        <w:rPr>
          <w:rFonts w:ascii="Times New Roman" w:hAnsi="Times New Roman" w:cs="Times New Roman"/>
          <w:b/>
          <w:bCs/>
          <w:color w:val="000000" w:themeColor="text1"/>
          <w:sz w:val="28"/>
          <w:szCs w:val="28"/>
          <w:lang w:eastAsia="zh-CN"/>
        </w:rPr>
      </w:pPr>
      <w:bookmarkStart w:id="90" w:name="_Toc145616196"/>
      <w:r w:rsidRPr="004D34A5">
        <w:rPr>
          <w:rFonts w:ascii="Times New Roman" w:hAnsi="Times New Roman" w:cs="Times New Roman"/>
          <w:b/>
          <w:bCs/>
          <w:color w:val="000000" w:themeColor="text1"/>
          <w:sz w:val="28"/>
          <w:szCs w:val="28"/>
          <w:lang w:eastAsia="zh-CN"/>
        </w:rPr>
        <w:t>4</w:t>
      </w:r>
      <w:r w:rsidR="00480042" w:rsidRPr="004D34A5">
        <w:rPr>
          <w:rFonts w:ascii="Times New Roman" w:hAnsi="Times New Roman" w:cs="Times New Roman"/>
          <w:b/>
          <w:bCs/>
          <w:color w:val="000000" w:themeColor="text1"/>
          <w:sz w:val="28"/>
          <w:szCs w:val="28"/>
          <w:lang w:eastAsia="zh-CN"/>
        </w:rPr>
        <w:t>.</w:t>
      </w:r>
      <w:r w:rsidRPr="004D34A5">
        <w:rPr>
          <w:rFonts w:ascii="Times New Roman" w:hAnsi="Times New Roman" w:cs="Times New Roman"/>
          <w:b/>
          <w:bCs/>
          <w:color w:val="000000" w:themeColor="text1"/>
          <w:sz w:val="28"/>
          <w:szCs w:val="28"/>
          <w:lang w:eastAsia="zh-CN"/>
        </w:rPr>
        <w:t>3</w:t>
      </w:r>
      <w:r w:rsidR="00480042" w:rsidRPr="004D34A5">
        <w:rPr>
          <w:rFonts w:ascii="Times New Roman" w:hAnsi="Times New Roman" w:cs="Times New Roman"/>
          <w:b/>
          <w:bCs/>
          <w:color w:val="000000" w:themeColor="text1"/>
          <w:sz w:val="28"/>
          <w:szCs w:val="28"/>
          <w:lang w:eastAsia="zh-CN"/>
        </w:rPr>
        <w:t>.</w:t>
      </w:r>
      <w:r w:rsidR="00880312" w:rsidRPr="004D34A5">
        <w:rPr>
          <w:rFonts w:ascii="Times New Roman" w:hAnsi="Times New Roman" w:cs="Times New Roman"/>
          <w:b/>
          <w:bCs/>
          <w:color w:val="000000" w:themeColor="text1"/>
          <w:sz w:val="28"/>
          <w:szCs w:val="28"/>
          <w:lang w:eastAsia="zh-CN"/>
        </w:rPr>
        <w:t>3.</w:t>
      </w:r>
      <w:r w:rsidR="00480042" w:rsidRPr="004D34A5">
        <w:rPr>
          <w:rFonts w:ascii="Times New Roman" w:hAnsi="Times New Roman" w:cs="Times New Roman"/>
          <w:b/>
          <w:bCs/>
          <w:color w:val="000000" w:themeColor="text1"/>
          <w:sz w:val="28"/>
          <w:szCs w:val="28"/>
          <w:lang w:eastAsia="zh-CN"/>
        </w:rPr>
        <w:t xml:space="preserve"> </w:t>
      </w:r>
      <w:r w:rsidR="00880312" w:rsidRPr="004D34A5">
        <w:rPr>
          <w:rFonts w:ascii="Times New Roman" w:hAnsi="Times New Roman" w:cs="Times New Roman"/>
          <w:b/>
          <w:bCs/>
          <w:color w:val="000000" w:themeColor="text1"/>
          <w:sz w:val="28"/>
          <w:szCs w:val="28"/>
          <w:lang w:eastAsia="zh-CN"/>
        </w:rPr>
        <w:t xml:space="preserve">Risk Culture, Board Gender Diversity and </w:t>
      </w:r>
      <w:r w:rsidR="00480042" w:rsidRPr="004D34A5">
        <w:rPr>
          <w:rFonts w:ascii="Times New Roman" w:hAnsi="Times New Roman" w:cs="Times New Roman"/>
          <w:b/>
          <w:bCs/>
          <w:color w:val="000000" w:themeColor="text1"/>
          <w:sz w:val="28"/>
          <w:szCs w:val="28"/>
          <w:lang w:eastAsia="zh-CN"/>
        </w:rPr>
        <w:t>Bank Risk</w:t>
      </w:r>
      <w:bookmarkEnd w:id="90"/>
    </w:p>
    <w:p w14:paraId="7F42C5BD" w14:textId="77777777" w:rsidR="004D34A5" w:rsidRPr="004D34A5" w:rsidRDefault="004D34A5" w:rsidP="004D34A5">
      <w:pPr>
        <w:rPr>
          <w:lang w:eastAsia="zh-CN"/>
        </w:rPr>
      </w:pPr>
    </w:p>
    <w:p w14:paraId="6DC10C9A" w14:textId="44EAE536"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Although numerous governance structures can act as a channel between risk culture and bank risk, we follow the regulatory approach of "tone from the top" by acknowledging the board of directors as an essential decision-making group and focusing primarily on the board's role in corporate culture. We focus on board composition by </w:t>
      </w:r>
      <w:r w:rsidR="00480042" w:rsidRPr="00880312">
        <w:rPr>
          <w:rFonts w:ascii="Times New Roman" w:eastAsia="DengXian" w:hAnsi="Times New Roman" w:cs="Times New Roman"/>
          <w:color w:val="000000" w:themeColor="text1"/>
          <w:sz w:val="24"/>
          <w:szCs w:val="24"/>
          <w:lang w:eastAsia="zh-CN"/>
        </w:rPr>
        <w:t>analysing</w:t>
      </w:r>
      <w:r w:rsidRPr="00880312">
        <w:rPr>
          <w:rFonts w:ascii="Times New Roman" w:eastAsia="DengXian" w:hAnsi="Times New Roman" w:cs="Times New Roman"/>
          <w:color w:val="000000" w:themeColor="text1"/>
          <w:sz w:val="24"/>
          <w:szCs w:val="24"/>
          <w:lang w:eastAsia="zh-CN"/>
        </w:rPr>
        <w:t xml:space="preserve"> the role of a gender-diverse board on bank risk culture. Gender diversity on board has recently gained recognition in corporate performance by serving a broader view of stakeholders (Arnaboldi et al., 2021). </w:t>
      </w:r>
      <w:bookmarkStart w:id="91" w:name="_Hlk115784028"/>
      <w:r w:rsidRPr="00880312">
        <w:rPr>
          <w:rFonts w:ascii="Times New Roman" w:eastAsia="DengXian" w:hAnsi="Times New Roman" w:cs="Times New Roman"/>
          <w:color w:val="000000" w:themeColor="text1"/>
          <w:sz w:val="24"/>
          <w:szCs w:val="24"/>
          <w:lang w:eastAsia="zh-CN"/>
        </w:rPr>
        <w:t xml:space="preserve">Prior literature reveals that </w:t>
      </w:r>
      <w:r w:rsidR="001E1179">
        <w:rPr>
          <w:rFonts w:ascii="Times New Roman" w:eastAsia="DengXian" w:hAnsi="Times New Roman" w:cs="Times New Roman"/>
          <w:color w:val="000000" w:themeColor="text1"/>
          <w:sz w:val="24"/>
          <w:szCs w:val="24"/>
          <w:lang w:eastAsia="zh-CN"/>
        </w:rPr>
        <w:t>gender</w:t>
      </w:r>
      <w:r w:rsidR="004D34A5">
        <w:rPr>
          <w:rFonts w:ascii="Times New Roman" w:eastAsia="DengXian" w:hAnsi="Times New Roman" w:cs="Times New Roman"/>
          <w:color w:val="000000" w:themeColor="text1"/>
          <w:sz w:val="24"/>
          <w:szCs w:val="24"/>
          <w:lang w:eastAsia="zh-CN"/>
        </w:rPr>
        <w:t>-</w:t>
      </w:r>
      <w:r w:rsidR="001E1179">
        <w:rPr>
          <w:rFonts w:ascii="Times New Roman" w:eastAsia="DengXian" w:hAnsi="Times New Roman" w:cs="Times New Roman"/>
          <w:color w:val="000000" w:themeColor="text1"/>
          <w:sz w:val="24"/>
          <w:szCs w:val="24"/>
          <w:lang w:eastAsia="zh-CN"/>
        </w:rPr>
        <w:t xml:space="preserve">diverse boards </w:t>
      </w:r>
      <w:r w:rsidRPr="00880312">
        <w:rPr>
          <w:rFonts w:ascii="Times New Roman" w:eastAsia="DengXian" w:hAnsi="Times New Roman" w:cs="Times New Roman"/>
          <w:color w:val="000000" w:themeColor="text1"/>
          <w:sz w:val="24"/>
          <w:szCs w:val="24"/>
          <w:lang w:eastAsia="zh-CN"/>
        </w:rPr>
        <w:t xml:space="preserve">reduce agency problems through improved corporate disclosure, board engagement, monitoring and risk-taking (Admas and Ferreira, 2009; Gul et al., 2011; Arnaboldi et al., 2021). </w:t>
      </w:r>
      <w:bookmarkEnd w:id="91"/>
      <w:r w:rsidR="001E1179">
        <w:rPr>
          <w:rFonts w:ascii="Times New Roman" w:eastAsia="DengXian" w:hAnsi="Times New Roman" w:cs="Times New Roman"/>
          <w:color w:val="000000" w:themeColor="text1"/>
          <w:sz w:val="24"/>
          <w:szCs w:val="24"/>
          <w:lang w:eastAsia="zh-CN"/>
        </w:rPr>
        <w:t>Furthermore, prior literature associates women with risk</w:t>
      </w:r>
      <w:r w:rsidR="004D34A5">
        <w:rPr>
          <w:rFonts w:ascii="Times New Roman" w:eastAsia="DengXian" w:hAnsi="Times New Roman" w:cs="Times New Roman"/>
          <w:color w:val="000000" w:themeColor="text1"/>
          <w:sz w:val="24"/>
          <w:szCs w:val="24"/>
          <w:lang w:eastAsia="zh-CN"/>
        </w:rPr>
        <w:t>-</w:t>
      </w:r>
      <w:r w:rsidR="001E1179">
        <w:rPr>
          <w:rFonts w:ascii="Times New Roman" w:eastAsia="DengXian" w:hAnsi="Times New Roman" w:cs="Times New Roman"/>
          <w:color w:val="000000" w:themeColor="text1"/>
          <w:sz w:val="24"/>
          <w:szCs w:val="24"/>
          <w:lang w:eastAsia="zh-CN"/>
        </w:rPr>
        <w:t xml:space="preserve">averse behaviour as the studies find </w:t>
      </w:r>
      <w:r w:rsidR="004D34A5">
        <w:rPr>
          <w:rFonts w:ascii="Times New Roman" w:eastAsia="DengXian" w:hAnsi="Times New Roman" w:cs="Times New Roman"/>
          <w:color w:val="000000" w:themeColor="text1"/>
          <w:sz w:val="24"/>
          <w:szCs w:val="24"/>
          <w:lang w:eastAsia="zh-CN"/>
        </w:rPr>
        <w:t xml:space="preserve">a </w:t>
      </w:r>
      <w:r w:rsidR="001E1179">
        <w:rPr>
          <w:rFonts w:ascii="Times New Roman" w:eastAsia="DengXian" w:hAnsi="Times New Roman" w:cs="Times New Roman"/>
          <w:color w:val="000000" w:themeColor="text1"/>
          <w:sz w:val="24"/>
          <w:szCs w:val="24"/>
          <w:lang w:eastAsia="zh-CN"/>
        </w:rPr>
        <w:t>negative relationship between female representation on board with insolvency risk (Wilson and Altanlar, 2011), higher proportion of men on board to be involved in mergers and acquisitions (Levi et al., 2014) and risky experiments (</w:t>
      </w:r>
      <w:bookmarkStart w:id="92" w:name="_Hlk115786474"/>
      <w:r w:rsidRPr="00880312">
        <w:rPr>
          <w:rFonts w:ascii="Times New Roman" w:eastAsia="DengXian" w:hAnsi="Times New Roman" w:cs="Times New Roman"/>
          <w:color w:val="000000" w:themeColor="text1"/>
          <w:sz w:val="24"/>
          <w:szCs w:val="24"/>
          <w:lang w:eastAsia="zh-CN"/>
        </w:rPr>
        <w:t>Byrnes et al.</w:t>
      </w:r>
      <w:r w:rsidR="001E1179">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1999)</w:t>
      </w:r>
      <w:r w:rsidR="001E1179">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w:t>
      </w:r>
      <w:bookmarkStart w:id="93" w:name="_Hlk115784487"/>
      <w:bookmarkEnd w:id="92"/>
      <w:r w:rsidRPr="00880312">
        <w:rPr>
          <w:rFonts w:ascii="Times New Roman" w:eastAsia="DengXian" w:hAnsi="Times New Roman" w:cs="Times New Roman"/>
          <w:color w:val="000000" w:themeColor="text1"/>
          <w:sz w:val="24"/>
          <w:szCs w:val="24"/>
          <w:lang w:eastAsia="zh-CN"/>
        </w:rPr>
        <w:t xml:space="preserve">These differences find their ground in social role </w:t>
      </w:r>
      <w:r w:rsidR="001E1179" w:rsidRPr="00880312">
        <w:rPr>
          <w:rFonts w:ascii="Times New Roman" w:eastAsia="DengXian" w:hAnsi="Times New Roman" w:cs="Times New Roman"/>
          <w:color w:val="000000" w:themeColor="text1"/>
          <w:sz w:val="24"/>
          <w:szCs w:val="24"/>
          <w:lang w:eastAsia="zh-CN"/>
        </w:rPr>
        <w:t xml:space="preserve">theory </w:t>
      </w:r>
      <w:r w:rsidRPr="00880312">
        <w:rPr>
          <w:rFonts w:ascii="Times New Roman" w:eastAsia="DengXian" w:hAnsi="Times New Roman" w:cs="Times New Roman"/>
          <w:color w:val="000000" w:themeColor="text1"/>
          <w:sz w:val="24"/>
          <w:szCs w:val="24"/>
          <w:lang w:eastAsia="zh-CN"/>
        </w:rPr>
        <w:t xml:space="preserve">which </w:t>
      </w:r>
      <w:r w:rsidR="001E1179" w:rsidRPr="00880312">
        <w:rPr>
          <w:rFonts w:ascii="Times New Roman" w:eastAsia="DengXian" w:hAnsi="Times New Roman" w:cs="Times New Roman"/>
          <w:color w:val="000000" w:themeColor="text1"/>
          <w:sz w:val="24"/>
          <w:szCs w:val="24"/>
          <w:lang w:eastAsia="zh-CN"/>
        </w:rPr>
        <w:t>suggests</w:t>
      </w:r>
      <w:r w:rsidRPr="00880312">
        <w:rPr>
          <w:rFonts w:ascii="Times New Roman" w:eastAsia="DengXian" w:hAnsi="Times New Roman" w:cs="Times New Roman"/>
          <w:color w:val="000000" w:themeColor="text1"/>
          <w:sz w:val="24"/>
          <w:szCs w:val="24"/>
          <w:lang w:eastAsia="zh-CN"/>
        </w:rPr>
        <w:t xml:space="preserve"> that males and females </w:t>
      </w:r>
      <w:r w:rsidR="001E1179">
        <w:rPr>
          <w:rFonts w:ascii="Times New Roman" w:eastAsia="DengXian" w:hAnsi="Times New Roman" w:cs="Times New Roman"/>
          <w:color w:val="000000" w:themeColor="text1"/>
          <w:sz w:val="24"/>
          <w:szCs w:val="24"/>
          <w:lang w:eastAsia="zh-CN"/>
        </w:rPr>
        <w:t>learn different</w:t>
      </w:r>
      <w:r w:rsidRPr="00880312">
        <w:rPr>
          <w:rFonts w:ascii="Times New Roman" w:eastAsia="DengXian" w:hAnsi="Times New Roman" w:cs="Times New Roman"/>
          <w:color w:val="000000" w:themeColor="text1"/>
          <w:sz w:val="24"/>
          <w:szCs w:val="24"/>
          <w:lang w:eastAsia="zh-CN"/>
        </w:rPr>
        <w:t xml:space="preserve"> behaviours as a part of their upbringing, making women more </w:t>
      </w:r>
      <w:r w:rsidR="001E1179" w:rsidRPr="00880312">
        <w:rPr>
          <w:rFonts w:ascii="Times New Roman" w:eastAsia="DengXian" w:hAnsi="Times New Roman" w:cs="Times New Roman"/>
          <w:color w:val="000000" w:themeColor="text1"/>
          <w:sz w:val="24"/>
          <w:szCs w:val="24"/>
          <w:lang w:eastAsia="zh-CN"/>
        </w:rPr>
        <w:t>considerate</w:t>
      </w:r>
      <w:r w:rsidRPr="00880312">
        <w:rPr>
          <w:rFonts w:ascii="Times New Roman" w:eastAsia="DengXian" w:hAnsi="Times New Roman" w:cs="Times New Roman"/>
          <w:color w:val="000000" w:themeColor="text1"/>
          <w:sz w:val="24"/>
          <w:szCs w:val="24"/>
          <w:lang w:eastAsia="zh-CN"/>
        </w:rPr>
        <w:t xml:space="preserve">, </w:t>
      </w:r>
      <w:r w:rsidR="001E1179" w:rsidRPr="00880312">
        <w:rPr>
          <w:rFonts w:ascii="Times New Roman" w:eastAsia="DengXian" w:hAnsi="Times New Roman" w:cs="Times New Roman"/>
          <w:color w:val="000000" w:themeColor="text1"/>
          <w:sz w:val="24"/>
          <w:szCs w:val="24"/>
          <w:lang w:eastAsia="zh-CN"/>
        </w:rPr>
        <w:t>sympathetic</w:t>
      </w:r>
      <w:r w:rsidRPr="00880312">
        <w:rPr>
          <w:rFonts w:ascii="Times New Roman" w:eastAsia="DengXian" w:hAnsi="Times New Roman" w:cs="Times New Roman"/>
          <w:color w:val="000000" w:themeColor="text1"/>
          <w:sz w:val="24"/>
          <w:szCs w:val="24"/>
          <w:lang w:eastAsia="zh-CN"/>
        </w:rPr>
        <w:t xml:space="preserve">, and </w:t>
      </w:r>
      <w:r w:rsidR="001E1179" w:rsidRPr="00880312">
        <w:rPr>
          <w:rFonts w:ascii="Times New Roman" w:eastAsia="DengXian" w:hAnsi="Times New Roman" w:cs="Times New Roman"/>
          <w:color w:val="000000" w:themeColor="text1"/>
          <w:sz w:val="24"/>
          <w:szCs w:val="24"/>
          <w:lang w:eastAsia="zh-CN"/>
        </w:rPr>
        <w:t>focused</w:t>
      </w:r>
      <w:r w:rsidRPr="00880312">
        <w:rPr>
          <w:rFonts w:ascii="Times New Roman" w:eastAsia="DengXian" w:hAnsi="Times New Roman" w:cs="Times New Roman"/>
          <w:color w:val="000000" w:themeColor="text1"/>
          <w:sz w:val="24"/>
          <w:szCs w:val="24"/>
          <w:lang w:eastAsia="zh-CN"/>
        </w:rPr>
        <w:t xml:space="preserve"> to others' needs. </w:t>
      </w:r>
      <w:bookmarkEnd w:id="93"/>
      <w:r w:rsidRPr="00880312">
        <w:rPr>
          <w:rFonts w:ascii="Times New Roman" w:eastAsia="DengXian" w:hAnsi="Times New Roman" w:cs="Times New Roman"/>
          <w:color w:val="000000" w:themeColor="text1"/>
          <w:sz w:val="24"/>
          <w:szCs w:val="24"/>
          <w:lang w:eastAsia="zh-CN"/>
        </w:rPr>
        <w:t xml:space="preserve">Hence, </w:t>
      </w:r>
      <w:r w:rsidR="001E1179">
        <w:rPr>
          <w:rFonts w:ascii="Times New Roman" w:eastAsia="DengXian" w:hAnsi="Times New Roman" w:cs="Times New Roman"/>
          <w:color w:val="000000" w:themeColor="text1"/>
          <w:sz w:val="24"/>
          <w:szCs w:val="24"/>
          <w:lang w:eastAsia="zh-CN"/>
        </w:rPr>
        <w:t xml:space="preserve">the general perception is that female directors have more stakeholder orientations and less inclination to follow personal goals </w:t>
      </w:r>
      <w:r w:rsidRPr="00880312">
        <w:rPr>
          <w:rFonts w:ascii="Times New Roman" w:eastAsia="DengXian" w:hAnsi="Times New Roman" w:cs="Times New Roman"/>
          <w:color w:val="000000" w:themeColor="text1"/>
          <w:sz w:val="24"/>
          <w:szCs w:val="24"/>
          <w:lang w:eastAsia="zh-CN"/>
        </w:rPr>
        <w:t>(Adams et al., 2011; Matsa and Miller, 2013</w:t>
      </w:r>
      <w:r w:rsidR="001E1179">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Levi et al., 2014). </w:t>
      </w:r>
    </w:p>
    <w:p w14:paraId="220D5361" w14:textId="03C310CB"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Apart from </w:t>
      </w:r>
      <w:r w:rsidR="00742375">
        <w:rPr>
          <w:rFonts w:ascii="Times New Roman" w:eastAsia="DengXian" w:hAnsi="Times New Roman" w:cs="Times New Roman"/>
          <w:color w:val="000000" w:themeColor="text1"/>
          <w:sz w:val="24"/>
          <w:szCs w:val="24"/>
          <w:lang w:eastAsia="zh-CN"/>
        </w:rPr>
        <w:t>more significant</w:t>
      </w:r>
      <w:r w:rsidRPr="00880312">
        <w:rPr>
          <w:rFonts w:ascii="Times New Roman" w:eastAsia="DengXian" w:hAnsi="Times New Roman" w:cs="Times New Roman"/>
          <w:color w:val="000000" w:themeColor="text1"/>
          <w:sz w:val="24"/>
          <w:szCs w:val="24"/>
          <w:lang w:eastAsia="zh-CN"/>
        </w:rPr>
        <w:t xml:space="preserve"> </w:t>
      </w:r>
      <w:r w:rsidR="001A1D5E" w:rsidRPr="00880312">
        <w:rPr>
          <w:rFonts w:ascii="Times New Roman" w:eastAsia="DengXian" w:hAnsi="Times New Roman" w:cs="Times New Roman"/>
          <w:color w:val="000000" w:themeColor="text1"/>
          <w:sz w:val="24"/>
          <w:szCs w:val="24"/>
          <w:lang w:eastAsia="zh-CN"/>
        </w:rPr>
        <w:t>societal</w:t>
      </w:r>
      <w:r w:rsidRPr="00880312">
        <w:rPr>
          <w:rFonts w:ascii="Times New Roman" w:eastAsia="DengXian" w:hAnsi="Times New Roman" w:cs="Times New Roman"/>
          <w:color w:val="000000" w:themeColor="text1"/>
          <w:sz w:val="24"/>
          <w:szCs w:val="24"/>
          <w:lang w:eastAsia="zh-CN"/>
        </w:rPr>
        <w:t xml:space="preserve"> </w:t>
      </w:r>
      <w:r w:rsidR="001A1D5E">
        <w:rPr>
          <w:rFonts w:ascii="Times New Roman" w:eastAsia="DengXian" w:hAnsi="Times New Roman" w:cs="Times New Roman"/>
          <w:color w:val="000000" w:themeColor="text1"/>
          <w:sz w:val="24"/>
          <w:szCs w:val="24"/>
          <w:lang w:eastAsia="zh-CN"/>
        </w:rPr>
        <w:t>concern</w:t>
      </w:r>
      <w:r w:rsidR="00742375">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females </w:t>
      </w:r>
      <w:r w:rsidR="001A1D5E">
        <w:rPr>
          <w:rFonts w:ascii="Times New Roman" w:eastAsia="DengXian" w:hAnsi="Times New Roman" w:cs="Times New Roman"/>
          <w:color w:val="000000" w:themeColor="text1"/>
          <w:sz w:val="24"/>
          <w:szCs w:val="24"/>
          <w:lang w:eastAsia="zh-CN"/>
        </w:rPr>
        <w:t>execute more ethical and moral conduct in</w:t>
      </w:r>
      <w:r w:rsidRPr="00880312">
        <w:rPr>
          <w:rFonts w:ascii="Times New Roman" w:eastAsia="DengXian" w:hAnsi="Times New Roman" w:cs="Times New Roman"/>
          <w:color w:val="000000" w:themeColor="text1"/>
          <w:sz w:val="24"/>
          <w:szCs w:val="24"/>
          <w:lang w:eastAsia="zh-CN"/>
        </w:rPr>
        <w:t xml:space="preserve"> companies (McGuinness et al., 2017). Previous literature </w:t>
      </w:r>
      <w:r w:rsidR="001A1D5E" w:rsidRPr="00880312">
        <w:rPr>
          <w:rFonts w:ascii="Times New Roman" w:eastAsia="DengXian" w:hAnsi="Times New Roman" w:cs="Times New Roman"/>
          <w:color w:val="000000" w:themeColor="text1"/>
          <w:sz w:val="24"/>
          <w:szCs w:val="24"/>
          <w:lang w:eastAsia="zh-CN"/>
        </w:rPr>
        <w:t>observes</w:t>
      </w:r>
      <w:r w:rsidRPr="00880312">
        <w:rPr>
          <w:rFonts w:ascii="Times New Roman" w:eastAsia="DengXian" w:hAnsi="Times New Roman" w:cs="Times New Roman"/>
          <w:color w:val="000000" w:themeColor="text1"/>
          <w:sz w:val="24"/>
          <w:szCs w:val="24"/>
          <w:lang w:eastAsia="zh-CN"/>
        </w:rPr>
        <w:t xml:space="preserve"> </w:t>
      </w:r>
      <w:r w:rsidR="001A1D5E">
        <w:rPr>
          <w:rFonts w:ascii="Times New Roman" w:eastAsia="DengXian" w:hAnsi="Times New Roman" w:cs="Times New Roman"/>
          <w:color w:val="000000" w:themeColor="text1"/>
          <w:sz w:val="24"/>
          <w:szCs w:val="24"/>
          <w:lang w:eastAsia="zh-CN"/>
        </w:rPr>
        <w:t xml:space="preserve">increased board gender diversity </w:t>
      </w:r>
      <w:r w:rsidR="001A1D5E" w:rsidRPr="00880312">
        <w:rPr>
          <w:rFonts w:ascii="Times New Roman" w:eastAsia="DengXian" w:hAnsi="Times New Roman" w:cs="Times New Roman"/>
          <w:color w:val="000000" w:themeColor="text1"/>
          <w:sz w:val="24"/>
          <w:szCs w:val="24"/>
          <w:lang w:eastAsia="zh-CN"/>
        </w:rPr>
        <w:t>linked</w:t>
      </w:r>
      <w:r w:rsidRPr="00880312">
        <w:rPr>
          <w:rFonts w:ascii="Times New Roman" w:eastAsia="DengXian" w:hAnsi="Times New Roman" w:cs="Times New Roman"/>
          <w:color w:val="000000" w:themeColor="text1"/>
          <w:sz w:val="24"/>
          <w:szCs w:val="24"/>
          <w:lang w:eastAsia="zh-CN"/>
        </w:rPr>
        <w:t xml:space="preserve"> with </w:t>
      </w:r>
      <w:r w:rsidR="005900FD" w:rsidRPr="00880312">
        <w:rPr>
          <w:rFonts w:ascii="Times New Roman" w:eastAsia="DengXian" w:hAnsi="Times New Roman" w:cs="Times New Roman"/>
          <w:color w:val="000000" w:themeColor="text1"/>
          <w:sz w:val="24"/>
          <w:szCs w:val="24"/>
          <w:lang w:eastAsia="zh-CN"/>
        </w:rPr>
        <w:t>less</w:t>
      </w:r>
      <w:r w:rsidRPr="00880312">
        <w:rPr>
          <w:rFonts w:ascii="Times New Roman" w:eastAsia="DengXian" w:hAnsi="Times New Roman" w:cs="Times New Roman"/>
          <w:color w:val="000000" w:themeColor="text1"/>
          <w:sz w:val="24"/>
          <w:szCs w:val="24"/>
          <w:lang w:eastAsia="zh-CN"/>
        </w:rPr>
        <w:t xml:space="preserve"> </w:t>
      </w:r>
      <w:r w:rsidR="005900FD">
        <w:rPr>
          <w:rFonts w:ascii="Times New Roman" w:eastAsia="DengXian" w:hAnsi="Times New Roman" w:cs="Times New Roman"/>
          <w:color w:val="000000" w:themeColor="text1"/>
          <w:sz w:val="24"/>
          <w:szCs w:val="24"/>
          <w:lang w:eastAsia="zh-CN"/>
        </w:rPr>
        <w:t xml:space="preserve">incidents of </w:t>
      </w:r>
      <w:r w:rsidRPr="00880312">
        <w:rPr>
          <w:rFonts w:ascii="Times New Roman" w:eastAsia="DengXian" w:hAnsi="Times New Roman" w:cs="Times New Roman"/>
          <w:color w:val="000000" w:themeColor="text1"/>
          <w:sz w:val="24"/>
          <w:szCs w:val="24"/>
          <w:lang w:eastAsia="zh-CN"/>
        </w:rPr>
        <w:t xml:space="preserve">accounting misconduct (Garcia Lara et al.,2017; Arnaboldi et al., 2021, reduction in security frauds (Cumming et al., 2015), fewer financial reporting mistakes (Wahid, 2019) and fewer corporate environmental violation (Liu, 2018). Contrary to gender socialization theory, </w:t>
      </w:r>
      <w:r w:rsidR="005900FD" w:rsidRPr="00880312">
        <w:rPr>
          <w:rFonts w:ascii="Times New Roman" w:eastAsia="DengXian" w:hAnsi="Times New Roman" w:cs="Times New Roman"/>
          <w:color w:val="000000" w:themeColor="text1"/>
          <w:sz w:val="24"/>
          <w:szCs w:val="24"/>
          <w:lang w:eastAsia="zh-CN"/>
        </w:rPr>
        <w:t>Arnaboldi</w:t>
      </w:r>
      <w:r w:rsidRPr="00880312">
        <w:rPr>
          <w:rFonts w:ascii="Times New Roman" w:eastAsia="DengXian" w:hAnsi="Times New Roman" w:cs="Times New Roman"/>
          <w:color w:val="000000" w:themeColor="text1"/>
          <w:sz w:val="24"/>
          <w:szCs w:val="24"/>
          <w:lang w:eastAsia="zh-CN"/>
        </w:rPr>
        <w:t xml:space="preserve"> et al. (2021) attribute these </w:t>
      </w:r>
      <w:r w:rsidR="00827019">
        <w:rPr>
          <w:rFonts w:ascii="Times New Roman" w:eastAsia="DengXian" w:hAnsi="Times New Roman" w:cs="Times New Roman"/>
          <w:color w:val="000000" w:themeColor="text1"/>
          <w:sz w:val="24"/>
          <w:szCs w:val="24"/>
          <w:lang w:eastAsia="zh-CN"/>
        </w:rPr>
        <w:t>behaviours to unequal treatment where female employees, once found guilty, face strict penaltie</w:t>
      </w:r>
      <w:r w:rsidR="005900FD">
        <w:rPr>
          <w:rFonts w:ascii="Times New Roman" w:eastAsia="DengXian" w:hAnsi="Times New Roman" w:cs="Times New Roman"/>
          <w:color w:val="000000" w:themeColor="text1"/>
          <w:sz w:val="24"/>
          <w:szCs w:val="24"/>
          <w:lang w:eastAsia="zh-CN"/>
        </w:rPr>
        <w:t>s compared to their male colleagues</w:t>
      </w:r>
      <w:r w:rsidRPr="00880312">
        <w:rPr>
          <w:rFonts w:ascii="Times New Roman" w:eastAsia="DengXian" w:hAnsi="Times New Roman" w:cs="Times New Roman"/>
          <w:color w:val="000000" w:themeColor="text1"/>
          <w:sz w:val="24"/>
          <w:szCs w:val="24"/>
          <w:lang w:eastAsia="zh-CN"/>
        </w:rPr>
        <w:t xml:space="preserve">. Similarly, </w:t>
      </w:r>
      <w:r w:rsidR="005900FD">
        <w:rPr>
          <w:rFonts w:ascii="Times New Roman" w:eastAsia="DengXian" w:hAnsi="Times New Roman" w:cs="Times New Roman"/>
          <w:color w:val="000000" w:themeColor="text1"/>
          <w:sz w:val="24"/>
          <w:szCs w:val="24"/>
          <w:lang w:eastAsia="zh-CN"/>
        </w:rPr>
        <w:t>a study by Egan et al. (2018) reveals gender punishment gaps in the financial sector</w:t>
      </w:r>
      <w:r w:rsidR="00827019">
        <w:rPr>
          <w:rFonts w:ascii="Times New Roman" w:eastAsia="DengXian" w:hAnsi="Times New Roman" w:cs="Times New Roman"/>
          <w:color w:val="000000" w:themeColor="text1"/>
          <w:sz w:val="24"/>
          <w:szCs w:val="24"/>
          <w:lang w:eastAsia="zh-CN"/>
        </w:rPr>
        <w:t>,</w:t>
      </w:r>
      <w:r w:rsidR="005900FD">
        <w:rPr>
          <w:rFonts w:ascii="Times New Roman" w:eastAsia="DengXian" w:hAnsi="Times New Roman" w:cs="Times New Roman"/>
          <w:color w:val="000000" w:themeColor="text1"/>
          <w:sz w:val="24"/>
          <w:szCs w:val="24"/>
          <w:lang w:eastAsia="zh-CN"/>
        </w:rPr>
        <w:t xml:space="preserve"> with women penalized more </w:t>
      </w:r>
      <w:r w:rsidR="00827019">
        <w:rPr>
          <w:rFonts w:ascii="Times New Roman" w:eastAsia="DengXian" w:hAnsi="Times New Roman" w:cs="Times New Roman"/>
          <w:color w:val="000000" w:themeColor="text1"/>
          <w:sz w:val="24"/>
          <w:szCs w:val="24"/>
          <w:lang w:eastAsia="zh-CN"/>
        </w:rPr>
        <w:t>than</w:t>
      </w:r>
      <w:r w:rsidR="005900FD">
        <w:rPr>
          <w:rFonts w:ascii="Times New Roman" w:eastAsia="DengXian" w:hAnsi="Times New Roman" w:cs="Times New Roman"/>
          <w:color w:val="000000" w:themeColor="text1"/>
          <w:sz w:val="24"/>
          <w:szCs w:val="24"/>
          <w:lang w:eastAsia="zh-CN"/>
        </w:rPr>
        <w:t xml:space="preserve"> men. </w:t>
      </w:r>
      <w:r w:rsidRPr="00880312">
        <w:rPr>
          <w:rFonts w:ascii="Times New Roman" w:eastAsia="DengXian" w:hAnsi="Times New Roman" w:cs="Times New Roman"/>
          <w:color w:val="000000" w:themeColor="text1"/>
          <w:sz w:val="24"/>
          <w:szCs w:val="24"/>
          <w:lang w:eastAsia="zh-CN"/>
        </w:rPr>
        <w:t xml:space="preserve">The author documents </w:t>
      </w:r>
      <w:r w:rsidR="005900FD">
        <w:rPr>
          <w:rFonts w:ascii="Times New Roman" w:eastAsia="DengXian" w:hAnsi="Times New Roman" w:cs="Times New Roman"/>
          <w:color w:val="000000" w:themeColor="text1"/>
          <w:sz w:val="24"/>
          <w:szCs w:val="24"/>
          <w:lang w:eastAsia="zh-CN"/>
        </w:rPr>
        <w:t xml:space="preserve">20% more probability of job loss for female advisors </w:t>
      </w:r>
      <w:r w:rsidRPr="00880312">
        <w:rPr>
          <w:rFonts w:ascii="Times New Roman" w:eastAsia="DengXian" w:hAnsi="Times New Roman" w:cs="Times New Roman"/>
          <w:color w:val="000000" w:themeColor="text1"/>
          <w:sz w:val="24"/>
          <w:szCs w:val="24"/>
          <w:lang w:eastAsia="zh-CN"/>
        </w:rPr>
        <w:t xml:space="preserve">following an incident of misconduct and 30% less </w:t>
      </w:r>
      <w:r w:rsidR="005900FD">
        <w:rPr>
          <w:rFonts w:ascii="Times New Roman" w:eastAsia="DengXian" w:hAnsi="Times New Roman" w:cs="Times New Roman"/>
          <w:color w:val="000000" w:themeColor="text1"/>
          <w:sz w:val="24"/>
          <w:szCs w:val="24"/>
          <w:lang w:eastAsia="zh-CN"/>
        </w:rPr>
        <w:t>chance</w:t>
      </w:r>
      <w:r w:rsidR="005900FD"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to </w:t>
      </w:r>
      <w:r w:rsidR="00827019" w:rsidRPr="00880312">
        <w:rPr>
          <w:rFonts w:ascii="Times New Roman" w:eastAsia="DengXian" w:hAnsi="Times New Roman" w:cs="Times New Roman"/>
          <w:color w:val="000000" w:themeColor="text1"/>
          <w:sz w:val="24"/>
          <w:szCs w:val="24"/>
          <w:lang w:eastAsia="zh-CN"/>
        </w:rPr>
        <w:t>get</w:t>
      </w:r>
      <w:r w:rsidRPr="00880312">
        <w:rPr>
          <w:rFonts w:ascii="Times New Roman" w:eastAsia="DengXian" w:hAnsi="Times New Roman" w:cs="Times New Roman"/>
          <w:color w:val="000000" w:themeColor="text1"/>
          <w:sz w:val="24"/>
          <w:szCs w:val="24"/>
          <w:lang w:eastAsia="zh-CN"/>
        </w:rPr>
        <w:t xml:space="preserve"> </w:t>
      </w:r>
      <w:r w:rsidR="00827019" w:rsidRPr="00880312">
        <w:rPr>
          <w:rFonts w:ascii="Times New Roman" w:eastAsia="DengXian" w:hAnsi="Times New Roman" w:cs="Times New Roman"/>
          <w:color w:val="000000" w:themeColor="text1"/>
          <w:sz w:val="24"/>
          <w:szCs w:val="24"/>
          <w:lang w:eastAsia="zh-CN"/>
        </w:rPr>
        <w:t>another</w:t>
      </w:r>
      <w:r w:rsidRPr="00880312">
        <w:rPr>
          <w:rFonts w:ascii="Times New Roman" w:eastAsia="DengXian" w:hAnsi="Times New Roman" w:cs="Times New Roman"/>
          <w:color w:val="000000" w:themeColor="text1"/>
          <w:sz w:val="24"/>
          <w:szCs w:val="24"/>
          <w:lang w:eastAsia="zh-CN"/>
        </w:rPr>
        <w:t xml:space="preserve"> job than </w:t>
      </w:r>
      <w:r w:rsidR="00827019">
        <w:rPr>
          <w:rFonts w:ascii="Times New Roman" w:eastAsia="DengXian" w:hAnsi="Times New Roman" w:cs="Times New Roman"/>
          <w:color w:val="000000" w:themeColor="text1"/>
          <w:sz w:val="24"/>
          <w:szCs w:val="24"/>
          <w:lang w:eastAsia="zh-CN"/>
        </w:rPr>
        <w:t xml:space="preserve">their </w:t>
      </w:r>
      <w:r w:rsidRPr="00880312">
        <w:rPr>
          <w:rFonts w:ascii="Times New Roman" w:eastAsia="DengXian" w:hAnsi="Times New Roman" w:cs="Times New Roman"/>
          <w:color w:val="000000" w:themeColor="text1"/>
          <w:sz w:val="24"/>
          <w:szCs w:val="24"/>
          <w:lang w:eastAsia="zh-CN"/>
        </w:rPr>
        <w:t xml:space="preserve">male </w:t>
      </w:r>
      <w:r w:rsidR="00827019">
        <w:rPr>
          <w:rFonts w:ascii="Times New Roman" w:eastAsia="DengXian" w:hAnsi="Times New Roman" w:cs="Times New Roman"/>
          <w:color w:val="000000" w:themeColor="text1"/>
          <w:sz w:val="24"/>
          <w:szCs w:val="24"/>
          <w:lang w:eastAsia="zh-CN"/>
        </w:rPr>
        <w:t>counterparts</w:t>
      </w:r>
      <w:r w:rsidRPr="00880312">
        <w:rPr>
          <w:rFonts w:ascii="Times New Roman" w:eastAsia="DengXian" w:hAnsi="Times New Roman" w:cs="Times New Roman"/>
          <w:color w:val="000000" w:themeColor="text1"/>
          <w:sz w:val="24"/>
          <w:szCs w:val="24"/>
          <w:lang w:eastAsia="zh-CN"/>
        </w:rPr>
        <w:t xml:space="preserve">. Following these arguments, one can </w:t>
      </w:r>
      <w:r w:rsidR="00827019">
        <w:rPr>
          <w:rFonts w:ascii="Times New Roman" w:eastAsia="DengXian" w:hAnsi="Times New Roman" w:cs="Times New Roman"/>
          <w:color w:val="000000" w:themeColor="text1"/>
          <w:sz w:val="24"/>
          <w:szCs w:val="24"/>
          <w:lang w:eastAsia="zh-CN"/>
        </w:rPr>
        <w:t>claim</w:t>
      </w:r>
      <w:r w:rsidRPr="00880312">
        <w:rPr>
          <w:rFonts w:ascii="Times New Roman" w:eastAsia="DengXian" w:hAnsi="Times New Roman" w:cs="Times New Roman"/>
          <w:color w:val="000000" w:themeColor="text1"/>
          <w:sz w:val="24"/>
          <w:szCs w:val="24"/>
          <w:lang w:eastAsia="zh-CN"/>
        </w:rPr>
        <w:t xml:space="preserve"> that </w:t>
      </w:r>
      <w:r w:rsidR="00827019">
        <w:rPr>
          <w:rFonts w:ascii="Times New Roman" w:eastAsia="DengXian" w:hAnsi="Times New Roman" w:cs="Times New Roman"/>
          <w:color w:val="000000" w:themeColor="text1"/>
          <w:sz w:val="24"/>
          <w:szCs w:val="24"/>
          <w:lang w:eastAsia="zh-CN"/>
        </w:rPr>
        <w:t xml:space="preserve">the prevailing organisational culture penalizes women more in an incident of misconduct; thus, women are more cautious and </w:t>
      </w:r>
      <w:r w:rsidRPr="00880312">
        <w:rPr>
          <w:rFonts w:ascii="Times New Roman" w:eastAsia="DengXian" w:hAnsi="Times New Roman" w:cs="Times New Roman"/>
          <w:color w:val="000000" w:themeColor="text1"/>
          <w:sz w:val="24"/>
          <w:szCs w:val="24"/>
          <w:lang w:eastAsia="zh-CN"/>
        </w:rPr>
        <w:t xml:space="preserve">take less risk (Arnaboldi et al., 2021). </w:t>
      </w:r>
    </w:p>
    <w:p w14:paraId="74446536" w14:textId="67ACC3B0" w:rsidR="00880312" w:rsidRPr="00880312" w:rsidRDefault="00742375" w:rsidP="00880312">
      <w:pPr>
        <w:spacing w:line="480" w:lineRule="auto"/>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sz w:val="24"/>
          <w:szCs w:val="24"/>
          <w:lang w:eastAsia="zh-CN"/>
        </w:rPr>
        <w:t xml:space="preserve">Moreover, prior </w:t>
      </w:r>
      <w:r w:rsidR="00880312" w:rsidRPr="00880312">
        <w:rPr>
          <w:rFonts w:ascii="Times New Roman" w:eastAsia="DengXian" w:hAnsi="Times New Roman" w:cs="Times New Roman"/>
          <w:sz w:val="24"/>
          <w:szCs w:val="24"/>
          <w:lang w:eastAsia="zh-CN"/>
        </w:rPr>
        <w:t>literature treats board gender diversity as an independent variable (Byrnes et al.,1999;</w:t>
      </w:r>
      <w:r w:rsidR="00880312" w:rsidRPr="00880312">
        <w:rPr>
          <w:rFonts w:ascii="Times New Roman" w:eastAsia="DengXian" w:hAnsi="Times New Roman" w:cs="Times New Roman"/>
          <w:color w:val="000000" w:themeColor="text1"/>
          <w:sz w:val="24"/>
          <w:szCs w:val="24"/>
          <w:lang w:eastAsia="zh-CN"/>
        </w:rPr>
        <w:t xml:space="preserve"> </w:t>
      </w:r>
      <w:r w:rsidR="00880312" w:rsidRPr="00880312">
        <w:rPr>
          <w:rFonts w:ascii="Times New Roman" w:eastAsia="DengXian" w:hAnsi="Times New Roman" w:cs="Times New Roman"/>
          <w:sz w:val="24"/>
          <w:szCs w:val="24"/>
          <w:lang w:eastAsia="zh-CN"/>
        </w:rPr>
        <w:t xml:space="preserve">Wilson and Altanlar, 2011; Berger et al., 2014; Adams &amp; Ferreira, 2009; Gregory, Jeanes, Tharyan &amp; Tonks, 2013). Recently Zattoni et al. (2022) conducted a systematic literature review on board gender diversity and found that relatively few studies have explored board diversity as moderating variable. </w:t>
      </w:r>
      <w:r>
        <w:rPr>
          <w:rFonts w:ascii="Times New Roman" w:eastAsia="DengXian" w:hAnsi="Times New Roman" w:cs="Times New Roman"/>
          <w:sz w:val="24"/>
          <w:szCs w:val="24"/>
          <w:lang w:eastAsia="zh-CN"/>
        </w:rPr>
        <w:t xml:space="preserve">For example, </w:t>
      </w:r>
      <w:r w:rsidR="00880312" w:rsidRPr="00880312">
        <w:rPr>
          <w:rFonts w:ascii="Times New Roman" w:eastAsia="DengXian" w:hAnsi="Times New Roman" w:cs="Times New Roman"/>
          <w:sz w:val="24"/>
          <w:szCs w:val="24"/>
          <w:lang w:eastAsia="zh-CN"/>
        </w:rPr>
        <w:t xml:space="preserve">Triana et al. (2014) show that female directors' power positively moderates the board gender diversity's impact on strategic change. Tuggle et al. (2022) emphasize that an increase in females or </w:t>
      </w:r>
      <w:r w:rsidR="00827019">
        <w:rPr>
          <w:rFonts w:ascii="Times New Roman" w:eastAsia="DengXian" w:hAnsi="Times New Roman" w:cs="Times New Roman"/>
          <w:sz w:val="24"/>
          <w:szCs w:val="24"/>
          <w:lang w:eastAsia="zh-CN"/>
        </w:rPr>
        <w:t xml:space="preserve">the </w:t>
      </w:r>
      <w:r w:rsidR="00880312" w:rsidRPr="00880312">
        <w:rPr>
          <w:rFonts w:ascii="Times New Roman" w:eastAsia="DengXian" w:hAnsi="Times New Roman" w:cs="Times New Roman"/>
          <w:sz w:val="24"/>
          <w:szCs w:val="24"/>
          <w:lang w:eastAsia="zh-CN"/>
        </w:rPr>
        <w:t xml:space="preserve">presence of black </w:t>
      </w:r>
      <w:r w:rsidR="00827019" w:rsidRPr="00880312">
        <w:rPr>
          <w:rFonts w:ascii="Times New Roman" w:eastAsia="DengXian" w:hAnsi="Times New Roman" w:cs="Times New Roman"/>
          <w:sz w:val="24"/>
          <w:szCs w:val="24"/>
          <w:lang w:eastAsia="zh-CN"/>
        </w:rPr>
        <w:t>minorit</w:t>
      </w:r>
      <w:r w:rsidR="00827019">
        <w:rPr>
          <w:rFonts w:ascii="Times New Roman" w:eastAsia="DengXian" w:hAnsi="Times New Roman" w:cs="Times New Roman"/>
          <w:sz w:val="24"/>
          <w:szCs w:val="24"/>
          <w:lang w:eastAsia="zh-CN"/>
        </w:rPr>
        <w:t>ies</w:t>
      </w:r>
      <w:r w:rsidR="00827019" w:rsidRPr="00880312">
        <w:rPr>
          <w:rFonts w:ascii="Times New Roman" w:eastAsia="DengXian" w:hAnsi="Times New Roman" w:cs="Times New Roman"/>
          <w:sz w:val="24"/>
          <w:szCs w:val="24"/>
          <w:lang w:eastAsia="zh-CN"/>
        </w:rPr>
        <w:t xml:space="preserve"> </w:t>
      </w:r>
      <w:r w:rsidR="00880312" w:rsidRPr="00880312">
        <w:rPr>
          <w:rFonts w:ascii="Times New Roman" w:eastAsia="DengXian" w:hAnsi="Times New Roman" w:cs="Times New Roman"/>
          <w:sz w:val="24"/>
          <w:szCs w:val="24"/>
          <w:lang w:eastAsia="zh-CN"/>
        </w:rPr>
        <w:t xml:space="preserve">on the board positively moderates the negative relationship between underrepresented demographic directors and their participation in board </w:t>
      </w:r>
      <w:r w:rsidR="00057265" w:rsidRPr="00880312">
        <w:rPr>
          <w:rFonts w:ascii="Times New Roman" w:eastAsia="DengXian" w:hAnsi="Times New Roman" w:cs="Times New Roman"/>
          <w:sz w:val="24"/>
          <w:szCs w:val="24"/>
          <w:lang w:eastAsia="zh-CN"/>
        </w:rPr>
        <w:t>meetings.</w:t>
      </w:r>
    </w:p>
    <w:p w14:paraId="7EEBB290" w14:textId="0E7183BA"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In line with the above literature exploring a link between governance structure as moderating the baseline relationship between risk culture and firm value (Tuggle et al., 2022; Tirana et al., 2014; Lingel and Sheedy, 2012; Grennan, 2019; Guiso et al., 2015) and the stream of literature emphasizing female directors to be more socially responsible and more ethical, we propose the following hypothesis.</w:t>
      </w:r>
    </w:p>
    <w:p w14:paraId="332E3886" w14:textId="69DC1F63" w:rsidR="00EE79B1" w:rsidRDefault="00880312" w:rsidP="00880312">
      <w:pPr>
        <w:spacing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b/>
          <w:bCs/>
          <w:i/>
          <w:iCs/>
          <w:color w:val="000000" w:themeColor="text1"/>
          <w:sz w:val="24"/>
          <w:szCs w:val="24"/>
          <w:lang w:eastAsia="zh-CN"/>
        </w:rPr>
        <w:t xml:space="preserve">Hypothesis 1a: </w:t>
      </w:r>
      <w:r w:rsidRPr="00880312">
        <w:rPr>
          <w:rFonts w:ascii="Times New Roman" w:eastAsia="DengXian" w:hAnsi="Times New Roman" w:cs="Times New Roman"/>
          <w:i/>
          <w:iCs/>
          <w:color w:val="000000" w:themeColor="text1"/>
          <w:sz w:val="24"/>
          <w:szCs w:val="24"/>
          <w:lang w:eastAsia="zh-CN"/>
        </w:rPr>
        <w:t>Gender diversity of bank board negatively moderates the relationship between risk culture and bank risk.</w:t>
      </w:r>
    </w:p>
    <w:p w14:paraId="159E46A7" w14:textId="77777777" w:rsidR="00EE79B1" w:rsidRDefault="00EE79B1">
      <w:pPr>
        <w:rPr>
          <w:rFonts w:ascii="Times New Roman" w:eastAsia="DengXian" w:hAnsi="Times New Roman" w:cs="Times New Roman"/>
          <w:i/>
          <w:iCs/>
          <w:color w:val="000000" w:themeColor="text1"/>
          <w:sz w:val="24"/>
          <w:szCs w:val="24"/>
          <w:lang w:eastAsia="zh-CN"/>
        </w:rPr>
      </w:pPr>
      <w:r>
        <w:rPr>
          <w:rFonts w:ascii="Times New Roman" w:eastAsia="DengXian" w:hAnsi="Times New Roman" w:cs="Times New Roman"/>
          <w:i/>
          <w:iCs/>
          <w:color w:val="000000" w:themeColor="text1"/>
          <w:sz w:val="24"/>
          <w:szCs w:val="24"/>
          <w:lang w:eastAsia="zh-CN"/>
        </w:rPr>
        <w:br w:type="page"/>
      </w:r>
    </w:p>
    <w:p w14:paraId="384451A5" w14:textId="77777777"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p>
    <w:p w14:paraId="6BC8DF21" w14:textId="48A21F1E" w:rsidR="00880312" w:rsidRDefault="00742375" w:rsidP="00742375">
      <w:pPr>
        <w:pStyle w:val="Heading3"/>
        <w:rPr>
          <w:rFonts w:ascii="Times New Roman" w:hAnsi="Times New Roman" w:cs="Times New Roman"/>
          <w:b/>
          <w:bCs/>
          <w:color w:val="000000" w:themeColor="text1"/>
          <w:sz w:val="28"/>
          <w:szCs w:val="28"/>
          <w:lang w:eastAsia="zh-CN"/>
        </w:rPr>
      </w:pPr>
      <w:bookmarkStart w:id="94" w:name="_Toc145616197"/>
      <w:r w:rsidRPr="00742375">
        <w:rPr>
          <w:rFonts w:ascii="Times New Roman" w:hAnsi="Times New Roman" w:cs="Times New Roman"/>
          <w:b/>
          <w:bCs/>
          <w:color w:val="000000" w:themeColor="text1"/>
          <w:sz w:val="28"/>
          <w:szCs w:val="28"/>
          <w:lang w:eastAsia="zh-CN"/>
        </w:rPr>
        <w:t>4</w:t>
      </w:r>
      <w:r w:rsidR="00480042" w:rsidRPr="00742375">
        <w:rPr>
          <w:rFonts w:ascii="Times New Roman" w:hAnsi="Times New Roman" w:cs="Times New Roman"/>
          <w:b/>
          <w:bCs/>
          <w:color w:val="000000" w:themeColor="text1"/>
          <w:sz w:val="28"/>
          <w:szCs w:val="28"/>
          <w:lang w:eastAsia="zh-CN"/>
        </w:rPr>
        <w:t>.</w:t>
      </w:r>
      <w:r w:rsidRPr="00742375">
        <w:rPr>
          <w:rFonts w:ascii="Times New Roman" w:hAnsi="Times New Roman" w:cs="Times New Roman"/>
          <w:b/>
          <w:bCs/>
          <w:color w:val="000000" w:themeColor="text1"/>
          <w:sz w:val="28"/>
          <w:szCs w:val="28"/>
          <w:lang w:eastAsia="zh-CN"/>
        </w:rPr>
        <w:t>3</w:t>
      </w:r>
      <w:r w:rsidR="00480042" w:rsidRPr="00742375">
        <w:rPr>
          <w:rFonts w:ascii="Times New Roman" w:hAnsi="Times New Roman" w:cs="Times New Roman"/>
          <w:b/>
          <w:bCs/>
          <w:color w:val="000000" w:themeColor="text1"/>
          <w:sz w:val="28"/>
          <w:szCs w:val="28"/>
          <w:lang w:eastAsia="zh-CN"/>
        </w:rPr>
        <w:t>.4</w:t>
      </w:r>
      <w:r w:rsidR="00880312" w:rsidRPr="00742375">
        <w:rPr>
          <w:rFonts w:ascii="Times New Roman" w:hAnsi="Times New Roman" w:cs="Times New Roman"/>
          <w:b/>
          <w:bCs/>
          <w:color w:val="000000" w:themeColor="text1"/>
          <w:sz w:val="28"/>
          <w:szCs w:val="28"/>
          <w:lang w:eastAsia="zh-CN"/>
        </w:rPr>
        <w:t xml:space="preserve"> Risk Culture, Board Gender Diversity: Critical Mass Theory</w:t>
      </w:r>
      <w:bookmarkEnd w:id="94"/>
    </w:p>
    <w:p w14:paraId="2246F20C" w14:textId="77777777" w:rsidR="00742375" w:rsidRPr="00742375" w:rsidRDefault="00742375" w:rsidP="00742375">
      <w:pPr>
        <w:rPr>
          <w:lang w:eastAsia="zh-CN"/>
        </w:rPr>
      </w:pPr>
    </w:p>
    <w:p w14:paraId="1424EDDA" w14:textId="662CD2C3"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Although the literature implies that women significantly impact firm performance, especially risk, it also suggests that having a single woman on the board </w:t>
      </w:r>
      <w:r w:rsidR="00742375">
        <w:rPr>
          <w:rFonts w:ascii="Times New Roman" w:eastAsia="DengXian" w:hAnsi="Times New Roman" w:cs="Times New Roman"/>
          <w:color w:val="000000" w:themeColor="text1"/>
          <w:sz w:val="24"/>
          <w:szCs w:val="24"/>
          <w:lang w:eastAsia="zh-CN"/>
        </w:rPr>
        <w:t>cannot</w:t>
      </w:r>
      <w:r w:rsidRPr="00880312">
        <w:rPr>
          <w:rFonts w:ascii="Times New Roman" w:eastAsia="DengXian" w:hAnsi="Times New Roman" w:cs="Times New Roman"/>
          <w:color w:val="000000" w:themeColor="text1"/>
          <w:sz w:val="24"/>
          <w:szCs w:val="24"/>
          <w:lang w:eastAsia="zh-CN"/>
        </w:rPr>
        <w:t xml:space="preserve"> affect corporate decision-making (Atif et al., 2021). Such a misleading perception makes it difficult for female directors to be considered as competitive as male directors on the board (Atif et al., 2021). </w:t>
      </w:r>
      <w:bookmarkStart w:id="95" w:name="_Hlk115699751"/>
      <w:r w:rsidRPr="00880312">
        <w:rPr>
          <w:rFonts w:ascii="Times New Roman" w:eastAsia="DengXian" w:hAnsi="Times New Roman" w:cs="Times New Roman"/>
          <w:color w:val="000000" w:themeColor="text1"/>
          <w:sz w:val="24"/>
          <w:szCs w:val="24"/>
          <w:lang w:eastAsia="zh-CN"/>
        </w:rPr>
        <w:t xml:space="preserve">This issue finds support and solution through critical mass theory, which </w:t>
      </w:r>
      <w:r w:rsidR="00827019" w:rsidRPr="00880312">
        <w:rPr>
          <w:rFonts w:ascii="Times New Roman" w:eastAsia="DengXian" w:hAnsi="Times New Roman" w:cs="Times New Roman"/>
          <w:color w:val="000000" w:themeColor="text1"/>
          <w:sz w:val="24"/>
          <w:szCs w:val="24"/>
          <w:lang w:eastAsia="zh-CN"/>
        </w:rPr>
        <w:t>contends</w:t>
      </w:r>
      <w:r w:rsidRPr="00880312">
        <w:rPr>
          <w:rFonts w:ascii="Times New Roman" w:eastAsia="DengXian" w:hAnsi="Times New Roman" w:cs="Times New Roman"/>
          <w:color w:val="000000" w:themeColor="text1"/>
          <w:sz w:val="24"/>
          <w:szCs w:val="24"/>
          <w:lang w:eastAsia="zh-CN"/>
        </w:rPr>
        <w:t xml:space="preserve"> that women on the board cannot be influential unless they reach an adequate number</w:t>
      </w:r>
      <w:bookmarkEnd w:id="95"/>
      <w:r w:rsidRPr="00880312">
        <w:rPr>
          <w:rFonts w:ascii="Times New Roman" w:eastAsia="DengXian" w:hAnsi="Times New Roman" w:cs="Times New Roman"/>
          <w:color w:val="000000" w:themeColor="text1"/>
          <w:sz w:val="24"/>
          <w:szCs w:val="24"/>
          <w:lang w:eastAsia="zh-CN"/>
        </w:rPr>
        <w:t xml:space="preserve">. The academic literature also supports the argument by reporting a nonlinear relationship between female directors and financial performance, with value only added once the number of females on board reaches three or more (Liu et al., 2014). Joecks et al. (2013) argue that the relationship between gender diversity and firm performance follows a U-shape, with gender diversity negatively affecting firm performance. Once it reaches "critical mass", gender diversity becomes positively associated with higher firm performance. Casu et al. (2021) report the role of reducing bank misconduct when the number of females reaches a critical mass of three. Thus, </w:t>
      </w:r>
      <w:r w:rsidR="00827019">
        <w:rPr>
          <w:rFonts w:ascii="Times New Roman" w:eastAsia="DengXian" w:hAnsi="Times New Roman" w:cs="Times New Roman"/>
          <w:color w:val="000000" w:themeColor="text1"/>
          <w:sz w:val="24"/>
          <w:szCs w:val="24"/>
          <w:lang w:eastAsia="zh-CN"/>
        </w:rPr>
        <w:t xml:space="preserve">one primary reason for the mixed results of board gender diversity on performance is </w:t>
      </w:r>
      <w:r w:rsidRPr="00880312">
        <w:rPr>
          <w:rFonts w:ascii="Times New Roman" w:eastAsia="DengXian" w:hAnsi="Times New Roman" w:cs="Times New Roman"/>
          <w:color w:val="000000" w:themeColor="text1"/>
          <w:sz w:val="24"/>
          <w:szCs w:val="24"/>
          <w:lang w:eastAsia="zh-CN"/>
        </w:rPr>
        <w:t xml:space="preserve">the absence of </w:t>
      </w:r>
      <w:r w:rsidR="00827019">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non-linearity</w:t>
      </w:r>
      <w:r w:rsidR="00827019">
        <w:rPr>
          <w:rFonts w:ascii="Times New Roman" w:eastAsia="DengXian" w:hAnsi="Times New Roman" w:cs="Times New Roman"/>
          <w:color w:val="000000" w:themeColor="text1"/>
          <w:sz w:val="24"/>
          <w:szCs w:val="24"/>
          <w:lang w:eastAsia="zh-CN"/>
        </w:rPr>
        <w:t xml:space="preserve"> aspect while explaining the relationship</w:t>
      </w:r>
      <w:r w:rsidRPr="00880312">
        <w:rPr>
          <w:rFonts w:ascii="Times New Roman" w:eastAsia="DengXian" w:hAnsi="Times New Roman" w:cs="Times New Roman"/>
          <w:color w:val="000000" w:themeColor="text1"/>
          <w:sz w:val="24"/>
          <w:szCs w:val="24"/>
          <w:lang w:eastAsia="zh-CN"/>
        </w:rPr>
        <w:t xml:space="preserve"> (Adams and Ferreira, 2009; Adams and Funk, 2012; Bennouri et al., 2018</w:t>
      </w:r>
      <w:r w:rsidR="00827019">
        <w:rPr>
          <w:rFonts w:ascii="Times New Roman" w:eastAsia="DengXian" w:hAnsi="Times New Roman" w:cs="Times New Roman"/>
          <w:color w:val="000000" w:themeColor="text1"/>
          <w:sz w:val="24"/>
          <w:szCs w:val="24"/>
          <w:lang w:eastAsia="zh-CN"/>
        </w:rPr>
        <w:t>; Arnaboldi et al., 2020</w:t>
      </w:r>
      <w:r w:rsidRPr="00880312">
        <w:rPr>
          <w:rFonts w:ascii="Times New Roman" w:eastAsia="DengXian" w:hAnsi="Times New Roman" w:cs="Times New Roman"/>
          <w:color w:val="000000" w:themeColor="text1"/>
          <w:sz w:val="24"/>
          <w:szCs w:val="24"/>
          <w:lang w:eastAsia="zh-CN"/>
        </w:rPr>
        <w:t>). Therefore, we also posit that moderating effect of women on board is more substantial when they reach a critical mass. Thus, we propose the following hypothesis:</w:t>
      </w:r>
    </w:p>
    <w:p w14:paraId="67C57738" w14:textId="509BF3D8" w:rsidR="00880312" w:rsidRDefault="00880312" w:rsidP="00880312">
      <w:pPr>
        <w:spacing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b/>
          <w:bCs/>
          <w:i/>
          <w:iCs/>
          <w:color w:val="000000" w:themeColor="text1"/>
          <w:sz w:val="24"/>
          <w:szCs w:val="24"/>
          <w:lang w:eastAsia="zh-CN"/>
        </w:rPr>
        <w:t>Hypothesis 1b</w:t>
      </w:r>
      <w:r w:rsidRPr="00880312">
        <w:rPr>
          <w:rFonts w:ascii="Times New Roman" w:eastAsia="DengXian" w:hAnsi="Times New Roman" w:cs="Times New Roman"/>
          <w:i/>
          <w:iCs/>
          <w:color w:val="000000" w:themeColor="text1"/>
          <w:sz w:val="24"/>
          <w:szCs w:val="24"/>
          <w:lang w:eastAsia="zh-CN"/>
        </w:rPr>
        <w:t xml:space="preserve">: The presence of </w:t>
      </w:r>
      <w:r w:rsidR="00BF1BB1">
        <w:rPr>
          <w:rFonts w:ascii="Times New Roman" w:eastAsia="DengXian" w:hAnsi="Times New Roman" w:cs="Times New Roman"/>
          <w:i/>
          <w:iCs/>
          <w:color w:val="000000" w:themeColor="text1"/>
          <w:sz w:val="24"/>
          <w:szCs w:val="24"/>
          <w:lang w:eastAsia="zh-CN"/>
        </w:rPr>
        <w:t xml:space="preserve">more women on the board (i.e. </w:t>
      </w:r>
      <w:r w:rsidRPr="00880312">
        <w:rPr>
          <w:rFonts w:ascii="Times New Roman" w:eastAsia="DengXian" w:hAnsi="Times New Roman" w:cs="Times New Roman"/>
          <w:i/>
          <w:iCs/>
          <w:color w:val="000000" w:themeColor="text1"/>
          <w:sz w:val="24"/>
          <w:szCs w:val="24"/>
          <w:lang w:eastAsia="zh-CN"/>
        </w:rPr>
        <w:t>three or more</w:t>
      </w:r>
      <w:r w:rsidR="00BF1BB1">
        <w:rPr>
          <w:rFonts w:ascii="Times New Roman" w:eastAsia="DengXian" w:hAnsi="Times New Roman" w:cs="Times New Roman"/>
          <w:i/>
          <w:iCs/>
          <w:color w:val="000000" w:themeColor="text1"/>
          <w:sz w:val="24"/>
          <w:szCs w:val="24"/>
          <w:lang w:eastAsia="zh-CN"/>
        </w:rPr>
        <w:t>)</w:t>
      </w:r>
      <w:r w:rsidR="00471F9A">
        <w:rPr>
          <w:rFonts w:ascii="Times New Roman" w:eastAsia="DengXian" w:hAnsi="Times New Roman" w:cs="Times New Roman"/>
          <w:i/>
          <w:iCs/>
          <w:color w:val="000000" w:themeColor="text1"/>
          <w:sz w:val="24"/>
          <w:szCs w:val="24"/>
          <w:lang w:eastAsia="zh-CN"/>
        </w:rPr>
        <w:t xml:space="preserve"> </w:t>
      </w:r>
      <w:r w:rsidR="00742375">
        <w:rPr>
          <w:rFonts w:ascii="Times New Roman" w:eastAsia="DengXian" w:hAnsi="Times New Roman" w:cs="Times New Roman"/>
          <w:i/>
          <w:iCs/>
          <w:color w:val="000000" w:themeColor="text1"/>
          <w:sz w:val="24"/>
          <w:szCs w:val="24"/>
          <w:lang w:eastAsia="zh-CN"/>
        </w:rPr>
        <w:t xml:space="preserve">negatively moderates the relationship between risk culture and the </w:t>
      </w:r>
      <w:r w:rsidRPr="00880312">
        <w:rPr>
          <w:rFonts w:ascii="Times New Roman" w:eastAsia="DengXian" w:hAnsi="Times New Roman" w:cs="Times New Roman"/>
          <w:i/>
          <w:iCs/>
          <w:color w:val="000000" w:themeColor="text1"/>
          <w:sz w:val="24"/>
          <w:szCs w:val="24"/>
          <w:lang w:eastAsia="zh-CN"/>
        </w:rPr>
        <w:t>bank</w:t>
      </w:r>
      <w:r w:rsidR="00742375">
        <w:rPr>
          <w:rFonts w:ascii="Times New Roman" w:eastAsia="DengXian" w:hAnsi="Times New Roman" w:cs="Times New Roman"/>
          <w:i/>
          <w:iCs/>
          <w:color w:val="000000" w:themeColor="text1"/>
          <w:sz w:val="24"/>
          <w:szCs w:val="24"/>
          <w:lang w:eastAsia="zh-CN"/>
        </w:rPr>
        <w:t>’</w:t>
      </w:r>
      <w:r w:rsidRPr="00880312">
        <w:rPr>
          <w:rFonts w:ascii="Times New Roman" w:eastAsia="DengXian" w:hAnsi="Times New Roman" w:cs="Times New Roman"/>
          <w:i/>
          <w:iCs/>
          <w:color w:val="000000" w:themeColor="text1"/>
          <w:sz w:val="24"/>
          <w:szCs w:val="24"/>
          <w:lang w:eastAsia="zh-CN"/>
        </w:rPr>
        <w:t>s</w:t>
      </w:r>
      <w:r w:rsidR="00742375">
        <w:rPr>
          <w:rFonts w:ascii="Times New Roman" w:eastAsia="DengXian" w:hAnsi="Times New Roman" w:cs="Times New Roman"/>
          <w:i/>
          <w:iCs/>
          <w:color w:val="000000" w:themeColor="text1"/>
          <w:sz w:val="24"/>
          <w:szCs w:val="24"/>
          <w:lang w:eastAsia="zh-CN"/>
        </w:rPr>
        <w:t xml:space="preserve"> risk</w:t>
      </w:r>
      <w:r w:rsidRPr="00880312">
        <w:rPr>
          <w:rFonts w:ascii="Times New Roman" w:eastAsia="DengXian" w:hAnsi="Times New Roman" w:cs="Times New Roman"/>
          <w:i/>
          <w:iCs/>
          <w:color w:val="000000" w:themeColor="text1"/>
          <w:sz w:val="24"/>
          <w:szCs w:val="24"/>
          <w:lang w:eastAsia="zh-CN"/>
        </w:rPr>
        <w:t xml:space="preserve">. </w:t>
      </w:r>
    </w:p>
    <w:p w14:paraId="6DA38E1A" w14:textId="77777777" w:rsidR="00880312" w:rsidRDefault="00880312">
      <w:pPr>
        <w:rPr>
          <w:rFonts w:ascii="Times New Roman" w:eastAsia="DengXian" w:hAnsi="Times New Roman" w:cs="Times New Roman"/>
          <w:i/>
          <w:iCs/>
          <w:color w:val="000000" w:themeColor="text1"/>
          <w:sz w:val="24"/>
          <w:szCs w:val="24"/>
          <w:lang w:eastAsia="zh-CN"/>
        </w:rPr>
      </w:pPr>
      <w:r>
        <w:rPr>
          <w:rFonts w:ascii="Times New Roman" w:eastAsia="DengXian" w:hAnsi="Times New Roman" w:cs="Times New Roman"/>
          <w:i/>
          <w:iCs/>
          <w:color w:val="000000" w:themeColor="text1"/>
          <w:sz w:val="24"/>
          <w:szCs w:val="24"/>
          <w:lang w:eastAsia="zh-CN"/>
        </w:rPr>
        <w:br w:type="page"/>
      </w:r>
    </w:p>
    <w:p w14:paraId="42EA0E50" w14:textId="77777777"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p>
    <w:p w14:paraId="1D7B93EF" w14:textId="6F7D68FD" w:rsidR="00880312" w:rsidRPr="00742375" w:rsidRDefault="00742375" w:rsidP="00742375">
      <w:pPr>
        <w:pStyle w:val="Heading3"/>
        <w:rPr>
          <w:rFonts w:ascii="Times New Roman" w:hAnsi="Times New Roman" w:cs="Times New Roman"/>
          <w:b/>
          <w:bCs/>
          <w:color w:val="000000" w:themeColor="text1"/>
          <w:sz w:val="28"/>
          <w:szCs w:val="28"/>
          <w:lang w:eastAsia="zh-CN"/>
        </w:rPr>
      </w:pPr>
      <w:bookmarkStart w:id="96" w:name="_Toc145616198"/>
      <w:bookmarkStart w:id="97" w:name="_Hlk123575956"/>
      <w:r w:rsidRPr="00742375">
        <w:rPr>
          <w:rFonts w:ascii="Times New Roman" w:hAnsi="Times New Roman" w:cs="Times New Roman"/>
          <w:b/>
          <w:bCs/>
          <w:color w:val="000000" w:themeColor="text1"/>
          <w:sz w:val="28"/>
          <w:szCs w:val="28"/>
          <w:lang w:eastAsia="zh-CN"/>
        </w:rPr>
        <w:t>4</w:t>
      </w:r>
      <w:r w:rsidR="00480042" w:rsidRPr="00742375">
        <w:rPr>
          <w:rFonts w:ascii="Times New Roman" w:hAnsi="Times New Roman" w:cs="Times New Roman"/>
          <w:b/>
          <w:bCs/>
          <w:color w:val="000000" w:themeColor="text1"/>
          <w:sz w:val="28"/>
          <w:szCs w:val="28"/>
          <w:lang w:eastAsia="zh-CN"/>
        </w:rPr>
        <w:t>.</w:t>
      </w:r>
      <w:r w:rsidRPr="00742375">
        <w:rPr>
          <w:rFonts w:ascii="Times New Roman" w:hAnsi="Times New Roman" w:cs="Times New Roman"/>
          <w:b/>
          <w:bCs/>
          <w:color w:val="000000" w:themeColor="text1"/>
          <w:sz w:val="28"/>
          <w:szCs w:val="28"/>
          <w:lang w:eastAsia="zh-CN"/>
        </w:rPr>
        <w:t>3</w:t>
      </w:r>
      <w:r w:rsidR="00480042" w:rsidRPr="00742375">
        <w:rPr>
          <w:rFonts w:ascii="Times New Roman" w:hAnsi="Times New Roman" w:cs="Times New Roman"/>
          <w:b/>
          <w:bCs/>
          <w:color w:val="000000" w:themeColor="text1"/>
          <w:sz w:val="28"/>
          <w:szCs w:val="28"/>
          <w:lang w:eastAsia="zh-CN"/>
        </w:rPr>
        <w:t>.5</w:t>
      </w:r>
      <w:r w:rsidR="00880312" w:rsidRPr="00742375">
        <w:rPr>
          <w:rFonts w:ascii="Times New Roman" w:hAnsi="Times New Roman" w:cs="Times New Roman"/>
          <w:b/>
          <w:bCs/>
          <w:color w:val="000000" w:themeColor="text1"/>
          <w:sz w:val="28"/>
          <w:szCs w:val="28"/>
          <w:lang w:eastAsia="zh-CN"/>
        </w:rPr>
        <w:t xml:space="preserve"> Risk Culture, Board Gender Diversity: Supportive Environment</w:t>
      </w:r>
      <w:bookmarkEnd w:id="96"/>
    </w:p>
    <w:bookmarkEnd w:id="97"/>
    <w:p w14:paraId="418110BE" w14:textId="5D39AB7A" w:rsidR="00880312" w:rsidRPr="00880312" w:rsidRDefault="00880312" w:rsidP="00880312">
      <w:pPr>
        <w:spacing w:before="100" w:beforeAutospacing="1" w:after="100" w:afterAutospacing="1" w:line="480" w:lineRule="auto"/>
        <w:jc w:val="both"/>
        <w:rPr>
          <w:rFonts w:ascii="Times New Roman" w:eastAsia="DengXian" w:hAnsi="Times New Roman" w:cs="Times New Roman"/>
          <w:sz w:val="24"/>
          <w:szCs w:val="24"/>
          <w:lang w:eastAsia="en-GB"/>
        </w:rPr>
      </w:pPr>
      <w:r w:rsidRPr="00880312">
        <w:rPr>
          <w:rFonts w:ascii="Times New Roman" w:eastAsia="DengXian" w:hAnsi="Times New Roman" w:cs="Times New Roman"/>
          <w:sz w:val="24"/>
          <w:szCs w:val="24"/>
          <w:lang w:eastAsia="en-GB"/>
        </w:rPr>
        <w:t xml:space="preserve">The relationship between </w:t>
      </w:r>
      <w:r w:rsidR="00742375">
        <w:rPr>
          <w:rFonts w:ascii="Times New Roman" w:eastAsia="DengXian" w:hAnsi="Times New Roman" w:cs="Times New Roman"/>
          <w:sz w:val="24"/>
          <w:szCs w:val="24"/>
          <w:lang w:eastAsia="en-GB"/>
        </w:rPr>
        <w:t xml:space="preserve">the </w:t>
      </w:r>
      <w:r w:rsidRPr="00880312">
        <w:rPr>
          <w:rFonts w:ascii="Times New Roman" w:eastAsia="DengXian" w:hAnsi="Times New Roman" w:cs="Times New Roman"/>
          <w:sz w:val="24"/>
          <w:szCs w:val="24"/>
          <w:lang w:eastAsia="en-GB"/>
        </w:rPr>
        <w:t xml:space="preserve">CEO and </w:t>
      </w:r>
      <w:r w:rsidR="00742375">
        <w:rPr>
          <w:rFonts w:ascii="Times New Roman" w:eastAsia="DengXian" w:hAnsi="Times New Roman" w:cs="Times New Roman"/>
          <w:sz w:val="24"/>
          <w:szCs w:val="24"/>
          <w:lang w:eastAsia="en-GB"/>
        </w:rPr>
        <w:t xml:space="preserve">the </w:t>
      </w:r>
      <w:r w:rsidRPr="00880312">
        <w:rPr>
          <w:rFonts w:ascii="Times New Roman" w:eastAsia="DengXian" w:hAnsi="Times New Roman" w:cs="Times New Roman"/>
          <w:sz w:val="24"/>
          <w:szCs w:val="24"/>
          <w:lang w:eastAsia="en-GB"/>
        </w:rPr>
        <w:t>board is a critical issue in governance literature (Maitlis,2004). There are two theoretical perspectives in this regard</w:t>
      </w:r>
      <w:r w:rsidR="00827019">
        <w:rPr>
          <w:rFonts w:ascii="Times New Roman" w:eastAsia="DengXian" w:hAnsi="Times New Roman" w:cs="Times New Roman"/>
          <w:sz w:val="24"/>
          <w:szCs w:val="24"/>
          <w:lang w:eastAsia="en-GB"/>
        </w:rPr>
        <w:t>,</w:t>
      </w:r>
      <w:r w:rsidRPr="00880312">
        <w:rPr>
          <w:rFonts w:ascii="Times New Roman" w:eastAsia="DengXian" w:hAnsi="Times New Roman" w:cs="Times New Roman"/>
          <w:sz w:val="24"/>
          <w:szCs w:val="24"/>
          <w:lang w:eastAsia="en-GB"/>
        </w:rPr>
        <w:t xml:space="preserve"> one identifying the board as an </w:t>
      </w:r>
      <w:r w:rsidR="00827019">
        <w:rPr>
          <w:rFonts w:ascii="Times New Roman" w:eastAsia="DengXian" w:hAnsi="Times New Roman" w:cs="Times New Roman"/>
          <w:sz w:val="24"/>
          <w:szCs w:val="24"/>
          <w:lang w:eastAsia="en-GB"/>
        </w:rPr>
        <w:t>essential</w:t>
      </w:r>
      <w:r w:rsidR="00827019" w:rsidRPr="00880312">
        <w:rPr>
          <w:rFonts w:ascii="Times New Roman" w:eastAsia="DengXian" w:hAnsi="Times New Roman" w:cs="Times New Roman"/>
          <w:sz w:val="24"/>
          <w:szCs w:val="24"/>
          <w:lang w:eastAsia="en-GB"/>
        </w:rPr>
        <w:t xml:space="preserve"> </w:t>
      </w:r>
      <w:r w:rsidRPr="00880312">
        <w:rPr>
          <w:rFonts w:ascii="Times New Roman" w:eastAsia="DengXian" w:hAnsi="Times New Roman" w:cs="Times New Roman"/>
          <w:sz w:val="24"/>
          <w:szCs w:val="24"/>
          <w:lang w:eastAsia="en-GB"/>
        </w:rPr>
        <w:t xml:space="preserve">control mechanism, while </w:t>
      </w:r>
      <w:r w:rsidR="00827019">
        <w:rPr>
          <w:rFonts w:ascii="Times New Roman" w:eastAsia="DengXian" w:hAnsi="Times New Roman" w:cs="Times New Roman"/>
          <w:sz w:val="24"/>
          <w:szCs w:val="24"/>
          <w:lang w:eastAsia="en-GB"/>
        </w:rPr>
        <w:t xml:space="preserve">the </w:t>
      </w:r>
      <w:r w:rsidRPr="00880312">
        <w:rPr>
          <w:rFonts w:ascii="Times New Roman" w:eastAsia="DengXian" w:hAnsi="Times New Roman" w:cs="Times New Roman"/>
          <w:sz w:val="24"/>
          <w:szCs w:val="24"/>
          <w:lang w:eastAsia="en-GB"/>
        </w:rPr>
        <w:t xml:space="preserve">other considers </w:t>
      </w:r>
      <w:r w:rsidR="00827019">
        <w:rPr>
          <w:rFonts w:ascii="Times New Roman" w:eastAsia="DengXian" w:hAnsi="Times New Roman" w:cs="Times New Roman"/>
          <w:sz w:val="24"/>
          <w:szCs w:val="24"/>
          <w:lang w:eastAsia="en-GB"/>
        </w:rPr>
        <w:t xml:space="preserve">the </w:t>
      </w:r>
      <w:r w:rsidRPr="00880312">
        <w:rPr>
          <w:rFonts w:ascii="Times New Roman" w:eastAsia="DengXian" w:hAnsi="Times New Roman" w:cs="Times New Roman"/>
          <w:sz w:val="24"/>
          <w:szCs w:val="24"/>
          <w:lang w:eastAsia="en-GB"/>
        </w:rPr>
        <w:t>board to be weak due to powerful CEOs. Agency theory supports board power in aligning shareholders</w:t>
      </w:r>
      <w:r w:rsidR="00827019">
        <w:rPr>
          <w:rFonts w:ascii="Times New Roman" w:eastAsia="DengXian" w:hAnsi="Times New Roman" w:cs="Times New Roman"/>
          <w:sz w:val="24"/>
          <w:szCs w:val="24"/>
          <w:lang w:eastAsia="en-GB"/>
        </w:rPr>
        <w:t>'</w:t>
      </w:r>
      <w:r w:rsidRPr="00880312">
        <w:rPr>
          <w:rFonts w:ascii="Times New Roman" w:eastAsia="DengXian" w:hAnsi="Times New Roman" w:cs="Times New Roman"/>
          <w:sz w:val="24"/>
          <w:szCs w:val="24"/>
          <w:lang w:eastAsia="en-GB"/>
        </w:rPr>
        <w:t xml:space="preserve"> interest</w:t>
      </w:r>
      <w:r w:rsidR="00827019">
        <w:rPr>
          <w:rFonts w:ascii="Times New Roman" w:eastAsia="DengXian" w:hAnsi="Times New Roman" w:cs="Times New Roman"/>
          <w:sz w:val="24"/>
          <w:szCs w:val="24"/>
          <w:lang w:eastAsia="en-GB"/>
        </w:rPr>
        <w:t>s</w:t>
      </w:r>
      <w:r w:rsidRPr="00880312">
        <w:rPr>
          <w:rFonts w:ascii="Times New Roman" w:eastAsia="DengXian" w:hAnsi="Times New Roman" w:cs="Times New Roman"/>
          <w:sz w:val="24"/>
          <w:szCs w:val="24"/>
          <w:lang w:eastAsia="en-GB"/>
        </w:rPr>
        <w:t xml:space="preserve"> with the management by reducing managerial opportunism and self-interested behaviour (Fama and Jensen, 1983). On the other hand, managerial theories position </w:t>
      </w:r>
      <w:r w:rsidR="00827019">
        <w:rPr>
          <w:rFonts w:ascii="Times New Roman" w:eastAsia="DengXian" w:hAnsi="Times New Roman" w:cs="Times New Roman"/>
          <w:sz w:val="24"/>
          <w:szCs w:val="24"/>
          <w:lang w:eastAsia="en-GB"/>
        </w:rPr>
        <w:t xml:space="preserve">the </w:t>
      </w:r>
      <w:r w:rsidRPr="00880312">
        <w:rPr>
          <w:rFonts w:ascii="Times New Roman" w:eastAsia="DengXian" w:hAnsi="Times New Roman" w:cs="Times New Roman"/>
          <w:sz w:val="24"/>
          <w:szCs w:val="24"/>
          <w:lang w:eastAsia="en-GB"/>
        </w:rPr>
        <w:t xml:space="preserve">board as a legal and adjunct institution dominated by management, despite its formal governing power (Kosnik, 1987; Pfeffer, 1972). The prior literature documents that CEOs moderate directors' decision-making and pursue risky policy due to CEO entrenchment or CEO duality (Srivastav and Hagendorff, 2016; Adams et al., 2005; Pathan, 2009). However, </w:t>
      </w:r>
      <w:r w:rsidR="00742375">
        <w:rPr>
          <w:rFonts w:ascii="Times New Roman" w:eastAsia="DengXian" w:hAnsi="Times New Roman" w:cs="Times New Roman"/>
          <w:sz w:val="24"/>
          <w:szCs w:val="24"/>
          <w:lang w:eastAsia="en-GB"/>
        </w:rPr>
        <w:t>literature also shows that the boards are more influential, evidenced by how they conduct meetings,</w:t>
      </w:r>
      <w:r w:rsidR="00827019">
        <w:rPr>
          <w:rFonts w:ascii="Times New Roman" w:eastAsia="DengXian" w:hAnsi="Times New Roman" w:cs="Times New Roman"/>
          <w:sz w:val="24"/>
          <w:szCs w:val="24"/>
          <w:lang w:eastAsia="en-GB"/>
        </w:rPr>
        <w:t xml:space="preserve"> informal communication between directors, and company performance </w:t>
      </w:r>
      <w:r w:rsidRPr="00880312">
        <w:rPr>
          <w:rFonts w:ascii="Times New Roman" w:eastAsia="DengXian" w:hAnsi="Times New Roman" w:cs="Times New Roman"/>
          <w:sz w:val="24"/>
          <w:szCs w:val="24"/>
          <w:lang w:eastAsia="en-GB"/>
        </w:rPr>
        <w:t xml:space="preserve">(McNulty and Pettigrew, 1999). </w:t>
      </w:r>
      <w:r w:rsidR="00742375">
        <w:rPr>
          <w:rFonts w:ascii="Times New Roman" w:eastAsia="DengXian" w:hAnsi="Times New Roman" w:cs="Times New Roman"/>
          <w:sz w:val="24"/>
          <w:szCs w:val="24"/>
          <w:lang w:eastAsia="en-GB"/>
        </w:rPr>
        <w:t>Regarding</w:t>
      </w:r>
      <w:r w:rsidRPr="00880312">
        <w:rPr>
          <w:rFonts w:ascii="Times New Roman" w:eastAsia="DengXian" w:hAnsi="Times New Roman" w:cs="Times New Roman"/>
          <w:sz w:val="24"/>
          <w:szCs w:val="24"/>
          <w:lang w:eastAsia="en-GB"/>
        </w:rPr>
        <w:t xml:space="preserve"> women in leadership positions (CEO/Chair), </w:t>
      </w:r>
      <w:r w:rsidR="00742375">
        <w:rPr>
          <w:rFonts w:ascii="Times New Roman" w:eastAsia="DengXian" w:hAnsi="Times New Roman" w:cs="Times New Roman"/>
          <w:sz w:val="24"/>
          <w:szCs w:val="24"/>
          <w:lang w:eastAsia="en-GB"/>
        </w:rPr>
        <w:t>d</w:t>
      </w:r>
      <w:r w:rsidRPr="00880312">
        <w:rPr>
          <w:rFonts w:ascii="Times New Roman" w:eastAsia="DengXian" w:hAnsi="Times New Roman" w:cs="Times New Roman"/>
          <w:sz w:val="24"/>
          <w:szCs w:val="24"/>
          <w:lang w:eastAsia="en-GB"/>
        </w:rPr>
        <w:t xml:space="preserve">espite the gender movement </w:t>
      </w:r>
      <w:r w:rsidR="00827019">
        <w:rPr>
          <w:rFonts w:ascii="Times New Roman" w:eastAsia="DengXian" w:hAnsi="Times New Roman" w:cs="Times New Roman"/>
          <w:sz w:val="24"/>
          <w:szCs w:val="24"/>
          <w:lang w:eastAsia="en-GB"/>
        </w:rPr>
        <w:t>worldwide</w:t>
      </w:r>
      <w:r w:rsidRPr="00880312">
        <w:rPr>
          <w:rFonts w:ascii="Times New Roman" w:eastAsia="DengXian" w:hAnsi="Times New Roman" w:cs="Times New Roman"/>
          <w:sz w:val="24"/>
          <w:szCs w:val="24"/>
          <w:lang w:eastAsia="en-GB"/>
        </w:rPr>
        <w:t>,</w:t>
      </w:r>
      <w:r w:rsidR="00827019">
        <w:rPr>
          <w:rFonts w:ascii="Times New Roman" w:eastAsia="DengXian" w:hAnsi="Times New Roman" w:cs="Times New Roman"/>
          <w:sz w:val="24"/>
          <w:szCs w:val="24"/>
          <w:lang w:eastAsia="en-GB"/>
        </w:rPr>
        <w:t xml:space="preserve"> female appointment at the</w:t>
      </w:r>
      <w:r w:rsidRPr="00880312">
        <w:rPr>
          <w:rFonts w:ascii="Times New Roman" w:eastAsia="DengXian" w:hAnsi="Times New Roman" w:cs="Times New Roman"/>
          <w:sz w:val="24"/>
          <w:szCs w:val="24"/>
          <w:lang w:eastAsia="en-GB"/>
        </w:rPr>
        <w:t xml:space="preserve"> CEO</w:t>
      </w:r>
      <w:r w:rsidR="00742375">
        <w:rPr>
          <w:rFonts w:ascii="Times New Roman" w:eastAsia="DengXian" w:hAnsi="Times New Roman" w:cs="Times New Roman"/>
          <w:sz w:val="24"/>
          <w:szCs w:val="24"/>
          <w:lang w:eastAsia="en-GB"/>
        </w:rPr>
        <w:t xml:space="preserve"> and Chair</w:t>
      </w:r>
      <w:r w:rsidRPr="00880312">
        <w:rPr>
          <w:rFonts w:ascii="Times New Roman" w:eastAsia="DengXian" w:hAnsi="Times New Roman" w:cs="Times New Roman"/>
          <w:sz w:val="24"/>
          <w:szCs w:val="24"/>
          <w:lang w:eastAsia="en-GB"/>
        </w:rPr>
        <w:t xml:space="preserve"> </w:t>
      </w:r>
      <w:r w:rsidR="00827019">
        <w:rPr>
          <w:rFonts w:ascii="Times New Roman" w:eastAsia="DengXian" w:hAnsi="Times New Roman" w:cs="Times New Roman"/>
          <w:sz w:val="24"/>
          <w:szCs w:val="24"/>
          <w:lang w:eastAsia="en-GB"/>
        </w:rPr>
        <w:t xml:space="preserve">level has been very low, </w:t>
      </w:r>
      <w:r w:rsidRPr="00880312">
        <w:rPr>
          <w:rFonts w:ascii="Times New Roman" w:eastAsia="DengXian" w:hAnsi="Times New Roman" w:cs="Times New Roman"/>
          <w:sz w:val="24"/>
          <w:szCs w:val="24"/>
          <w:lang w:eastAsia="en-GB"/>
        </w:rPr>
        <w:t xml:space="preserve">with only 5% of firms </w:t>
      </w:r>
      <w:r w:rsidR="00827019" w:rsidRPr="00880312">
        <w:rPr>
          <w:rFonts w:ascii="Times New Roman" w:eastAsia="DengXian" w:hAnsi="Times New Roman" w:cs="Times New Roman"/>
          <w:sz w:val="24"/>
          <w:szCs w:val="24"/>
          <w:lang w:eastAsia="en-GB"/>
        </w:rPr>
        <w:t>headed</w:t>
      </w:r>
      <w:r w:rsidRPr="00880312">
        <w:rPr>
          <w:rFonts w:ascii="Times New Roman" w:eastAsia="DengXian" w:hAnsi="Times New Roman" w:cs="Times New Roman"/>
          <w:sz w:val="24"/>
          <w:szCs w:val="24"/>
          <w:lang w:eastAsia="en-GB"/>
        </w:rPr>
        <w:t xml:space="preserve"> by a woman in 2017</w:t>
      </w:r>
      <w:r w:rsidR="00742375">
        <w:rPr>
          <w:rFonts w:ascii="Times New Roman" w:eastAsia="DengXian" w:hAnsi="Times New Roman" w:cs="Times New Roman"/>
          <w:sz w:val="24"/>
          <w:szCs w:val="24"/>
          <w:lang w:eastAsia="en-GB"/>
        </w:rPr>
        <w:t xml:space="preserve"> (Schopol et al., 2021)</w:t>
      </w:r>
      <w:r w:rsidR="00827019">
        <w:rPr>
          <w:rFonts w:ascii="Times New Roman" w:eastAsia="DengXian" w:hAnsi="Times New Roman" w:cs="Times New Roman"/>
          <w:sz w:val="24"/>
          <w:szCs w:val="24"/>
          <w:lang w:eastAsia="en-GB"/>
        </w:rPr>
        <w:t>. In contrast,</w:t>
      </w:r>
      <w:r w:rsidRPr="00880312">
        <w:rPr>
          <w:rFonts w:ascii="Times New Roman" w:eastAsia="DengXian" w:hAnsi="Times New Roman" w:cs="Times New Roman"/>
          <w:sz w:val="24"/>
          <w:szCs w:val="24"/>
          <w:lang w:eastAsia="en-GB"/>
        </w:rPr>
        <w:t xml:space="preserve"> there </w:t>
      </w:r>
      <w:r w:rsidR="00742375">
        <w:rPr>
          <w:rFonts w:ascii="Times New Roman" w:eastAsia="DengXian" w:hAnsi="Times New Roman" w:cs="Times New Roman"/>
          <w:sz w:val="24"/>
          <w:szCs w:val="24"/>
          <w:lang w:eastAsia="en-GB"/>
        </w:rPr>
        <w:t>has been</w:t>
      </w:r>
      <w:r w:rsidRPr="00880312">
        <w:rPr>
          <w:rFonts w:ascii="Times New Roman" w:eastAsia="DengXian" w:hAnsi="Times New Roman" w:cs="Times New Roman"/>
          <w:sz w:val="24"/>
          <w:szCs w:val="24"/>
          <w:lang w:eastAsia="en-GB"/>
        </w:rPr>
        <w:t xml:space="preserve"> a steady increase </w:t>
      </w:r>
      <w:r w:rsidR="00742375">
        <w:rPr>
          <w:rFonts w:ascii="Times New Roman" w:eastAsia="DengXian" w:hAnsi="Times New Roman" w:cs="Times New Roman"/>
          <w:sz w:val="24"/>
          <w:szCs w:val="24"/>
          <w:lang w:eastAsia="en-GB"/>
        </w:rPr>
        <w:t>in</w:t>
      </w:r>
      <w:r w:rsidRPr="00880312">
        <w:rPr>
          <w:rFonts w:ascii="Times New Roman" w:eastAsia="DengXian" w:hAnsi="Times New Roman" w:cs="Times New Roman"/>
          <w:sz w:val="24"/>
          <w:szCs w:val="24"/>
          <w:lang w:eastAsia="en-GB"/>
        </w:rPr>
        <w:t xml:space="preserve"> female representation on the board</w:t>
      </w:r>
      <w:r w:rsidR="00827019">
        <w:rPr>
          <w:rFonts w:ascii="Times New Roman" w:eastAsia="DengXian" w:hAnsi="Times New Roman" w:cs="Times New Roman"/>
          <w:sz w:val="24"/>
          <w:szCs w:val="24"/>
          <w:lang w:eastAsia="en-GB"/>
        </w:rPr>
        <w:t>,</w:t>
      </w:r>
      <w:r w:rsidRPr="00880312">
        <w:rPr>
          <w:rFonts w:ascii="Times New Roman" w:eastAsia="DengXian" w:hAnsi="Times New Roman" w:cs="Times New Roman"/>
          <w:sz w:val="24"/>
          <w:szCs w:val="24"/>
          <w:lang w:eastAsia="en-GB"/>
        </w:rPr>
        <w:t xml:space="preserve"> with </w:t>
      </w:r>
      <w:r w:rsidR="00827019">
        <w:rPr>
          <w:rFonts w:ascii="Times New Roman" w:eastAsia="DengXian" w:hAnsi="Times New Roman" w:cs="Times New Roman"/>
          <w:sz w:val="24"/>
          <w:szCs w:val="24"/>
          <w:lang w:eastAsia="en-GB"/>
        </w:rPr>
        <w:t xml:space="preserve">an </w:t>
      </w:r>
      <w:r w:rsidRPr="00880312">
        <w:rPr>
          <w:rFonts w:ascii="Times New Roman" w:eastAsia="DengXian" w:hAnsi="Times New Roman" w:cs="Times New Roman"/>
          <w:sz w:val="24"/>
          <w:szCs w:val="24"/>
          <w:lang w:eastAsia="en-GB"/>
        </w:rPr>
        <w:t>average of 13% in 2017 (Schopohl et al., 2020).</w:t>
      </w:r>
    </w:p>
    <w:p w14:paraId="0F6C29E9" w14:textId="6794471F" w:rsidR="00880312" w:rsidRPr="00880312" w:rsidRDefault="00880312" w:rsidP="00880312">
      <w:pPr>
        <w:spacing w:before="100" w:beforeAutospacing="1" w:after="100" w:afterAutospacing="1" w:line="480" w:lineRule="auto"/>
        <w:jc w:val="both"/>
        <w:rPr>
          <w:rFonts w:ascii="Times New Roman" w:eastAsia="DengXian" w:hAnsi="Times New Roman" w:cs="Times New Roman"/>
          <w:sz w:val="24"/>
          <w:szCs w:val="24"/>
          <w:lang w:eastAsia="en-GB"/>
        </w:rPr>
      </w:pPr>
      <w:r w:rsidRPr="00880312">
        <w:rPr>
          <w:rFonts w:ascii="Times New Roman" w:eastAsia="DengXian" w:hAnsi="Times New Roman" w:cs="Times New Roman"/>
          <w:sz w:val="24"/>
          <w:szCs w:val="24"/>
          <w:lang w:eastAsia="en-GB"/>
        </w:rPr>
        <w:t>Thus, based on the literature</w:t>
      </w:r>
      <w:r w:rsidR="00742375">
        <w:rPr>
          <w:rFonts w:ascii="Times New Roman" w:eastAsia="DengXian" w:hAnsi="Times New Roman" w:cs="Times New Roman"/>
          <w:sz w:val="24"/>
          <w:szCs w:val="24"/>
          <w:lang w:eastAsia="en-GB"/>
        </w:rPr>
        <w:t>, we argue that females on board are more influential than female CEO in the banking industry, moderating</w:t>
      </w:r>
      <w:r w:rsidRPr="00880312">
        <w:rPr>
          <w:rFonts w:ascii="Times New Roman" w:eastAsia="DengXian" w:hAnsi="Times New Roman" w:cs="Times New Roman"/>
          <w:sz w:val="24"/>
          <w:szCs w:val="24"/>
          <w:lang w:eastAsia="en-GB"/>
        </w:rPr>
        <w:t xml:space="preserve"> the relationship between female CEO, risk culture and bank risk. </w:t>
      </w:r>
    </w:p>
    <w:p w14:paraId="43907DCD" w14:textId="739D0CC9" w:rsidR="00880312" w:rsidRPr="00880312" w:rsidRDefault="00880312" w:rsidP="00880312">
      <w:pPr>
        <w:spacing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b/>
          <w:bCs/>
          <w:i/>
          <w:iCs/>
          <w:color w:val="000000" w:themeColor="text1"/>
          <w:sz w:val="24"/>
          <w:szCs w:val="24"/>
          <w:lang w:eastAsia="zh-CN"/>
        </w:rPr>
        <w:t>Hypothesis 1c</w:t>
      </w:r>
      <w:r w:rsidRPr="00880312">
        <w:rPr>
          <w:rFonts w:ascii="Times New Roman" w:eastAsia="DengXian" w:hAnsi="Times New Roman" w:cs="Times New Roman"/>
          <w:i/>
          <w:iCs/>
          <w:color w:val="000000" w:themeColor="text1"/>
          <w:sz w:val="24"/>
          <w:szCs w:val="24"/>
          <w:lang w:eastAsia="zh-CN"/>
        </w:rPr>
        <w:t>: Three-way interaction</w:t>
      </w:r>
      <w:r w:rsidR="00742375">
        <w:rPr>
          <w:rFonts w:ascii="Times New Roman" w:eastAsia="DengXian" w:hAnsi="Times New Roman" w:cs="Times New Roman"/>
          <w:i/>
          <w:iCs/>
          <w:color w:val="000000" w:themeColor="text1"/>
          <w:sz w:val="24"/>
          <w:szCs w:val="24"/>
          <w:lang w:eastAsia="zh-CN"/>
        </w:rPr>
        <w:t>,</w:t>
      </w:r>
      <w:r w:rsidRPr="00880312">
        <w:rPr>
          <w:rFonts w:ascii="Times New Roman" w:eastAsia="DengXian" w:hAnsi="Times New Roman" w:cs="Times New Roman"/>
          <w:i/>
          <w:iCs/>
          <w:color w:val="000000" w:themeColor="text1"/>
          <w:sz w:val="24"/>
          <w:szCs w:val="24"/>
          <w:lang w:eastAsia="zh-CN"/>
        </w:rPr>
        <w:t xml:space="preserve"> </w:t>
      </w:r>
      <w:r w:rsidR="000167AF">
        <w:rPr>
          <w:rFonts w:ascii="Times New Roman" w:eastAsia="DengXian" w:hAnsi="Times New Roman" w:cs="Times New Roman"/>
          <w:i/>
          <w:iCs/>
          <w:color w:val="000000" w:themeColor="text1"/>
          <w:sz w:val="24"/>
          <w:szCs w:val="24"/>
          <w:lang w:eastAsia="zh-CN"/>
        </w:rPr>
        <w:t xml:space="preserve">i.e. </w:t>
      </w:r>
      <w:r w:rsidR="00742375">
        <w:rPr>
          <w:rFonts w:ascii="Times New Roman" w:eastAsia="DengXian" w:hAnsi="Times New Roman" w:cs="Times New Roman"/>
          <w:i/>
          <w:iCs/>
          <w:color w:val="000000" w:themeColor="text1"/>
          <w:sz w:val="24"/>
          <w:szCs w:val="24"/>
          <w:lang w:eastAsia="zh-CN"/>
        </w:rPr>
        <w:t xml:space="preserve">the </w:t>
      </w:r>
      <w:r w:rsidR="000167AF">
        <w:rPr>
          <w:rFonts w:ascii="Times New Roman" w:eastAsia="DengXian" w:hAnsi="Times New Roman" w:cs="Times New Roman"/>
          <w:i/>
          <w:iCs/>
          <w:color w:val="000000" w:themeColor="text1"/>
          <w:sz w:val="24"/>
          <w:szCs w:val="24"/>
          <w:lang w:eastAsia="zh-CN"/>
        </w:rPr>
        <w:t xml:space="preserve">interaction of </w:t>
      </w:r>
      <w:r w:rsidRPr="00880312">
        <w:rPr>
          <w:rFonts w:ascii="Times New Roman" w:eastAsia="DengXian" w:hAnsi="Times New Roman" w:cs="Times New Roman"/>
          <w:i/>
          <w:iCs/>
          <w:color w:val="000000" w:themeColor="text1"/>
          <w:sz w:val="24"/>
          <w:szCs w:val="24"/>
          <w:lang w:eastAsia="zh-CN"/>
        </w:rPr>
        <w:t>gender divers</w:t>
      </w:r>
      <w:r w:rsidR="000167AF">
        <w:rPr>
          <w:rFonts w:ascii="Times New Roman" w:eastAsia="DengXian" w:hAnsi="Times New Roman" w:cs="Times New Roman"/>
          <w:i/>
          <w:iCs/>
          <w:color w:val="000000" w:themeColor="text1"/>
          <w:sz w:val="24"/>
          <w:szCs w:val="24"/>
          <w:lang w:eastAsia="zh-CN"/>
        </w:rPr>
        <w:t xml:space="preserve">e board with </w:t>
      </w:r>
      <w:r w:rsidR="00742375">
        <w:rPr>
          <w:rFonts w:ascii="Times New Roman" w:eastAsia="DengXian" w:hAnsi="Times New Roman" w:cs="Times New Roman"/>
          <w:i/>
          <w:iCs/>
          <w:color w:val="000000" w:themeColor="text1"/>
          <w:sz w:val="24"/>
          <w:szCs w:val="24"/>
          <w:lang w:eastAsia="zh-CN"/>
        </w:rPr>
        <w:t xml:space="preserve">the </w:t>
      </w:r>
      <w:r w:rsidR="000167AF">
        <w:rPr>
          <w:rFonts w:ascii="Times New Roman" w:eastAsia="DengXian" w:hAnsi="Times New Roman" w:cs="Times New Roman"/>
          <w:i/>
          <w:iCs/>
          <w:color w:val="000000" w:themeColor="text1"/>
          <w:sz w:val="24"/>
          <w:szCs w:val="24"/>
          <w:lang w:eastAsia="zh-CN"/>
        </w:rPr>
        <w:t>female</w:t>
      </w:r>
      <w:r w:rsidRPr="00880312">
        <w:rPr>
          <w:rFonts w:ascii="Times New Roman" w:eastAsia="DengXian" w:hAnsi="Times New Roman" w:cs="Times New Roman"/>
          <w:i/>
          <w:iCs/>
          <w:color w:val="000000" w:themeColor="text1"/>
          <w:sz w:val="24"/>
          <w:szCs w:val="24"/>
          <w:lang w:eastAsia="zh-CN"/>
        </w:rPr>
        <w:t xml:space="preserve"> leader (CEO</w:t>
      </w:r>
      <w:r w:rsidR="00742375">
        <w:rPr>
          <w:rFonts w:ascii="Times New Roman" w:eastAsia="DengXian" w:hAnsi="Times New Roman" w:cs="Times New Roman"/>
          <w:i/>
          <w:iCs/>
          <w:color w:val="000000" w:themeColor="text1"/>
          <w:sz w:val="24"/>
          <w:szCs w:val="24"/>
          <w:lang w:eastAsia="zh-CN"/>
        </w:rPr>
        <w:t>/Chair</w:t>
      </w:r>
      <w:r w:rsidRPr="00880312">
        <w:rPr>
          <w:rFonts w:ascii="Times New Roman" w:eastAsia="DengXian" w:hAnsi="Times New Roman" w:cs="Times New Roman"/>
          <w:i/>
          <w:iCs/>
          <w:color w:val="000000" w:themeColor="text1"/>
          <w:sz w:val="24"/>
          <w:szCs w:val="24"/>
          <w:lang w:eastAsia="zh-CN"/>
        </w:rPr>
        <w:t xml:space="preserve">) </w:t>
      </w:r>
      <w:r w:rsidR="00742375">
        <w:rPr>
          <w:rFonts w:ascii="Times New Roman" w:eastAsia="DengXian" w:hAnsi="Times New Roman" w:cs="Times New Roman"/>
          <w:i/>
          <w:iCs/>
          <w:color w:val="000000" w:themeColor="text1"/>
          <w:sz w:val="24"/>
          <w:szCs w:val="24"/>
          <w:lang w:eastAsia="zh-CN"/>
        </w:rPr>
        <w:t xml:space="preserve">and </w:t>
      </w:r>
      <w:r w:rsidR="000167AF">
        <w:rPr>
          <w:rFonts w:ascii="Times New Roman" w:eastAsia="DengXian" w:hAnsi="Times New Roman" w:cs="Times New Roman"/>
          <w:i/>
          <w:iCs/>
          <w:color w:val="000000" w:themeColor="text1"/>
          <w:sz w:val="24"/>
          <w:szCs w:val="24"/>
          <w:lang w:eastAsia="zh-CN"/>
        </w:rPr>
        <w:t>risk culture</w:t>
      </w:r>
      <w:r w:rsidR="00742375">
        <w:rPr>
          <w:rFonts w:ascii="Times New Roman" w:eastAsia="DengXian" w:hAnsi="Times New Roman" w:cs="Times New Roman"/>
          <w:i/>
          <w:iCs/>
          <w:color w:val="000000" w:themeColor="text1"/>
          <w:sz w:val="24"/>
          <w:szCs w:val="24"/>
          <w:lang w:eastAsia="zh-CN"/>
        </w:rPr>
        <w:t>,</w:t>
      </w:r>
      <w:r w:rsidR="000167AF">
        <w:rPr>
          <w:rFonts w:ascii="Times New Roman" w:eastAsia="DengXian" w:hAnsi="Times New Roman" w:cs="Times New Roman"/>
          <w:i/>
          <w:iCs/>
          <w:color w:val="000000" w:themeColor="text1"/>
          <w:sz w:val="24"/>
          <w:szCs w:val="24"/>
          <w:lang w:eastAsia="zh-CN"/>
        </w:rPr>
        <w:t xml:space="preserve"> </w:t>
      </w:r>
      <w:r w:rsidR="004A26B3">
        <w:rPr>
          <w:rFonts w:ascii="Times New Roman" w:eastAsia="DengXian" w:hAnsi="Times New Roman" w:cs="Times New Roman"/>
          <w:i/>
          <w:iCs/>
          <w:color w:val="000000" w:themeColor="text1"/>
          <w:sz w:val="24"/>
          <w:szCs w:val="24"/>
          <w:lang w:eastAsia="zh-CN"/>
        </w:rPr>
        <w:t xml:space="preserve">negatively </w:t>
      </w:r>
      <w:r w:rsidRPr="00880312">
        <w:rPr>
          <w:rFonts w:ascii="Times New Roman" w:eastAsia="DengXian" w:hAnsi="Times New Roman" w:cs="Times New Roman"/>
          <w:i/>
          <w:iCs/>
          <w:color w:val="000000" w:themeColor="text1"/>
          <w:sz w:val="24"/>
          <w:szCs w:val="24"/>
          <w:lang w:eastAsia="zh-CN"/>
        </w:rPr>
        <w:t>influences bank risk.</w:t>
      </w:r>
    </w:p>
    <w:p w14:paraId="1936F71E" w14:textId="77777777" w:rsidR="00880312" w:rsidRPr="00880312" w:rsidRDefault="00880312" w:rsidP="00880312">
      <w:pPr>
        <w:spacing w:line="480" w:lineRule="auto"/>
        <w:jc w:val="both"/>
        <w:rPr>
          <w:rFonts w:ascii="Times New Roman" w:eastAsia="DengXian" w:hAnsi="Times New Roman" w:cs="Times New Roman"/>
          <w:i/>
          <w:iCs/>
          <w:color w:val="000000" w:themeColor="text1"/>
          <w:sz w:val="24"/>
          <w:szCs w:val="24"/>
          <w:lang w:eastAsia="zh-CN"/>
        </w:rPr>
      </w:pPr>
    </w:p>
    <w:p w14:paraId="6CB304F9" w14:textId="2B5100D6" w:rsidR="00880312" w:rsidRDefault="00742375" w:rsidP="00742375">
      <w:pPr>
        <w:pStyle w:val="Heading2"/>
        <w:rPr>
          <w:sz w:val="32"/>
          <w:szCs w:val="32"/>
          <w:lang w:eastAsia="zh-CN"/>
        </w:rPr>
      </w:pPr>
      <w:bookmarkStart w:id="98" w:name="_Toc145616199"/>
      <w:r w:rsidRPr="00742375">
        <w:rPr>
          <w:sz w:val="32"/>
          <w:szCs w:val="32"/>
          <w:lang w:eastAsia="zh-CN"/>
        </w:rPr>
        <w:t>4.4</w:t>
      </w:r>
      <w:r w:rsidR="00880312" w:rsidRPr="00742375">
        <w:rPr>
          <w:sz w:val="32"/>
          <w:szCs w:val="32"/>
          <w:lang w:eastAsia="zh-CN"/>
        </w:rPr>
        <w:t>. Sample, variables description, and methodology</w:t>
      </w:r>
      <w:bookmarkEnd w:id="98"/>
    </w:p>
    <w:p w14:paraId="7CDD20C1" w14:textId="77777777" w:rsidR="00742375" w:rsidRPr="00742375" w:rsidRDefault="00742375" w:rsidP="00742375">
      <w:pPr>
        <w:rPr>
          <w:lang w:eastAsia="zh-CN"/>
        </w:rPr>
      </w:pPr>
    </w:p>
    <w:p w14:paraId="2AD2C4D0" w14:textId="595238AB" w:rsidR="00880312" w:rsidRDefault="00742375" w:rsidP="00742375">
      <w:pPr>
        <w:pStyle w:val="Heading3"/>
        <w:rPr>
          <w:rFonts w:ascii="Times New Roman" w:hAnsi="Times New Roman" w:cs="Times New Roman"/>
          <w:b/>
          <w:bCs/>
          <w:color w:val="000000" w:themeColor="text1"/>
          <w:sz w:val="28"/>
          <w:szCs w:val="28"/>
          <w:lang w:eastAsia="zh-CN"/>
        </w:rPr>
      </w:pPr>
      <w:bookmarkStart w:id="99" w:name="_Toc145616200"/>
      <w:r w:rsidRPr="00742375">
        <w:rPr>
          <w:rFonts w:ascii="Times New Roman" w:hAnsi="Times New Roman" w:cs="Times New Roman"/>
          <w:b/>
          <w:bCs/>
          <w:color w:val="000000" w:themeColor="text1"/>
          <w:sz w:val="28"/>
          <w:szCs w:val="28"/>
          <w:lang w:eastAsia="zh-CN"/>
        </w:rPr>
        <w:t>4</w:t>
      </w:r>
      <w:r w:rsidR="00880312" w:rsidRPr="00742375">
        <w:rPr>
          <w:rFonts w:ascii="Times New Roman" w:hAnsi="Times New Roman" w:cs="Times New Roman"/>
          <w:b/>
          <w:bCs/>
          <w:color w:val="000000" w:themeColor="text1"/>
          <w:sz w:val="28"/>
          <w:szCs w:val="28"/>
          <w:lang w:eastAsia="zh-CN"/>
        </w:rPr>
        <w:t>.</w:t>
      </w:r>
      <w:r>
        <w:rPr>
          <w:rFonts w:ascii="Times New Roman" w:hAnsi="Times New Roman" w:cs="Times New Roman"/>
          <w:b/>
          <w:bCs/>
          <w:color w:val="000000" w:themeColor="text1"/>
          <w:sz w:val="28"/>
          <w:szCs w:val="28"/>
          <w:lang w:eastAsia="zh-CN"/>
        </w:rPr>
        <w:t>4.</w:t>
      </w:r>
      <w:r w:rsidR="00880312" w:rsidRPr="00742375">
        <w:rPr>
          <w:rFonts w:ascii="Times New Roman" w:hAnsi="Times New Roman" w:cs="Times New Roman"/>
          <w:b/>
          <w:bCs/>
          <w:color w:val="000000" w:themeColor="text1"/>
          <w:sz w:val="28"/>
          <w:szCs w:val="28"/>
          <w:lang w:eastAsia="zh-CN"/>
        </w:rPr>
        <w:t>1. Sample Construction</w:t>
      </w:r>
      <w:bookmarkEnd w:id="99"/>
    </w:p>
    <w:p w14:paraId="11F0B1D1" w14:textId="77777777" w:rsidR="00742375" w:rsidRPr="00742375" w:rsidRDefault="00742375" w:rsidP="00742375">
      <w:pPr>
        <w:rPr>
          <w:lang w:eastAsia="zh-CN"/>
        </w:rPr>
      </w:pPr>
    </w:p>
    <w:p w14:paraId="72D518E1" w14:textId="6260FC50" w:rsid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To examine the moderating role of board gender diversity on bank risk culture and risk, we collect the accounting data from </w:t>
      </w:r>
      <w:r w:rsidR="004A26B3" w:rsidRPr="00880312">
        <w:rPr>
          <w:rFonts w:ascii="Times New Roman" w:eastAsia="DengXian" w:hAnsi="Times New Roman" w:cs="Times New Roman"/>
          <w:color w:val="000000" w:themeColor="text1"/>
          <w:sz w:val="24"/>
          <w:szCs w:val="24"/>
          <w:lang w:eastAsia="zh-CN"/>
        </w:rPr>
        <w:t>Bank Focus</w:t>
      </w:r>
      <w:r w:rsidRPr="00880312">
        <w:rPr>
          <w:rFonts w:ascii="Times New Roman" w:eastAsia="DengXian" w:hAnsi="Times New Roman" w:cs="Times New Roman"/>
          <w:color w:val="000000" w:themeColor="text1"/>
          <w:sz w:val="24"/>
          <w:szCs w:val="24"/>
          <w:lang w:eastAsia="zh-CN"/>
        </w:rPr>
        <w:t xml:space="preserve"> by Bureau van Dijk, market data from Thomson Reuters Eikon, and board-level data from Boardex. We have used Edgar (SEC) to download 10-K reports and have applied textual analysis on 10-K reports to calculate "Risk Culture". We build a dataset of large U.S</w:t>
      </w:r>
      <w:r w:rsidR="00742375">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commercial banks and bank holding companies (BHCs). </w:t>
      </w:r>
      <w:r w:rsidR="004A26B3">
        <w:rPr>
          <w:rFonts w:ascii="Times New Roman" w:eastAsia="DengXian" w:hAnsi="Times New Roman" w:cs="Times New Roman"/>
          <w:color w:val="000000" w:themeColor="text1"/>
          <w:sz w:val="24"/>
          <w:szCs w:val="24"/>
          <w:lang w:eastAsia="zh-CN"/>
        </w:rPr>
        <w:t>W</w:t>
      </w:r>
      <w:r w:rsidR="004A26B3" w:rsidRPr="00880312">
        <w:rPr>
          <w:rFonts w:ascii="Times New Roman" w:eastAsia="DengXian" w:hAnsi="Times New Roman" w:cs="Times New Roman"/>
          <w:color w:val="000000" w:themeColor="text1"/>
          <w:sz w:val="24"/>
          <w:szCs w:val="24"/>
          <w:lang w:eastAsia="zh-CN"/>
        </w:rPr>
        <w:t xml:space="preserve">e </w:t>
      </w:r>
      <w:r w:rsidR="004A26B3">
        <w:rPr>
          <w:rFonts w:ascii="Times New Roman" w:eastAsia="DengXian" w:hAnsi="Times New Roman" w:cs="Times New Roman"/>
          <w:color w:val="000000" w:themeColor="text1"/>
          <w:sz w:val="24"/>
          <w:szCs w:val="24"/>
          <w:lang w:eastAsia="zh-CN"/>
        </w:rPr>
        <w:t xml:space="preserve">begin with </w:t>
      </w:r>
      <w:r w:rsidRPr="00880312">
        <w:rPr>
          <w:rFonts w:ascii="Times New Roman" w:eastAsia="DengXian" w:hAnsi="Times New Roman" w:cs="Times New Roman"/>
          <w:color w:val="000000" w:themeColor="text1"/>
          <w:sz w:val="24"/>
          <w:szCs w:val="24"/>
          <w:lang w:eastAsia="zh-CN"/>
        </w:rPr>
        <w:t xml:space="preserve">a list of </w:t>
      </w:r>
      <w:r w:rsidR="00742375">
        <w:rPr>
          <w:rFonts w:ascii="Times New Roman" w:eastAsia="DengXian" w:hAnsi="Times New Roman" w:cs="Times New Roman"/>
          <w:color w:val="000000" w:themeColor="text1"/>
          <w:sz w:val="24"/>
          <w:szCs w:val="24"/>
          <w:lang w:eastAsia="zh-CN"/>
        </w:rPr>
        <w:t xml:space="preserve">the </w:t>
      </w:r>
      <w:r w:rsidRPr="00880312">
        <w:rPr>
          <w:rFonts w:ascii="Times New Roman" w:eastAsia="DengXian" w:hAnsi="Times New Roman" w:cs="Times New Roman"/>
          <w:color w:val="000000" w:themeColor="text1"/>
          <w:sz w:val="24"/>
          <w:szCs w:val="24"/>
          <w:lang w:eastAsia="zh-CN"/>
        </w:rPr>
        <w:t xml:space="preserve">top -500 listed banks and BHC from </w:t>
      </w:r>
      <w:r w:rsidR="004A26B3" w:rsidRPr="00880312">
        <w:rPr>
          <w:rFonts w:ascii="Times New Roman" w:eastAsia="DengXian" w:hAnsi="Times New Roman" w:cs="Times New Roman"/>
          <w:color w:val="000000" w:themeColor="text1"/>
          <w:sz w:val="24"/>
          <w:szCs w:val="24"/>
          <w:lang w:eastAsia="zh-CN"/>
        </w:rPr>
        <w:t>Bank Focus</w:t>
      </w:r>
      <w:r w:rsidRPr="00880312">
        <w:rPr>
          <w:rFonts w:ascii="Times New Roman" w:eastAsia="DengXian" w:hAnsi="Times New Roman" w:cs="Times New Roman"/>
          <w:color w:val="000000" w:themeColor="text1"/>
          <w:sz w:val="24"/>
          <w:szCs w:val="24"/>
          <w:lang w:eastAsia="zh-CN"/>
        </w:rPr>
        <w:t xml:space="preserve"> with data on total assets available for 2004. Next, we </w:t>
      </w:r>
      <w:r w:rsidR="00827019">
        <w:rPr>
          <w:rFonts w:ascii="Times New Roman" w:eastAsia="DengXian" w:hAnsi="Times New Roman" w:cs="Times New Roman"/>
          <w:color w:val="000000" w:themeColor="text1"/>
          <w:sz w:val="24"/>
          <w:szCs w:val="24"/>
          <w:lang w:eastAsia="zh-CN"/>
        </w:rPr>
        <w:t xml:space="preserve">manually check </w:t>
      </w:r>
      <w:r w:rsidRPr="00880312">
        <w:rPr>
          <w:rFonts w:ascii="Times New Roman" w:eastAsia="DengXian" w:hAnsi="Times New Roman" w:cs="Times New Roman"/>
          <w:color w:val="000000" w:themeColor="text1"/>
          <w:sz w:val="24"/>
          <w:szCs w:val="24"/>
          <w:lang w:eastAsia="zh-CN"/>
        </w:rPr>
        <w:t xml:space="preserve">the BvD ID, ISIN code, ticker symbol and website address to </w:t>
      </w:r>
      <w:r w:rsidR="00827019">
        <w:rPr>
          <w:rFonts w:ascii="Times New Roman" w:eastAsia="DengXian" w:hAnsi="Times New Roman" w:cs="Times New Roman"/>
          <w:color w:val="000000" w:themeColor="text1"/>
          <w:sz w:val="24"/>
          <w:szCs w:val="24"/>
          <w:lang w:eastAsia="zh-CN"/>
        </w:rPr>
        <w:t>identify unique banks and avoid double counting</w:t>
      </w:r>
      <w:r w:rsidRPr="00880312">
        <w:rPr>
          <w:rFonts w:ascii="Times New Roman" w:eastAsia="DengXian" w:hAnsi="Times New Roman" w:cs="Times New Roman"/>
          <w:color w:val="000000" w:themeColor="text1"/>
          <w:sz w:val="24"/>
          <w:szCs w:val="24"/>
          <w:lang w:eastAsia="zh-CN"/>
        </w:rPr>
        <w:t xml:space="preserve">. We retain those financial institutions with codes C1, C2 or C* and governance data available for at least </w:t>
      </w:r>
      <w:r w:rsidR="00742375">
        <w:rPr>
          <w:rFonts w:ascii="Times New Roman" w:eastAsia="DengXian" w:hAnsi="Times New Roman" w:cs="Times New Roman"/>
          <w:color w:val="000000" w:themeColor="text1"/>
          <w:sz w:val="24"/>
          <w:szCs w:val="24"/>
          <w:lang w:eastAsia="zh-CN"/>
        </w:rPr>
        <w:t xml:space="preserve">three </w:t>
      </w:r>
      <w:r w:rsidRPr="00880312">
        <w:rPr>
          <w:rFonts w:ascii="Times New Roman" w:eastAsia="DengXian" w:hAnsi="Times New Roman" w:cs="Times New Roman"/>
          <w:color w:val="000000" w:themeColor="text1"/>
          <w:sz w:val="24"/>
          <w:szCs w:val="24"/>
          <w:lang w:eastAsia="zh-CN"/>
        </w:rPr>
        <w:t xml:space="preserve">years. </w:t>
      </w:r>
      <w:r w:rsidR="00742375">
        <w:rPr>
          <w:rFonts w:ascii="Times New Roman" w:eastAsia="DengXian" w:hAnsi="Times New Roman" w:cs="Times New Roman"/>
          <w:color w:val="000000" w:themeColor="text1"/>
          <w:sz w:val="24"/>
          <w:szCs w:val="24"/>
          <w:lang w:eastAsia="zh-CN"/>
        </w:rPr>
        <w:t xml:space="preserve">Vallascas et al. (2017) and Mollah et al. (2021) follow a similar approach to sample construction. </w:t>
      </w:r>
      <w:r w:rsidRPr="00880312">
        <w:rPr>
          <w:rFonts w:ascii="Times New Roman" w:eastAsia="DengXian" w:hAnsi="Times New Roman" w:cs="Times New Roman"/>
          <w:color w:val="000000" w:themeColor="text1"/>
          <w:sz w:val="24"/>
          <w:szCs w:val="24"/>
          <w:lang w:eastAsia="zh-CN"/>
        </w:rPr>
        <w:t xml:space="preserve">Our final sample comprises 120 commercial banks and BHC with approximately 1,785 firm-year observations </w:t>
      </w:r>
      <w:r w:rsidR="00742375">
        <w:rPr>
          <w:rFonts w:ascii="Times New Roman" w:eastAsia="DengXian" w:hAnsi="Times New Roman" w:cs="Times New Roman"/>
          <w:color w:val="000000" w:themeColor="text1"/>
          <w:sz w:val="24"/>
          <w:szCs w:val="24"/>
          <w:lang w:eastAsia="zh-CN"/>
        </w:rPr>
        <w:t>from</w:t>
      </w:r>
      <w:r w:rsidRPr="00880312">
        <w:rPr>
          <w:rFonts w:ascii="Times New Roman" w:eastAsia="DengXian" w:hAnsi="Times New Roman" w:cs="Times New Roman"/>
          <w:color w:val="000000" w:themeColor="text1"/>
          <w:sz w:val="24"/>
          <w:szCs w:val="24"/>
          <w:lang w:eastAsia="zh-CN"/>
        </w:rPr>
        <w:t xml:space="preserve"> 2004-2018.</w:t>
      </w:r>
      <w:r w:rsidR="004A26B3">
        <w:rPr>
          <w:rFonts w:ascii="Times New Roman" w:eastAsia="DengXian" w:hAnsi="Times New Roman" w:cs="Times New Roman"/>
          <w:color w:val="000000" w:themeColor="text1"/>
          <w:sz w:val="24"/>
          <w:szCs w:val="24"/>
          <w:lang w:eastAsia="zh-CN"/>
        </w:rPr>
        <w:t xml:space="preserve"> </w:t>
      </w:r>
      <w:r w:rsidR="00742375">
        <w:rPr>
          <w:rFonts w:ascii="Times New Roman" w:eastAsia="DengXian" w:hAnsi="Times New Roman" w:cs="Times New Roman"/>
          <w:color w:val="000000" w:themeColor="text1"/>
          <w:sz w:val="24"/>
          <w:szCs w:val="24"/>
          <w:lang w:eastAsia="zh-CN"/>
        </w:rPr>
        <w:t>The same sample selection approach</w:t>
      </w:r>
      <w:r w:rsidR="004A26B3">
        <w:rPr>
          <w:rFonts w:ascii="Times New Roman" w:eastAsia="DengXian" w:hAnsi="Times New Roman" w:cs="Times New Roman"/>
          <w:color w:val="000000" w:themeColor="text1"/>
          <w:sz w:val="24"/>
          <w:szCs w:val="24"/>
          <w:lang w:eastAsia="zh-CN"/>
        </w:rPr>
        <w:t xml:space="preserve"> has been followed by </w:t>
      </w:r>
      <w:r w:rsidR="004A26B3" w:rsidRPr="00880312">
        <w:rPr>
          <w:rFonts w:ascii="Times New Roman" w:eastAsia="DengXian" w:hAnsi="Times New Roman" w:cs="Times New Roman"/>
          <w:color w:val="000000" w:themeColor="text1"/>
          <w:sz w:val="24"/>
          <w:szCs w:val="24"/>
          <w:lang w:eastAsia="zh-CN"/>
        </w:rPr>
        <w:t>Vallascas et al. 2017</w:t>
      </w:r>
      <w:r w:rsidR="004A26B3">
        <w:rPr>
          <w:rFonts w:ascii="Times New Roman" w:eastAsia="DengXian" w:hAnsi="Times New Roman" w:cs="Times New Roman"/>
          <w:color w:val="000000" w:themeColor="text1"/>
          <w:sz w:val="24"/>
          <w:szCs w:val="24"/>
          <w:lang w:eastAsia="zh-CN"/>
        </w:rPr>
        <w:t>and Mollah et al., 2021.</w:t>
      </w:r>
      <w:r w:rsidR="004A26B3"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 </w:t>
      </w:r>
    </w:p>
    <w:p w14:paraId="56939305" w14:textId="77777777" w:rsidR="00742375" w:rsidRPr="00880312" w:rsidRDefault="00742375" w:rsidP="00880312">
      <w:pPr>
        <w:spacing w:after="0" w:line="480" w:lineRule="auto"/>
        <w:jc w:val="both"/>
        <w:rPr>
          <w:rFonts w:ascii="Times New Roman" w:eastAsia="DengXian" w:hAnsi="Times New Roman" w:cs="Times New Roman"/>
          <w:color w:val="000000" w:themeColor="text1"/>
          <w:sz w:val="24"/>
          <w:szCs w:val="24"/>
          <w:lang w:eastAsia="zh-CN"/>
        </w:rPr>
      </w:pPr>
    </w:p>
    <w:p w14:paraId="1E66267B" w14:textId="6BE79AC7" w:rsidR="00742375" w:rsidRDefault="00742375" w:rsidP="00742375">
      <w:pPr>
        <w:pStyle w:val="Heading3"/>
        <w:rPr>
          <w:rFonts w:ascii="Times New Roman" w:hAnsi="Times New Roman" w:cs="Times New Roman"/>
          <w:b/>
          <w:bCs/>
          <w:color w:val="000000" w:themeColor="text1"/>
          <w:sz w:val="28"/>
          <w:szCs w:val="28"/>
          <w:lang w:eastAsia="zh-CN"/>
        </w:rPr>
      </w:pPr>
      <w:bookmarkStart w:id="100" w:name="_Toc145616201"/>
      <w:r w:rsidRPr="00742375">
        <w:rPr>
          <w:rFonts w:ascii="Times New Roman" w:hAnsi="Times New Roman" w:cs="Times New Roman"/>
          <w:b/>
          <w:bCs/>
          <w:color w:val="000000" w:themeColor="text1"/>
          <w:sz w:val="28"/>
          <w:szCs w:val="28"/>
          <w:lang w:eastAsia="zh-CN"/>
        </w:rPr>
        <w:t>4.4</w:t>
      </w:r>
      <w:r w:rsidR="00880312" w:rsidRPr="00742375">
        <w:rPr>
          <w:rFonts w:ascii="Times New Roman" w:hAnsi="Times New Roman" w:cs="Times New Roman"/>
          <w:b/>
          <w:bCs/>
          <w:color w:val="000000" w:themeColor="text1"/>
          <w:sz w:val="28"/>
          <w:szCs w:val="28"/>
          <w:lang w:eastAsia="zh-CN"/>
        </w:rPr>
        <w:t>.2</w:t>
      </w:r>
      <w:r>
        <w:rPr>
          <w:rFonts w:ascii="Times New Roman" w:hAnsi="Times New Roman" w:cs="Times New Roman"/>
          <w:b/>
          <w:bCs/>
          <w:color w:val="000000" w:themeColor="text1"/>
          <w:sz w:val="28"/>
          <w:szCs w:val="28"/>
          <w:lang w:eastAsia="zh-CN"/>
        </w:rPr>
        <w:t>.</w:t>
      </w:r>
      <w:r w:rsidR="00880312" w:rsidRPr="00742375">
        <w:rPr>
          <w:rFonts w:ascii="Times New Roman" w:hAnsi="Times New Roman" w:cs="Times New Roman"/>
          <w:b/>
          <w:bCs/>
          <w:color w:val="000000" w:themeColor="text1"/>
          <w:sz w:val="28"/>
          <w:szCs w:val="28"/>
          <w:lang w:eastAsia="zh-CN"/>
        </w:rPr>
        <w:t xml:space="preserve"> </w:t>
      </w:r>
      <w:r>
        <w:rPr>
          <w:rFonts w:ascii="Times New Roman" w:hAnsi="Times New Roman" w:cs="Times New Roman"/>
          <w:b/>
          <w:bCs/>
          <w:color w:val="000000" w:themeColor="text1"/>
          <w:sz w:val="28"/>
          <w:szCs w:val="28"/>
          <w:lang w:eastAsia="zh-CN"/>
        </w:rPr>
        <w:t>Variable Description</w:t>
      </w:r>
      <w:bookmarkEnd w:id="100"/>
    </w:p>
    <w:p w14:paraId="159E1064" w14:textId="77777777" w:rsidR="00742375" w:rsidRPr="00742375" w:rsidRDefault="00742375" w:rsidP="00742375">
      <w:pPr>
        <w:rPr>
          <w:lang w:eastAsia="zh-CN"/>
        </w:rPr>
      </w:pPr>
    </w:p>
    <w:p w14:paraId="4E192532" w14:textId="23084E71" w:rsidR="00880312" w:rsidRPr="00742375" w:rsidRDefault="00742375" w:rsidP="00742375">
      <w:pPr>
        <w:pStyle w:val="Heading4"/>
        <w:rPr>
          <w:rFonts w:ascii="Times New Roman" w:hAnsi="Times New Roman" w:cs="Times New Roman"/>
          <w:b/>
          <w:bCs/>
          <w:i w:val="0"/>
          <w:iCs w:val="0"/>
          <w:color w:val="000000" w:themeColor="text1"/>
          <w:sz w:val="24"/>
          <w:szCs w:val="24"/>
          <w:lang w:eastAsia="zh-CN"/>
        </w:rPr>
      </w:pPr>
      <w:r w:rsidRPr="00742375">
        <w:rPr>
          <w:rFonts w:ascii="Times New Roman" w:hAnsi="Times New Roman" w:cs="Times New Roman"/>
          <w:b/>
          <w:bCs/>
          <w:i w:val="0"/>
          <w:iCs w:val="0"/>
          <w:color w:val="000000" w:themeColor="text1"/>
          <w:sz w:val="24"/>
          <w:szCs w:val="24"/>
          <w:lang w:eastAsia="zh-CN"/>
        </w:rPr>
        <w:t xml:space="preserve">4.4.2.1. </w:t>
      </w:r>
      <w:r w:rsidR="00880312" w:rsidRPr="00742375">
        <w:rPr>
          <w:rFonts w:ascii="Times New Roman" w:hAnsi="Times New Roman" w:cs="Times New Roman"/>
          <w:b/>
          <w:bCs/>
          <w:i w:val="0"/>
          <w:iCs w:val="0"/>
          <w:color w:val="000000" w:themeColor="text1"/>
          <w:sz w:val="24"/>
          <w:szCs w:val="24"/>
          <w:lang w:eastAsia="zh-CN"/>
        </w:rPr>
        <w:t>Bank corporate culture: Competing Value Framework (CVF)</w:t>
      </w:r>
    </w:p>
    <w:p w14:paraId="4B43F4E7" w14:textId="77777777" w:rsidR="00742375" w:rsidRPr="00742375" w:rsidRDefault="00742375" w:rsidP="00742375">
      <w:pPr>
        <w:pStyle w:val="Heading4"/>
        <w:rPr>
          <w:rFonts w:ascii="Times New Roman" w:eastAsia="DengXian" w:hAnsi="Times New Roman" w:cs="Times New Roman"/>
          <w:b/>
          <w:bCs/>
          <w:i w:val="0"/>
          <w:iCs w:val="0"/>
          <w:color w:val="000000" w:themeColor="text1"/>
          <w:sz w:val="24"/>
          <w:szCs w:val="24"/>
          <w:lang w:eastAsia="zh-CN"/>
        </w:rPr>
      </w:pPr>
    </w:p>
    <w:p w14:paraId="35B4DAB0" w14:textId="1DEAE710"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This study defines culture by applying CVF by Cameron </w:t>
      </w:r>
      <w:r w:rsidRPr="00880312">
        <w:rPr>
          <w:rFonts w:ascii="Times New Roman" w:eastAsia="DengXian" w:hAnsi="Times New Roman" w:cs="Times New Roman"/>
          <w:i/>
          <w:iCs/>
          <w:color w:val="000000" w:themeColor="text1"/>
          <w:sz w:val="24"/>
          <w:szCs w:val="24"/>
          <w:lang w:eastAsia="zh-CN"/>
        </w:rPr>
        <w:t>et al</w:t>
      </w:r>
      <w:r w:rsidRPr="00880312">
        <w:rPr>
          <w:rFonts w:ascii="Times New Roman" w:eastAsia="DengXian" w:hAnsi="Times New Roman" w:cs="Times New Roman"/>
          <w:color w:val="000000" w:themeColor="text1"/>
          <w:sz w:val="24"/>
          <w:szCs w:val="24"/>
          <w:lang w:eastAsia="zh-CN"/>
        </w:rPr>
        <w:t xml:space="preserve">. (2006), a widely used framework in organizational literature (Hartnell, Ouand Kinicki, 2011). The CVF classifies </w:t>
      </w:r>
      <w:r w:rsidR="00742375">
        <w:rPr>
          <w:rFonts w:ascii="Times New Roman" w:eastAsia="DengXian" w:hAnsi="Times New Roman" w:cs="Times New Roman"/>
          <w:color w:val="000000" w:themeColor="text1"/>
          <w:sz w:val="24"/>
          <w:szCs w:val="24"/>
          <w:lang w:eastAsia="zh-CN"/>
        </w:rPr>
        <w:t xml:space="preserve">the </w:t>
      </w:r>
      <w:r w:rsidR="00827019">
        <w:rPr>
          <w:rFonts w:ascii="Times New Roman" w:eastAsia="DengXian" w:hAnsi="Times New Roman" w:cs="Times New Roman"/>
          <w:color w:val="000000" w:themeColor="text1"/>
          <w:sz w:val="24"/>
          <w:szCs w:val="24"/>
          <w:lang w:eastAsia="zh-CN"/>
        </w:rPr>
        <w:t xml:space="preserve">company’s </w:t>
      </w:r>
      <w:r w:rsidRPr="00880312">
        <w:rPr>
          <w:rFonts w:ascii="Times New Roman" w:eastAsia="DengXian" w:hAnsi="Times New Roman" w:cs="Times New Roman"/>
          <w:color w:val="000000" w:themeColor="text1"/>
          <w:sz w:val="24"/>
          <w:szCs w:val="24"/>
          <w:lang w:eastAsia="zh-CN"/>
        </w:rPr>
        <w:t xml:space="preserve">culture into four categories (create, compete, control, collaborate) positioned on four quadrants, as shown in </w:t>
      </w:r>
      <w:r w:rsidRPr="00880312">
        <w:rPr>
          <w:rFonts w:ascii="Times New Roman" w:eastAsia="DengXian" w:hAnsi="Times New Roman" w:cs="Times New Roman"/>
          <w:i/>
          <w:iCs/>
          <w:color w:val="000000" w:themeColor="text1"/>
          <w:sz w:val="24"/>
          <w:szCs w:val="24"/>
          <w:lang w:eastAsia="zh-CN"/>
        </w:rPr>
        <w:t xml:space="preserve">Figure </w:t>
      </w:r>
      <w:r w:rsidR="000463F4">
        <w:rPr>
          <w:rFonts w:ascii="Times New Roman" w:eastAsia="DengXian" w:hAnsi="Times New Roman" w:cs="Times New Roman"/>
          <w:i/>
          <w:iCs/>
          <w:color w:val="000000" w:themeColor="text1"/>
          <w:sz w:val="24"/>
          <w:szCs w:val="24"/>
          <w:lang w:eastAsia="zh-CN"/>
        </w:rPr>
        <w:t>6</w:t>
      </w:r>
      <w:r w:rsidRPr="00880312">
        <w:rPr>
          <w:rFonts w:ascii="Times New Roman" w:eastAsia="DengXian" w:hAnsi="Times New Roman" w:cs="Times New Roman"/>
          <w:color w:val="000000" w:themeColor="text1"/>
          <w:sz w:val="24"/>
          <w:szCs w:val="24"/>
          <w:lang w:eastAsia="zh-CN"/>
        </w:rPr>
        <w:t>. From the CVF, we can view corporate culture in two dimensions. The first dimension is flexibility and discretion vs stability and control (vertical axis)</w:t>
      </w:r>
      <w:r w:rsidR="00742375">
        <w:rPr>
          <w:rFonts w:ascii="Times New Roman" w:eastAsia="DengXian" w:hAnsi="Times New Roman" w:cs="Times New Roman"/>
          <w:color w:val="000000" w:themeColor="text1"/>
          <w:sz w:val="24"/>
          <w:szCs w:val="24"/>
          <w:lang w:eastAsia="zh-CN"/>
        </w:rPr>
        <w:t>. T</w:t>
      </w:r>
      <w:r w:rsidRPr="00880312">
        <w:rPr>
          <w:rFonts w:ascii="Times New Roman" w:eastAsia="DengXian" w:hAnsi="Times New Roman" w:cs="Times New Roman"/>
          <w:color w:val="000000" w:themeColor="text1"/>
          <w:sz w:val="24"/>
          <w:szCs w:val="24"/>
          <w:lang w:eastAsia="zh-CN"/>
        </w:rPr>
        <w:t xml:space="preserve">he second </w:t>
      </w:r>
      <w:r w:rsidR="00742375">
        <w:rPr>
          <w:rFonts w:ascii="Times New Roman" w:eastAsia="DengXian" w:hAnsi="Times New Roman" w:cs="Times New Roman"/>
          <w:color w:val="000000" w:themeColor="text1"/>
          <w:sz w:val="24"/>
          <w:szCs w:val="24"/>
          <w:lang w:eastAsia="zh-CN"/>
        </w:rPr>
        <w:t xml:space="preserve">dimension </w:t>
      </w:r>
      <w:r w:rsidRPr="00880312">
        <w:rPr>
          <w:rFonts w:ascii="Times New Roman" w:eastAsia="DengXian" w:hAnsi="Times New Roman" w:cs="Times New Roman"/>
          <w:color w:val="000000" w:themeColor="text1"/>
          <w:sz w:val="24"/>
          <w:szCs w:val="24"/>
          <w:lang w:eastAsia="zh-CN"/>
        </w:rPr>
        <w:t xml:space="preserve">is internal vs external orientation (horizontal axis). The </w:t>
      </w:r>
      <w:r w:rsidRPr="00880312">
        <w:rPr>
          <w:rFonts w:ascii="Times New Roman" w:eastAsia="DengXian" w:hAnsi="Times New Roman" w:cs="Times New Roman"/>
          <w:i/>
          <w:iCs/>
          <w:color w:val="000000" w:themeColor="text1"/>
          <w:sz w:val="24"/>
          <w:szCs w:val="24"/>
          <w:lang w:eastAsia="zh-CN"/>
        </w:rPr>
        <w:t>collaboration and control</w:t>
      </w:r>
      <w:r w:rsidRPr="00880312">
        <w:rPr>
          <w:rFonts w:ascii="Times New Roman" w:eastAsia="DengXian" w:hAnsi="Times New Roman" w:cs="Times New Roman"/>
          <w:color w:val="000000" w:themeColor="text1"/>
          <w:sz w:val="24"/>
          <w:szCs w:val="24"/>
          <w:lang w:eastAsia="zh-CN"/>
        </w:rPr>
        <w:t xml:space="preserve"> dimensions share an internal orientation focusing on integration, collaboration, and unity. On the other hand, </w:t>
      </w:r>
      <w:r w:rsidRPr="00880312">
        <w:rPr>
          <w:rFonts w:ascii="Times New Roman" w:eastAsia="DengXian" w:hAnsi="Times New Roman" w:cs="Times New Roman"/>
          <w:i/>
          <w:iCs/>
          <w:color w:val="000000" w:themeColor="text1"/>
          <w:sz w:val="24"/>
          <w:szCs w:val="24"/>
          <w:lang w:eastAsia="zh-CN"/>
        </w:rPr>
        <w:t>compete and create culture</w:t>
      </w:r>
      <w:r w:rsidRPr="00880312">
        <w:rPr>
          <w:rFonts w:ascii="Times New Roman" w:eastAsia="DengXian" w:hAnsi="Times New Roman" w:cs="Times New Roman"/>
          <w:color w:val="000000" w:themeColor="text1"/>
          <w:sz w:val="24"/>
          <w:szCs w:val="24"/>
          <w:lang w:eastAsia="zh-CN"/>
        </w:rPr>
        <w:t xml:space="preserve"> types share an external focus based on differentiation, competition, and rivalry. Firms that belong to compete and create quadrants emphasize risk-taking, adaptability, competitiveness, and aggressiveness (Barth and Mansouri, 2021; Wang et al., 2021; Nguyen et al., 2019). </w:t>
      </w:r>
    </w:p>
    <w:p w14:paraId="76365E83" w14:textId="70D6F5F5"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We follow the literature on bank risk culture (Fiordelisi and Ricci,2014; Nguyen et al., 2019; Wang et al., 2021) and perform a textual analysis of annual bank reports (10-K) to measure risk culture. Our motivation to use textual analysis is based on the view that corporate culture represents the unspoken code of communication among members of an organization (Cremer, 1993) reflected by the words and expressions used by these members (Levinson, 2003). To avoid any subjectivity, we follow Fiordelisi and Ricci (2014) and use a set of words for each cultural dimension as described by Cameron </w:t>
      </w:r>
      <w:r w:rsidRPr="00880312">
        <w:rPr>
          <w:rFonts w:ascii="Times New Roman" w:eastAsia="DengXian" w:hAnsi="Times New Roman" w:cs="Times New Roman"/>
          <w:i/>
          <w:iCs/>
          <w:color w:val="000000" w:themeColor="text1"/>
          <w:sz w:val="24"/>
          <w:szCs w:val="24"/>
          <w:lang w:eastAsia="zh-CN"/>
        </w:rPr>
        <w:t xml:space="preserve">et al. </w:t>
      </w:r>
      <w:r w:rsidRPr="00880312">
        <w:rPr>
          <w:rFonts w:ascii="Times New Roman" w:eastAsia="DengXian" w:hAnsi="Times New Roman" w:cs="Times New Roman"/>
          <w:color w:val="000000" w:themeColor="text1"/>
          <w:sz w:val="24"/>
          <w:szCs w:val="24"/>
          <w:lang w:eastAsia="zh-CN"/>
        </w:rPr>
        <w:t xml:space="preserve">(2006) and supplement it with the Harvard IV-4 Psychosocial Dictionary to identify synonymous(see Figure </w:t>
      </w:r>
      <w:r w:rsidR="000463F4">
        <w:rPr>
          <w:rFonts w:ascii="Times New Roman" w:eastAsia="DengXian" w:hAnsi="Times New Roman" w:cs="Times New Roman"/>
          <w:color w:val="000000" w:themeColor="text1"/>
          <w:sz w:val="24"/>
          <w:szCs w:val="24"/>
          <w:lang w:eastAsia="zh-CN"/>
        </w:rPr>
        <w:t>7</w:t>
      </w:r>
      <w:r w:rsidRPr="00880312">
        <w:rPr>
          <w:rFonts w:ascii="Times New Roman" w:eastAsia="DengXian" w:hAnsi="Times New Roman" w:cs="Times New Roman"/>
          <w:color w:val="000000" w:themeColor="text1"/>
          <w:sz w:val="24"/>
          <w:szCs w:val="24"/>
          <w:lang w:eastAsia="zh-CN"/>
        </w:rPr>
        <w:t xml:space="preserve">) to construct our culture score. The score of each cultural </w:t>
      </w:r>
      <w:r w:rsidR="00827019">
        <w:rPr>
          <w:rFonts w:ascii="Times New Roman" w:eastAsia="DengXian" w:hAnsi="Times New Roman" w:cs="Times New Roman"/>
          <w:color w:val="000000" w:themeColor="text1"/>
          <w:sz w:val="24"/>
          <w:szCs w:val="24"/>
          <w:lang w:eastAsia="zh-CN"/>
        </w:rPr>
        <w:t xml:space="preserve">category is </w:t>
      </w:r>
      <w:r w:rsidRPr="00880312">
        <w:rPr>
          <w:rFonts w:ascii="Times New Roman" w:eastAsia="DengXian" w:hAnsi="Times New Roman" w:cs="Times New Roman"/>
          <w:color w:val="000000" w:themeColor="text1"/>
          <w:sz w:val="24"/>
          <w:szCs w:val="24"/>
          <w:lang w:eastAsia="zh-CN"/>
        </w:rPr>
        <w:t xml:space="preserve">the </w:t>
      </w:r>
      <w:r w:rsidR="00827019">
        <w:rPr>
          <w:rFonts w:ascii="Times New Roman" w:eastAsia="DengXian" w:hAnsi="Times New Roman" w:cs="Times New Roman"/>
          <w:color w:val="000000" w:themeColor="text1"/>
          <w:sz w:val="24"/>
          <w:szCs w:val="24"/>
          <w:lang w:eastAsia="zh-CN"/>
        </w:rPr>
        <w:t xml:space="preserve">ratio of the </w:t>
      </w:r>
      <w:r w:rsidRPr="00880312">
        <w:rPr>
          <w:rFonts w:ascii="Times New Roman" w:eastAsia="DengXian" w:hAnsi="Times New Roman" w:cs="Times New Roman"/>
          <w:color w:val="000000" w:themeColor="text1"/>
          <w:sz w:val="24"/>
          <w:szCs w:val="24"/>
          <w:lang w:eastAsia="zh-CN"/>
        </w:rPr>
        <w:t xml:space="preserve">frequency of </w:t>
      </w:r>
      <w:r w:rsidR="00827019">
        <w:rPr>
          <w:rFonts w:ascii="Times New Roman" w:eastAsia="DengXian" w:hAnsi="Times New Roman" w:cs="Times New Roman"/>
          <w:color w:val="000000" w:themeColor="text1"/>
          <w:sz w:val="24"/>
          <w:szCs w:val="24"/>
          <w:lang w:eastAsia="zh-CN"/>
        </w:rPr>
        <w:t xml:space="preserve">keywords associated with that particular culture category to </w:t>
      </w:r>
      <w:r w:rsidRPr="00880312">
        <w:rPr>
          <w:rFonts w:ascii="Times New Roman" w:eastAsia="DengXian" w:hAnsi="Times New Roman" w:cs="Times New Roman"/>
          <w:color w:val="000000" w:themeColor="text1"/>
          <w:sz w:val="24"/>
          <w:szCs w:val="24"/>
          <w:lang w:eastAsia="zh-CN"/>
        </w:rPr>
        <w:t xml:space="preserve">the total number of words in all culture dimensions to capture the relative emphasis or intensity of the risky culture compared to other cultures (Wang et al., 2021). We obtained four scores for each bank each year, one for each cultural dimension. We take the stance </w:t>
      </w:r>
      <w:r w:rsidR="00742375">
        <w:rPr>
          <w:rFonts w:ascii="Times New Roman" w:eastAsia="DengXian" w:hAnsi="Times New Roman" w:cs="Times New Roman"/>
          <w:color w:val="000000" w:themeColor="text1"/>
          <w:sz w:val="24"/>
          <w:szCs w:val="24"/>
          <w:lang w:eastAsia="zh-CN"/>
        </w:rPr>
        <w:t>Barth and Mansuri (2021) give</w:t>
      </w:r>
      <w:r w:rsidRPr="00880312">
        <w:rPr>
          <w:rFonts w:ascii="Times New Roman" w:eastAsia="DengXian" w:hAnsi="Times New Roman" w:cs="Times New Roman"/>
          <w:color w:val="000000" w:themeColor="text1"/>
          <w:sz w:val="24"/>
          <w:szCs w:val="24"/>
          <w:lang w:eastAsia="zh-CN"/>
        </w:rPr>
        <w:t>, i.e., banks have an external strategic focus with elements of discontinuity, change and risk. Thus, the most relevant measure of corporate culture is "Create Culture, " which represents banks' risk culture in this study</w:t>
      </w:r>
      <w:r w:rsidR="00E47B73">
        <w:rPr>
          <w:rStyle w:val="FootnoteReference"/>
          <w:rFonts w:ascii="Times New Roman" w:eastAsia="DengXian" w:hAnsi="Times New Roman" w:cs="Times New Roman"/>
          <w:color w:val="000000" w:themeColor="text1"/>
          <w:sz w:val="24"/>
          <w:szCs w:val="24"/>
          <w:lang w:eastAsia="zh-CN"/>
        </w:rPr>
        <w:footnoteReference w:id="10"/>
      </w:r>
      <w:r w:rsidRPr="00880312">
        <w:rPr>
          <w:rFonts w:ascii="Times New Roman" w:eastAsia="DengXian" w:hAnsi="Times New Roman" w:cs="Times New Roman"/>
          <w:color w:val="000000" w:themeColor="text1"/>
          <w:sz w:val="24"/>
          <w:szCs w:val="24"/>
          <w:lang w:eastAsia="zh-CN"/>
        </w:rPr>
        <w:t xml:space="preserve">. We further calculate another estimate for risk culture following Nguyen et al. (2019), where the risk culture </w:t>
      </w:r>
      <w:r w:rsidR="00827019">
        <w:rPr>
          <w:rFonts w:ascii="Times New Roman" w:eastAsia="DengXian" w:hAnsi="Times New Roman" w:cs="Times New Roman"/>
          <w:color w:val="000000" w:themeColor="text1"/>
          <w:sz w:val="24"/>
          <w:szCs w:val="24"/>
          <w:lang w:eastAsia="zh-CN"/>
        </w:rPr>
        <w:t xml:space="preserve">is the ratio of </w:t>
      </w:r>
      <w:r w:rsidRPr="00880312">
        <w:rPr>
          <w:rFonts w:ascii="Times New Roman" w:eastAsia="DengXian" w:hAnsi="Times New Roman" w:cs="Times New Roman"/>
          <w:color w:val="000000" w:themeColor="text1"/>
          <w:sz w:val="24"/>
          <w:szCs w:val="24"/>
          <w:lang w:eastAsia="zh-CN"/>
        </w:rPr>
        <w:t xml:space="preserve">the frequency of keywords associated with </w:t>
      </w:r>
      <w:r w:rsidR="00742375">
        <w:rPr>
          <w:rFonts w:ascii="Times New Roman" w:eastAsia="DengXian" w:hAnsi="Times New Roman" w:cs="Times New Roman"/>
          <w:color w:val="000000" w:themeColor="text1"/>
          <w:sz w:val="24"/>
          <w:szCs w:val="24"/>
          <w:lang w:eastAsia="zh-CN"/>
        </w:rPr>
        <w:t>c</w:t>
      </w:r>
      <w:r w:rsidR="00827019">
        <w:rPr>
          <w:rFonts w:ascii="Times New Roman" w:eastAsia="DengXian" w:hAnsi="Times New Roman" w:cs="Times New Roman"/>
          <w:color w:val="000000" w:themeColor="text1"/>
          <w:sz w:val="24"/>
          <w:szCs w:val="24"/>
          <w:lang w:eastAsia="zh-CN"/>
        </w:rPr>
        <w:t>reate</w:t>
      </w:r>
      <w:r w:rsidR="00827019"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culture </w:t>
      </w:r>
      <w:r w:rsidR="00827019">
        <w:rPr>
          <w:rFonts w:ascii="Times New Roman" w:eastAsia="DengXian" w:hAnsi="Times New Roman" w:cs="Times New Roman"/>
          <w:color w:val="000000" w:themeColor="text1"/>
          <w:sz w:val="24"/>
          <w:szCs w:val="24"/>
          <w:lang w:eastAsia="zh-CN"/>
        </w:rPr>
        <w:t>to</w:t>
      </w:r>
      <w:r w:rsidRPr="00880312">
        <w:rPr>
          <w:rFonts w:ascii="Times New Roman" w:eastAsia="DengXian" w:hAnsi="Times New Roman" w:cs="Times New Roman"/>
          <w:color w:val="000000" w:themeColor="text1"/>
          <w:sz w:val="24"/>
          <w:szCs w:val="24"/>
          <w:lang w:eastAsia="zh-CN"/>
        </w:rPr>
        <w:t xml:space="preserve"> the total number of words in the annual report. </w:t>
      </w:r>
    </w:p>
    <w:p w14:paraId="1ED4B9DC" w14:textId="1CEF6203"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 Insert Figure </w:t>
      </w:r>
      <w:r w:rsidR="000463F4">
        <w:rPr>
          <w:rFonts w:ascii="Times New Roman" w:eastAsia="DengXian" w:hAnsi="Times New Roman" w:cs="Times New Roman"/>
          <w:i/>
          <w:iCs/>
          <w:color w:val="000000" w:themeColor="text1"/>
          <w:sz w:val="24"/>
          <w:szCs w:val="24"/>
          <w:lang w:eastAsia="zh-CN"/>
        </w:rPr>
        <w:t>6</w:t>
      </w:r>
      <w:r w:rsidR="004A26B3">
        <w:rPr>
          <w:rFonts w:ascii="Times New Roman" w:eastAsia="DengXian" w:hAnsi="Times New Roman" w:cs="Times New Roman"/>
          <w:i/>
          <w:iCs/>
          <w:color w:val="000000" w:themeColor="text1"/>
          <w:sz w:val="24"/>
          <w:szCs w:val="24"/>
          <w:lang w:eastAsia="zh-CN"/>
        </w:rPr>
        <w:t xml:space="preserve"> here </w:t>
      </w:r>
      <w:r w:rsidRPr="00880312">
        <w:rPr>
          <w:rFonts w:ascii="Times New Roman" w:eastAsia="DengXian" w:hAnsi="Times New Roman" w:cs="Times New Roman"/>
          <w:i/>
          <w:iCs/>
          <w:color w:val="000000" w:themeColor="text1"/>
          <w:sz w:val="24"/>
          <w:szCs w:val="24"/>
          <w:lang w:eastAsia="zh-CN"/>
        </w:rPr>
        <w:t>]</w:t>
      </w:r>
      <w:r w:rsidR="004A26B3"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Figure</w:t>
      </w:r>
      <w:r w:rsidR="00F037AE">
        <w:rPr>
          <w:rFonts w:ascii="Times New Roman" w:eastAsia="DengXian" w:hAnsi="Times New Roman" w:cs="Times New Roman"/>
          <w:i/>
          <w:iCs/>
          <w:color w:val="000000" w:themeColor="text1"/>
          <w:sz w:val="24"/>
          <w:szCs w:val="24"/>
          <w:lang w:eastAsia="zh-CN"/>
        </w:rPr>
        <w:t xml:space="preserve"> </w:t>
      </w:r>
      <w:r w:rsidR="000463F4">
        <w:rPr>
          <w:rFonts w:ascii="Times New Roman" w:eastAsia="DengXian" w:hAnsi="Times New Roman" w:cs="Times New Roman"/>
          <w:i/>
          <w:iCs/>
          <w:color w:val="000000" w:themeColor="text1"/>
          <w:sz w:val="24"/>
          <w:szCs w:val="24"/>
          <w:lang w:eastAsia="zh-CN"/>
        </w:rPr>
        <w:t>7</w:t>
      </w:r>
      <w:r w:rsidRPr="00880312">
        <w:rPr>
          <w:rFonts w:ascii="Times New Roman" w:eastAsia="DengXian" w:hAnsi="Times New Roman" w:cs="Times New Roman"/>
          <w:i/>
          <w:iCs/>
          <w:color w:val="000000" w:themeColor="text1"/>
          <w:sz w:val="24"/>
          <w:szCs w:val="24"/>
          <w:lang w:eastAsia="zh-CN"/>
        </w:rPr>
        <w:t xml:space="preserve"> here]</w:t>
      </w:r>
    </w:p>
    <w:p w14:paraId="61EAE08C" w14:textId="3234A548" w:rsidR="00880312" w:rsidRPr="00880312" w:rsidRDefault="004A26B3" w:rsidP="00880312">
      <w:pPr>
        <w:spacing w:after="0" w:line="480" w:lineRule="auto"/>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t xml:space="preserve">We show the average culture score of </w:t>
      </w:r>
      <w:r w:rsidR="004648AA">
        <w:rPr>
          <w:rFonts w:ascii="Times New Roman" w:eastAsia="DengXian" w:hAnsi="Times New Roman" w:cs="Times New Roman"/>
          <w:color w:val="000000" w:themeColor="text1"/>
          <w:sz w:val="24"/>
          <w:szCs w:val="24"/>
          <w:lang w:eastAsia="zh-CN"/>
        </w:rPr>
        <w:t>banks</w:t>
      </w:r>
      <w:r>
        <w:rPr>
          <w:rFonts w:ascii="Times New Roman" w:eastAsia="DengXian" w:hAnsi="Times New Roman" w:cs="Times New Roman"/>
          <w:color w:val="000000" w:themeColor="text1"/>
          <w:sz w:val="24"/>
          <w:szCs w:val="24"/>
          <w:lang w:eastAsia="zh-CN"/>
        </w:rPr>
        <w:t xml:space="preserve"> by year in </w:t>
      </w:r>
      <w:r w:rsidRPr="009E69CE">
        <w:rPr>
          <w:rFonts w:ascii="Times New Roman" w:eastAsia="DengXian" w:hAnsi="Times New Roman" w:cs="Times New Roman"/>
          <w:i/>
          <w:iCs/>
          <w:color w:val="000000" w:themeColor="text1"/>
          <w:sz w:val="24"/>
          <w:szCs w:val="24"/>
          <w:lang w:eastAsia="zh-CN"/>
        </w:rPr>
        <w:t xml:space="preserve">Figure </w:t>
      </w:r>
      <w:r w:rsidR="000463F4">
        <w:rPr>
          <w:rFonts w:ascii="Times New Roman" w:eastAsia="DengXian" w:hAnsi="Times New Roman" w:cs="Times New Roman"/>
          <w:i/>
          <w:iCs/>
          <w:color w:val="000000" w:themeColor="text1"/>
          <w:sz w:val="24"/>
          <w:szCs w:val="24"/>
          <w:lang w:eastAsia="zh-CN"/>
        </w:rPr>
        <w:t>8</w:t>
      </w:r>
      <w:r>
        <w:rPr>
          <w:rFonts w:ascii="Times New Roman" w:eastAsia="DengXian" w:hAnsi="Times New Roman" w:cs="Times New Roman"/>
          <w:color w:val="000000" w:themeColor="text1"/>
          <w:sz w:val="24"/>
          <w:szCs w:val="24"/>
          <w:lang w:eastAsia="zh-CN"/>
        </w:rPr>
        <w:t xml:space="preserve">. The figure shows </w:t>
      </w:r>
      <w:r w:rsidR="00742375" w:rsidRPr="00742375">
        <w:rPr>
          <w:rFonts w:ascii="Times New Roman" w:eastAsia="DengXian" w:hAnsi="Times New Roman" w:cs="Times New Roman"/>
          <w:i/>
          <w:iCs/>
          <w:color w:val="000000" w:themeColor="text1"/>
          <w:sz w:val="24"/>
          <w:szCs w:val="24"/>
          <w:lang w:eastAsia="zh-CN"/>
        </w:rPr>
        <w:t>c</w:t>
      </w:r>
      <w:r w:rsidRPr="00742375">
        <w:rPr>
          <w:rFonts w:ascii="Times New Roman" w:eastAsia="DengXian" w:hAnsi="Times New Roman" w:cs="Times New Roman"/>
          <w:i/>
          <w:iCs/>
          <w:color w:val="000000" w:themeColor="text1"/>
          <w:sz w:val="24"/>
          <w:szCs w:val="24"/>
          <w:lang w:eastAsia="zh-CN"/>
        </w:rPr>
        <w:t>reate</w:t>
      </w:r>
      <w:r>
        <w:rPr>
          <w:rFonts w:ascii="Times New Roman" w:eastAsia="DengXian" w:hAnsi="Times New Roman" w:cs="Times New Roman"/>
          <w:color w:val="000000" w:themeColor="text1"/>
          <w:sz w:val="24"/>
          <w:szCs w:val="24"/>
          <w:lang w:eastAsia="zh-CN"/>
        </w:rPr>
        <w:t xml:space="preserve"> </w:t>
      </w:r>
      <w:r w:rsidR="00742375" w:rsidRPr="00742375">
        <w:rPr>
          <w:rFonts w:ascii="Times New Roman" w:eastAsia="DengXian" w:hAnsi="Times New Roman" w:cs="Times New Roman"/>
          <w:i/>
          <w:iCs/>
          <w:color w:val="000000" w:themeColor="text1"/>
          <w:sz w:val="24"/>
          <w:szCs w:val="24"/>
          <w:lang w:eastAsia="zh-CN"/>
        </w:rPr>
        <w:t>c</w:t>
      </w:r>
      <w:r w:rsidRPr="00742375">
        <w:rPr>
          <w:rFonts w:ascii="Times New Roman" w:eastAsia="DengXian" w:hAnsi="Times New Roman" w:cs="Times New Roman"/>
          <w:i/>
          <w:iCs/>
          <w:color w:val="000000" w:themeColor="text1"/>
          <w:sz w:val="24"/>
          <w:szCs w:val="24"/>
          <w:lang w:eastAsia="zh-CN"/>
        </w:rPr>
        <w:t>ulture</w:t>
      </w:r>
      <w:r>
        <w:rPr>
          <w:rFonts w:ascii="Times New Roman" w:eastAsia="DengXian" w:hAnsi="Times New Roman" w:cs="Times New Roman"/>
          <w:color w:val="000000" w:themeColor="text1"/>
          <w:sz w:val="24"/>
          <w:szCs w:val="24"/>
          <w:lang w:eastAsia="zh-CN"/>
        </w:rPr>
        <w:t xml:space="preserve"> is the dominant culture over the year. Further, t</w:t>
      </w:r>
      <w:r w:rsidR="00880312" w:rsidRPr="00880312">
        <w:rPr>
          <w:rFonts w:ascii="Times New Roman" w:eastAsia="DengXian" w:hAnsi="Times New Roman" w:cs="Times New Roman"/>
          <w:color w:val="000000" w:themeColor="text1"/>
          <w:sz w:val="24"/>
          <w:szCs w:val="24"/>
          <w:lang w:eastAsia="zh-CN"/>
        </w:rPr>
        <w:t xml:space="preserve">he yearly distribution of four risk cultures in </w:t>
      </w:r>
      <w:r w:rsidRPr="009E69CE">
        <w:rPr>
          <w:rFonts w:ascii="Times New Roman" w:eastAsia="DengXian" w:hAnsi="Times New Roman" w:cs="Times New Roman"/>
          <w:i/>
          <w:iCs/>
          <w:color w:val="000000" w:themeColor="text1"/>
          <w:sz w:val="24"/>
          <w:szCs w:val="24"/>
          <w:lang w:eastAsia="zh-CN"/>
        </w:rPr>
        <w:t xml:space="preserve">Figure </w:t>
      </w:r>
      <w:r w:rsidR="000463F4">
        <w:rPr>
          <w:rFonts w:ascii="Times New Roman" w:eastAsia="DengXian" w:hAnsi="Times New Roman" w:cs="Times New Roman"/>
          <w:i/>
          <w:iCs/>
          <w:color w:val="000000" w:themeColor="text1"/>
          <w:sz w:val="24"/>
          <w:szCs w:val="24"/>
          <w:lang w:eastAsia="zh-CN"/>
        </w:rPr>
        <w:t>9</w:t>
      </w:r>
      <w:r w:rsidRPr="00880312">
        <w:rPr>
          <w:rFonts w:ascii="Times New Roman" w:eastAsia="DengXian" w:hAnsi="Times New Roman" w:cs="Times New Roman"/>
          <w:color w:val="000000" w:themeColor="text1"/>
          <w:sz w:val="24"/>
          <w:szCs w:val="24"/>
          <w:lang w:eastAsia="zh-CN"/>
        </w:rPr>
        <w:t xml:space="preserve"> </w:t>
      </w:r>
      <w:r w:rsidR="00880312" w:rsidRPr="00880312">
        <w:rPr>
          <w:rFonts w:ascii="Times New Roman" w:eastAsia="DengXian" w:hAnsi="Times New Roman" w:cs="Times New Roman"/>
          <w:color w:val="000000" w:themeColor="text1"/>
          <w:sz w:val="24"/>
          <w:szCs w:val="24"/>
          <w:lang w:eastAsia="zh-CN"/>
        </w:rPr>
        <w:t>shows an equal representation of banks with risky</w:t>
      </w:r>
      <w:r w:rsidR="00E1707F">
        <w:rPr>
          <w:rFonts w:ascii="Times New Roman" w:eastAsia="DengXian" w:hAnsi="Times New Roman" w:cs="Times New Roman"/>
          <w:color w:val="000000" w:themeColor="text1"/>
          <w:sz w:val="24"/>
          <w:szCs w:val="24"/>
          <w:lang w:eastAsia="zh-CN"/>
        </w:rPr>
        <w:t xml:space="preserve"> </w:t>
      </w:r>
      <w:r w:rsidR="00880312" w:rsidRPr="00880312">
        <w:rPr>
          <w:rFonts w:ascii="Times New Roman" w:eastAsia="DengXian" w:hAnsi="Times New Roman" w:cs="Times New Roman"/>
          <w:color w:val="000000" w:themeColor="text1"/>
          <w:sz w:val="24"/>
          <w:szCs w:val="24"/>
          <w:lang w:eastAsia="zh-CN"/>
        </w:rPr>
        <w:t xml:space="preserve">(create and </w:t>
      </w:r>
      <w:r w:rsidRPr="00880312">
        <w:rPr>
          <w:rFonts w:ascii="Times New Roman" w:eastAsia="DengXian" w:hAnsi="Times New Roman" w:cs="Times New Roman"/>
          <w:color w:val="000000" w:themeColor="text1"/>
          <w:sz w:val="24"/>
          <w:szCs w:val="24"/>
          <w:lang w:eastAsia="zh-CN"/>
        </w:rPr>
        <w:t>comp</w:t>
      </w:r>
      <w:r>
        <w:rPr>
          <w:rFonts w:ascii="Times New Roman" w:eastAsia="DengXian" w:hAnsi="Times New Roman" w:cs="Times New Roman"/>
          <w:color w:val="000000" w:themeColor="text1"/>
          <w:sz w:val="24"/>
          <w:szCs w:val="24"/>
          <w:lang w:eastAsia="zh-CN"/>
        </w:rPr>
        <w:t>e</w:t>
      </w:r>
      <w:r w:rsidRPr="00880312">
        <w:rPr>
          <w:rFonts w:ascii="Times New Roman" w:eastAsia="DengXian" w:hAnsi="Times New Roman" w:cs="Times New Roman"/>
          <w:color w:val="000000" w:themeColor="text1"/>
          <w:sz w:val="24"/>
          <w:szCs w:val="24"/>
          <w:lang w:eastAsia="zh-CN"/>
        </w:rPr>
        <w:t>te</w:t>
      </w:r>
      <w:r w:rsidR="00880312" w:rsidRPr="00880312">
        <w:rPr>
          <w:rFonts w:ascii="Times New Roman" w:eastAsia="DengXian" w:hAnsi="Times New Roman" w:cs="Times New Roman"/>
          <w:color w:val="000000" w:themeColor="text1"/>
          <w:sz w:val="24"/>
          <w:szCs w:val="24"/>
          <w:lang w:eastAsia="zh-CN"/>
        </w:rPr>
        <w:t>) and less risky (control and collaborate) cultures in our sample over the year. Moreover, banks' risk culture has remained consistent over the years. This observation aligns with Fahlenbrach, Prilmeier, and Stulz's (2012) findings that financial institutions are rigid toward changing their culture (business model). It also raises the concern that if banks' business models have not changed, what can stop another financial crisis from happening?</w:t>
      </w:r>
    </w:p>
    <w:p w14:paraId="0AB53A79" w14:textId="6B58A7E1"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w:t>
      </w:r>
      <w:r w:rsidR="004A26B3">
        <w:rPr>
          <w:rFonts w:ascii="Times New Roman" w:eastAsia="DengXian" w:hAnsi="Times New Roman" w:cs="Times New Roman"/>
          <w:i/>
          <w:iCs/>
          <w:color w:val="000000" w:themeColor="text1"/>
          <w:sz w:val="24"/>
          <w:szCs w:val="24"/>
          <w:lang w:eastAsia="zh-CN"/>
        </w:rPr>
        <w:t xml:space="preserve">Insert Figure </w:t>
      </w:r>
      <w:r w:rsidR="000463F4">
        <w:rPr>
          <w:rFonts w:ascii="Times New Roman" w:eastAsia="DengXian" w:hAnsi="Times New Roman" w:cs="Times New Roman"/>
          <w:i/>
          <w:iCs/>
          <w:color w:val="000000" w:themeColor="text1"/>
          <w:sz w:val="24"/>
          <w:szCs w:val="24"/>
          <w:lang w:eastAsia="zh-CN"/>
        </w:rPr>
        <w:t>8</w:t>
      </w:r>
      <w:r w:rsidR="004A26B3">
        <w:rPr>
          <w:rFonts w:ascii="Times New Roman" w:eastAsia="DengXian" w:hAnsi="Times New Roman" w:cs="Times New Roman"/>
          <w:i/>
          <w:iCs/>
          <w:color w:val="000000" w:themeColor="text1"/>
          <w:sz w:val="24"/>
          <w:szCs w:val="24"/>
          <w:lang w:eastAsia="zh-CN"/>
        </w:rPr>
        <w:t xml:space="preserve"> </w:t>
      </w:r>
      <w:r w:rsidR="000463F4">
        <w:rPr>
          <w:rFonts w:ascii="Times New Roman" w:eastAsia="DengXian" w:hAnsi="Times New Roman" w:cs="Times New Roman"/>
          <w:i/>
          <w:iCs/>
          <w:color w:val="000000" w:themeColor="text1"/>
          <w:sz w:val="24"/>
          <w:szCs w:val="24"/>
          <w:lang w:eastAsia="zh-CN"/>
        </w:rPr>
        <w:t>here] [</w:t>
      </w:r>
      <w:r w:rsidR="004A26B3">
        <w:rPr>
          <w:rFonts w:ascii="Times New Roman" w:eastAsia="DengXian" w:hAnsi="Times New Roman" w:cs="Times New Roman"/>
          <w:i/>
          <w:iCs/>
          <w:color w:val="000000" w:themeColor="text1"/>
          <w:sz w:val="24"/>
          <w:szCs w:val="24"/>
          <w:lang w:eastAsia="zh-CN"/>
        </w:rPr>
        <w:t xml:space="preserve">Insert Figure </w:t>
      </w:r>
      <w:r w:rsidR="000463F4">
        <w:rPr>
          <w:rFonts w:ascii="Times New Roman" w:eastAsia="DengXian" w:hAnsi="Times New Roman" w:cs="Times New Roman"/>
          <w:i/>
          <w:iCs/>
          <w:color w:val="000000" w:themeColor="text1"/>
          <w:sz w:val="24"/>
          <w:szCs w:val="24"/>
          <w:lang w:eastAsia="zh-CN"/>
        </w:rPr>
        <w:t>9</w:t>
      </w:r>
      <w:r w:rsidR="004A26B3"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here]</w:t>
      </w:r>
    </w:p>
    <w:p w14:paraId="6590DEBD" w14:textId="3273A91D" w:rsidR="00D4495E" w:rsidRDefault="00D4495E">
      <w:pPr>
        <w:rPr>
          <w:rFonts w:ascii="Times New Roman" w:eastAsia="DengXian" w:hAnsi="Times New Roman" w:cs="Times New Roman"/>
          <w:i/>
          <w:iCs/>
          <w:color w:val="000000" w:themeColor="text1"/>
          <w:sz w:val="24"/>
          <w:szCs w:val="24"/>
          <w:lang w:eastAsia="zh-CN"/>
        </w:rPr>
      </w:pPr>
      <w:r>
        <w:rPr>
          <w:rFonts w:ascii="Times New Roman" w:eastAsia="DengXian" w:hAnsi="Times New Roman" w:cs="Times New Roman"/>
          <w:i/>
          <w:iCs/>
          <w:color w:val="000000" w:themeColor="text1"/>
          <w:sz w:val="24"/>
          <w:szCs w:val="24"/>
          <w:lang w:eastAsia="zh-CN"/>
        </w:rPr>
        <w:br w:type="page"/>
      </w:r>
    </w:p>
    <w:p w14:paraId="1A2B7A4E" w14:textId="77777777"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p>
    <w:p w14:paraId="01BDEE01" w14:textId="77777777"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p>
    <w:p w14:paraId="6E603AB5" w14:textId="28108D12" w:rsidR="00880312" w:rsidRPr="00742375" w:rsidRDefault="00742375" w:rsidP="00742375">
      <w:pPr>
        <w:pStyle w:val="Heading4"/>
        <w:rPr>
          <w:rFonts w:ascii="Times New Roman" w:hAnsi="Times New Roman" w:cs="Times New Roman"/>
          <w:b/>
          <w:bCs/>
          <w:i w:val="0"/>
          <w:iCs w:val="0"/>
          <w:color w:val="000000" w:themeColor="text1"/>
          <w:sz w:val="24"/>
          <w:szCs w:val="24"/>
          <w:lang w:eastAsia="zh-CN"/>
        </w:rPr>
      </w:pPr>
      <w:r w:rsidRPr="00742375">
        <w:rPr>
          <w:rFonts w:ascii="Times New Roman" w:hAnsi="Times New Roman" w:cs="Times New Roman"/>
          <w:b/>
          <w:bCs/>
          <w:i w:val="0"/>
          <w:iCs w:val="0"/>
          <w:color w:val="000000" w:themeColor="text1"/>
          <w:sz w:val="24"/>
          <w:szCs w:val="24"/>
          <w:lang w:eastAsia="zh-CN"/>
        </w:rPr>
        <w:t>4.4</w:t>
      </w:r>
      <w:r w:rsidR="00880312" w:rsidRPr="00742375">
        <w:rPr>
          <w:rFonts w:ascii="Times New Roman" w:hAnsi="Times New Roman" w:cs="Times New Roman"/>
          <w:b/>
          <w:bCs/>
          <w:i w:val="0"/>
          <w:iCs w:val="0"/>
          <w:color w:val="000000" w:themeColor="text1"/>
          <w:sz w:val="24"/>
          <w:szCs w:val="24"/>
          <w:lang w:eastAsia="zh-CN"/>
        </w:rPr>
        <w:t>.</w:t>
      </w:r>
      <w:r w:rsidRPr="00742375">
        <w:rPr>
          <w:rFonts w:ascii="Times New Roman" w:hAnsi="Times New Roman" w:cs="Times New Roman"/>
          <w:b/>
          <w:bCs/>
          <w:i w:val="0"/>
          <w:iCs w:val="0"/>
          <w:color w:val="000000" w:themeColor="text1"/>
          <w:sz w:val="24"/>
          <w:szCs w:val="24"/>
          <w:lang w:eastAsia="zh-CN"/>
        </w:rPr>
        <w:t>2.2</w:t>
      </w:r>
      <w:r w:rsidR="00880312" w:rsidRPr="00742375">
        <w:rPr>
          <w:rFonts w:ascii="Times New Roman" w:hAnsi="Times New Roman" w:cs="Times New Roman"/>
          <w:b/>
          <w:bCs/>
          <w:i w:val="0"/>
          <w:iCs w:val="0"/>
          <w:color w:val="000000" w:themeColor="text1"/>
          <w:sz w:val="24"/>
          <w:szCs w:val="24"/>
          <w:lang w:eastAsia="zh-CN"/>
        </w:rPr>
        <w:t>. Board Gender Diversity</w:t>
      </w:r>
    </w:p>
    <w:p w14:paraId="57B533D8" w14:textId="77777777" w:rsidR="00742375" w:rsidRPr="00742375" w:rsidRDefault="00742375" w:rsidP="00742375">
      <w:pPr>
        <w:rPr>
          <w:lang w:eastAsia="zh-CN"/>
        </w:rPr>
      </w:pPr>
    </w:p>
    <w:p w14:paraId="7CB9213F" w14:textId="12F6ADC0" w:rsidR="00480042" w:rsidRPr="009E69CE" w:rsidRDefault="00827019" w:rsidP="00880312">
      <w:pPr>
        <w:spacing w:after="0" w:line="480" w:lineRule="auto"/>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t xml:space="preserve">We follow </w:t>
      </w:r>
      <w:r w:rsidRPr="009E69CE">
        <w:rPr>
          <w:rFonts w:ascii="Times New Roman" w:eastAsia="DengXian" w:hAnsi="Times New Roman" w:cs="Times New Roman"/>
          <w:color w:val="000000" w:themeColor="text1"/>
          <w:sz w:val="24"/>
          <w:szCs w:val="24"/>
          <w:lang w:eastAsia="zh-CN"/>
        </w:rPr>
        <w:t>Arnaboldi et al.</w:t>
      </w:r>
      <w:r>
        <w:rPr>
          <w:rFonts w:ascii="Times New Roman" w:eastAsia="DengXian" w:hAnsi="Times New Roman" w:cs="Times New Roman"/>
          <w:color w:val="000000" w:themeColor="text1"/>
          <w:sz w:val="24"/>
          <w:szCs w:val="24"/>
          <w:lang w:eastAsia="zh-CN"/>
        </w:rPr>
        <w:t xml:space="preserve"> (</w:t>
      </w:r>
      <w:r w:rsidRPr="009E69CE">
        <w:rPr>
          <w:rFonts w:ascii="Times New Roman" w:eastAsia="DengXian" w:hAnsi="Times New Roman" w:cs="Times New Roman"/>
          <w:color w:val="000000" w:themeColor="text1"/>
          <w:sz w:val="24"/>
          <w:szCs w:val="24"/>
          <w:lang w:eastAsia="zh-CN"/>
        </w:rPr>
        <w:t>2021</w:t>
      </w:r>
      <w:r>
        <w:rPr>
          <w:rFonts w:ascii="Times New Roman" w:eastAsia="DengXian" w:hAnsi="Times New Roman" w:cs="Times New Roman"/>
          <w:color w:val="000000" w:themeColor="text1"/>
          <w:sz w:val="24"/>
          <w:szCs w:val="24"/>
          <w:lang w:eastAsia="zh-CN"/>
        </w:rPr>
        <w:t xml:space="preserve">), </w:t>
      </w:r>
      <w:r w:rsidRPr="009E69CE">
        <w:rPr>
          <w:rFonts w:ascii="Times New Roman" w:eastAsia="DengXian" w:hAnsi="Times New Roman" w:cs="Times New Roman"/>
          <w:color w:val="000000" w:themeColor="text1"/>
          <w:sz w:val="24"/>
          <w:szCs w:val="24"/>
          <w:lang w:eastAsia="zh-CN"/>
        </w:rPr>
        <w:t>Liu</w:t>
      </w:r>
      <w:r>
        <w:rPr>
          <w:rFonts w:ascii="Times New Roman" w:eastAsia="DengXian" w:hAnsi="Times New Roman" w:cs="Times New Roman"/>
          <w:color w:val="000000" w:themeColor="text1"/>
          <w:sz w:val="24"/>
          <w:szCs w:val="24"/>
          <w:lang w:eastAsia="zh-CN"/>
        </w:rPr>
        <w:t xml:space="preserve"> (</w:t>
      </w:r>
      <w:r w:rsidRPr="009E69CE">
        <w:rPr>
          <w:rFonts w:ascii="Times New Roman" w:eastAsia="DengXian" w:hAnsi="Times New Roman" w:cs="Times New Roman"/>
          <w:color w:val="000000" w:themeColor="text1"/>
          <w:sz w:val="24"/>
          <w:szCs w:val="24"/>
          <w:lang w:eastAsia="zh-CN"/>
        </w:rPr>
        <w:t>2018</w:t>
      </w:r>
      <w:r>
        <w:rPr>
          <w:rFonts w:ascii="Times New Roman" w:eastAsia="DengXian" w:hAnsi="Times New Roman" w:cs="Times New Roman"/>
          <w:color w:val="000000" w:themeColor="text1"/>
          <w:sz w:val="24"/>
          <w:szCs w:val="24"/>
          <w:lang w:eastAsia="zh-CN"/>
        </w:rPr>
        <w:t xml:space="preserve">) and </w:t>
      </w:r>
      <w:r w:rsidRPr="009E69CE">
        <w:rPr>
          <w:rFonts w:ascii="Times New Roman" w:eastAsia="DengXian" w:hAnsi="Times New Roman" w:cs="Times New Roman"/>
          <w:color w:val="000000" w:themeColor="text1"/>
          <w:sz w:val="24"/>
          <w:szCs w:val="24"/>
          <w:lang w:eastAsia="zh-CN"/>
        </w:rPr>
        <w:t>Cumming et al.</w:t>
      </w:r>
      <w:r>
        <w:rPr>
          <w:rFonts w:ascii="Times New Roman" w:eastAsia="DengXian" w:hAnsi="Times New Roman" w:cs="Times New Roman"/>
          <w:color w:val="000000" w:themeColor="text1"/>
          <w:sz w:val="24"/>
          <w:szCs w:val="24"/>
          <w:lang w:eastAsia="zh-CN"/>
        </w:rPr>
        <w:t xml:space="preserve"> (</w:t>
      </w:r>
      <w:r w:rsidRPr="009E69CE">
        <w:rPr>
          <w:rFonts w:ascii="Times New Roman" w:eastAsia="DengXian" w:hAnsi="Times New Roman" w:cs="Times New Roman"/>
          <w:color w:val="000000" w:themeColor="text1"/>
          <w:sz w:val="24"/>
          <w:szCs w:val="24"/>
          <w:lang w:eastAsia="zh-CN"/>
        </w:rPr>
        <w:t>2015)</w:t>
      </w:r>
      <w:r>
        <w:rPr>
          <w:rFonts w:ascii="Times New Roman" w:eastAsia="DengXian" w:hAnsi="Times New Roman" w:cs="Times New Roman"/>
          <w:color w:val="000000" w:themeColor="text1"/>
          <w:sz w:val="24"/>
          <w:szCs w:val="24"/>
          <w:lang w:eastAsia="zh-CN"/>
        </w:rPr>
        <w:t>to measure b</w:t>
      </w:r>
      <w:r w:rsidR="00880312" w:rsidRPr="009E69CE">
        <w:rPr>
          <w:rFonts w:ascii="Times New Roman" w:eastAsia="DengXian" w:hAnsi="Times New Roman" w:cs="Times New Roman"/>
          <w:color w:val="000000" w:themeColor="text1"/>
          <w:sz w:val="24"/>
          <w:szCs w:val="24"/>
          <w:lang w:eastAsia="zh-CN"/>
        </w:rPr>
        <w:t xml:space="preserve">oard gender diversity (Female Director %) </w:t>
      </w:r>
      <w:r>
        <w:rPr>
          <w:rFonts w:ascii="Times New Roman" w:eastAsia="DengXian" w:hAnsi="Times New Roman" w:cs="Times New Roman"/>
          <w:color w:val="000000" w:themeColor="text1"/>
          <w:sz w:val="24"/>
          <w:szCs w:val="24"/>
          <w:lang w:eastAsia="zh-CN"/>
        </w:rPr>
        <w:t xml:space="preserve">as the ratio of female directors on the board </w:t>
      </w:r>
      <w:r w:rsidR="00880312" w:rsidRPr="009E69CE">
        <w:rPr>
          <w:rFonts w:ascii="Times New Roman" w:eastAsia="DengXian" w:hAnsi="Times New Roman" w:cs="Times New Roman"/>
          <w:color w:val="000000" w:themeColor="text1"/>
          <w:sz w:val="24"/>
          <w:szCs w:val="24"/>
          <w:lang w:eastAsia="zh-CN"/>
        </w:rPr>
        <w:t xml:space="preserve">to the total number of board members each year. We further calculate </w:t>
      </w:r>
      <w:r>
        <w:rPr>
          <w:rFonts w:ascii="Times New Roman" w:eastAsia="DengXian" w:hAnsi="Times New Roman" w:cs="Times New Roman"/>
          <w:color w:val="000000" w:themeColor="text1"/>
          <w:sz w:val="24"/>
          <w:szCs w:val="24"/>
          <w:lang w:eastAsia="zh-CN"/>
        </w:rPr>
        <w:t xml:space="preserve">another proxy for female directors as </w:t>
      </w:r>
      <w:r w:rsidR="00880312" w:rsidRPr="009E69CE">
        <w:rPr>
          <w:rFonts w:ascii="Times New Roman" w:eastAsia="DengXian" w:hAnsi="Times New Roman" w:cs="Times New Roman"/>
          <w:color w:val="000000" w:themeColor="text1"/>
          <w:sz w:val="24"/>
          <w:szCs w:val="24"/>
          <w:lang w:eastAsia="zh-CN"/>
        </w:rPr>
        <w:t xml:space="preserve">the number (absolute) of female directors on the board to </w:t>
      </w:r>
      <w:r w:rsidR="0092352A">
        <w:rPr>
          <w:rFonts w:ascii="Times New Roman" w:eastAsia="DengXian" w:hAnsi="Times New Roman" w:cs="Times New Roman"/>
          <w:color w:val="000000" w:themeColor="text1"/>
          <w:sz w:val="24"/>
          <w:szCs w:val="24"/>
          <w:lang w:eastAsia="zh-CN"/>
        </w:rPr>
        <w:t xml:space="preserve">validate the </w:t>
      </w:r>
      <w:r w:rsidR="00880312" w:rsidRPr="009E69CE">
        <w:rPr>
          <w:rFonts w:ascii="Times New Roman" w:eastAsia="DengXian" w:hAnsi="Times New Roman" w:cs="Times New Roman"/>
          <w:color w:val="000000" w:themeColor="text1"/>
          <w:sz w:val="24"/>
          <w:szCs w:val="24"/>
          <w:lang w:eastAsia="zh-CN"/>
        </w:rPr>
        <w:t xml:space="preserve">critical mass theory regarding board gender diversity. Additionally, to explore whether </w:t>
      </w:r>
      <w:r>
        <w:rPr>
          <w:rFonts w:ascii="Times New Roman" w:eastAsia="DengXian" w:hAnsi="Times New Roman" w:cs="Times New Roman"/>
          <w:color w:val="000000" w:themeColor="text1"/>
          <w:sz w:val="24"/>
          <w:szCs w:val="24"/>
          <w:lang w:eastAsia="zh-CN"/>
        </w:rPr>
        <w:t>female directors support other women in leadership positions such as CEO or Chairman</w:t>
      </w:r>
      <w:r w:rsidR="001C5A8D">
        <w:rPr>
          <w:rFonts w:ascii="Times New Roman" w:eastAsia="DengXian" w:hAnsi="Times New Roman" w:cs="Times New Roman"/>
          <w:color w:val="000000" w:themeColor="text1"/>
          <w:sz w:val="24"/>
          <w:szCs w:val="24"/>
          <w:lang w:eastAsia="zh-CN"/>
        </w:rPr>
        <w:t>, w</w:t>
      </w:r>
      <w:r w:rsidR="00880312" w:rsidRPr="009E69CE">
        <w:rPr>
          <w:rFonts w:ascii="Times New Roman" w:eastAsia="DengXian" w:hAnsi="Times New Roman" w:cs="Times New Roman"/>
          <w:color w:val="000000" w:themeColor="text1"/>
          <w:sz w:val="24"/>
          <w:szCs w:val="24"/>
          <w:lang w:eastAsia="zh-CN"/>
        </w:rPr>
        <w:t xml:space="preserve">e </w:t>
      </w:r>
      <w:r>
        <w:rPr>
          <w:rFonts w:ascii="Times New Roman" w:eastAsia="DengXian" w:hAnsi="Times New Roman" w:cs="Times New Roman"/>
          <w:color w:val="000000" w:themeColor="text1"/>
          <w:sz w:val="24"/>
          <w:szCs w:val="24"/>
          <w:lang w:eastAsia="zh-CN"/>
        </w:rPr>
        <w:t xml:space="preserve">create </w:t>
      </w:r>
      <w:r w:rsidR="00880312" w:rsidRPr="009E69CE">
        <w:rPr>
          <w:rFonts w:ascii="Times New Roman" w:eastAsia="DengXian" w:hAnsi="Times New Roman" w:cs="Times New Roman"/>
          <w:color w:val="000000" w:themeColor="text1"/>
          <w:sz w:val="24"/>
          <w:szCs w:val="24"/>
          <w:lang w:eastAsia="zh-CN"/>
        </w:rPr>
        <w:t xml:space="preserve">a dummy variable, </w:t>
      </w:r>
      <w:r w:rsidR="00880312" w:rsidRPr="009E69CE">
        <w:rPr>
          <w:rFonts w:ascii="Times New Roman" w:eastAsia="DengXian" w:hAnsi="Times New Roman" w:cs="Times New Roman"/>
          <w:i/>
          <w:iCs/>
          <w:color w:val="000000" w:themeColor="text1"/>
          <w:sz w:val="24"/>
          <w:szCs w:val="24"/>
          <w:lang w:eastAsia="zh-CN"/>
        </w:rPr>
        <w:t>Female Leader</w:t>
      </w:r>
      <w:r w:rsidR="00880312" w:rsidRPr="009E69CE">
        <w:rPr>
          <w:rFonts w:ascii="Times New Roman" w:eastAsia="DengXian" w:hAnsi="Times New Roman" w:cs="Times New Roman"/>
          <w:color w:val="000000" w:themeColor="text1"/>
          <w:sz w:val="24"/>
          <w:szCs w:val="24"/>
          <w:lang w:eastAsia="zh-CN"/>
        </w:rPr>
        <w:t xml:space="preserve">, which </w:t>
      </w:r>
      <w:r w:rsidRPr="009E69CE">
        <w:rPr>
          <w:rFonts w:ascii="Times New Roman" w:eastAsia="DengXian" w:hAnsi="Times New Roman" w:cs="Times New Roman"/>
          <w:color w:val="000000" w:themeColor="text1"/>
          <w:sz w:val="24"/>
          <w:szCs w:val="24"/>
          <w:lang w:eastAsia="zh-CN"/>
        </w:rPr>
        <w:t>shows</w:t>
      </w:r>
      <w:r w:rsidR="00880312" w:rsidRPr="009E69CE">
        <w:rPr>
          <w:rFonts w:ascii="Times New Roman" w:eastAsia="DengXian" w:hAnsi="Times New Roman" w:cs="Times New Roman"/>
          <w:color w:val="000000" w:themeColor="text1"/>
          <w:sz w:val="24"/>
          <w:szCs w:val="24"/>
          <w:lang w:eastAsia="zh-CN"/>
        </w:rPr>
        <w:t xml:space="preserve"> if the chief executive officer (CEO) and/or chairperson or president is female.</w:t>
      </w:r>
    </w:p>
    <w:p w14:paraId="0008C1DE" w14:textId="1520B06A" w:rsidR="00880312" w:rsidRPr="00742375" w:rsidRDefault="00742375" w:rsidP="00742375">
      <w:pPr>
        <w:pStyle w:val="Heading4"/>
        <w:rPr>
          <w:rFonts w:ascii="Times New Roman" w:hAnsi="Times New Roman" w:cs="Times New Roman"/>
          <w:b/>
          <w:bCs/>
          <w:i w:val="0"/>
          <w:iCs w:val="0"/>
          <w:color w:val="000000" w:themeColor="text1"/>
          <w:sz w:val="24"/>
          <w:szCs w:val="24"/>
          <w:lang w:eastAsia="zh-CN"/>
        </w:rPr>
      </w:pPr>
      <w:r w:rsidRPr="00742375">
        <w:rPr>
          <w:rFonts w:ascii="Times New Roman" w:hAnsi="Times New Roman" w:cs="Times New Roman"/>
          <w:b/>
          <w:bCs/>
          <w:i w:val="0"/>
          <w:iCs w:val="0"/>
          <w:color w:val="000000" w:themeColor="text1"/>
          <w:sz w:val="24"/>
          <w:szCs w:val="24"/>
          <w:lang w:eastAsia="zh-CN"/>
        </w:rPr>
        <w:t>4.4</w:t>
      </w:r>
      <w:r w:rsidR="00880312" w:rsidRPr="00742375">
        <w:rPr>
          <w:rFonts w:ascii="Times New Roman" w:hAnsi="Times New Roman" w:cs="Times New Roman"/>
          <w:b/>
          <w:bCs/>
          <w:i w:val="0"/>
          <w:iCs w:val="0"/>
          <w:color w:val="000000" w:themeColor="text1"/>
          <w:sz w:val="24"/>
          <w:szCs w:val="24"/>
          <w:lang w:eastAsia="zh-CN"/>
        </w:rPr>
        <w:t>.</w:t>
      </w:r>
      <w:r w:rsidRPr="00742375">
        <w:rPr>
          <w:rFonts w:ascii="Times New Roman" w:hAnsi="Times New Roman" w:cs="Times New Roman"/>
          <w:b/>
          <w:bCs/>
          <w:i w:val="0"/>
          <w:iCs w:val="0"/>
          <w:color w:val="000000" w:themeColor="text1"/>
          <w:sz w:val="24"/>
          <w:szCs w:val="24"/>
          <w:lang w:eastAsia="zh-CN"/>
        </w:rPr>
        <w:t>2.3</w:t>
      </w:r>
      <w:r w:rsidR="00880312" w:rsidRPr="00742375">
        <w:rPr>
          <w:rFonts w:ascii="Times New Roman" w:hAnsi="Times New Roman" w:cs="Times New Roman"/>
          <w:b/>
          <w:bCs/>
          <w:i w:val="0"/>
          <w:iCs w:val="0"/>
          <w:color w:val="000000" w:themeColor="text1"/>
          <w:sz w:val="24"/>
          <w:szCs w:val="24"/>
          <w:lang w:eastAsia="zh-CN"/>
        </w:rPr>
        <w:t xml:space="preserve"> Bank Risk </w:t>
      </w:r>
    </w:p>
    <w:p w14:paraId="53031706" w14:textId="77777777" w:rsidR="00742375" w:rsidRPr="00742375" w:rsidRDefault="00742375" w:rsidP="00742375">
      <w:pPr>
        <w:rPr>
          <w:lang w:eastAsia="zh-CN"/>
        </w:rPr>
      </w:pPr>
    </w:p>
    <w:p w14:paraId="6B02065C" w14:textId="5768DB39" w:rsidR="00742375"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Our dependent variable, i.e.,</w:t>
      </w:r>
      <w:r w:rsidRPr="00880312">
        <w:rPr>
          <w:rFonts w:ascii="Times New Roman" w:eastAsia="DengXian" w:hAnsi="Times New Roman" w:cs="Times New Roman"/>
          <w:i/>
          <w:iCs/>
          <w:color w:val="000000" w:themeColor="text1"/>
          <w:sz w:val="24"/>
          <w:szCs w:val="24"/>
          <w:lang w:eastAsia="zh-CN"/>
        </w:rPr>
        <w:t xml:space="preserve"> risk,</w:t>
      </w:r>
      <w:r w:rsidRPr="00880312">
        <w:rPr>
          <w:rFonts w:ascii="Times New Roman" w:eastAsia="DengXian" w:hAnsi="Times New Roman" w:cs="Times New Roman"/>
          <w:color w:val="000000" w:themeColor="text1"/>
          <w:sz w:val="24"/>
          <w:szCs w:val="24"/>
          <w:lang w:eastAsia="zh-CN"/>
        </w:rPr>
        <w:t xml:space="preserve"> represents the bank's credit risk. We follow Ellul and Yeramilli (2013) and measure credit risk using non-performing loans</w:t>
      </w:r>
      <w:r>
        <w:rPr>
          <w:rFonts w:ascii="Times New Roman" w:eastAsia="DengXian" w:hAnsi="Times New Roman" w:cs="Times New Roman"/>
          <w:color w:val="000000" w:themeColor="text1"/>
          <w:sz w:val="24"/>
          <w:szCs w:val="24"/>
          <w:lang w:eastAsia="zh-CN"/>
        </w:rPr>
        <w:t xml:space="preserve"> scaled by total assets</w:t>
      </w:r>
      <w:r w:rsidRPr="00880312">
        <w:rPr>
          <w:rFonts w:ascii="Times New Roman" w:eastAsia="DengXian" w:hAnsi="Times New Roman" w:cs="Times New Roman"/>
          <w:color w:val="000000" w:themeColor="text1"/>
          <w:sz w:val="24"/>
          <w:szCs w:val="24"/>
          <w:lang w:eastAsia="zh-CN"/>
        </w:rPr>
        <w:t xml:space="preserve">. We use the natural logarithm of the variable to remove negative values from the distribution (Foos et al., 2010). We follow the rationale given by Nguyen et al. (2019) and postulate that credit decisions still involve human elements leading toward subjectivity in decision-making despite the advancement in credit models. In such circumstances, a manager's judgment regarding awarding the loan depends on the norms within their bank related to lending (Nyguen et al., 2019; Rojot, 2009). For robustness, we use an alternative risk measure by calculating </w:t>
      </w:r>
      <w:r w:rsidRPr="00880312">
        <w:rPr>
          <w:rFonts w:ascii="Times New Roman" w:eastAsia="DengXian" w:hAnsi="Times New Roman" w:cs="Times New Roman"/>
          <w:i/>
          <w:iCs/>
          <w:color w:val="000000" w:themeColor="text1"/>
          <w:sz w:val="24"/>
          <w:szCs w:val="24"/>
          <w:lang w:eastAsia="zh-CN"/>
        </w:rPr>
        <w:t>Total Risk</w:t>
      </w:r>
      <w:r w:rsidRPr="00880312">
        <w:rPr>
          <w:rFonts w:ascii="Times New Roman" w:eastAsia="DengXian" w:hAnsi="Times New Roman" w:cs="Times New Roman"/>
          <w:color w:val="000000" w:themeColor="text1"/>
          <w:sz w:val="24"/>
          <w:szCs w:val="24"/>
          <w:lang w:eastAsia="zh-CN"/>
        </w:rPr>
        <w:t xml:space="preserve"> as the standard deviation of returns on asset firm asset returns over </w:t>
      </w:r>
      <w:r w:rsidR="004A26B3" w:rsidRPr="00880312">
        <w:rPr>
          <w:rFonts w:ascii="Times New Roman" w:eastAsia="DengXian" w:hAnsi="Times New Roman" w:cs="Times New Roman"/>
          <w:color w:val="000000" w:themeColor="text1"/>
          <w:sz w:val="24"/>
          <w:szCs w:val="24"/>
          <w:lang w:eastAsia="zh-CN"/>
        </w:rPr>
        <w:t>3-year</w:t>
      </w:r>
      <w:r w:rsidRPr="00880312">
        <w:rPr>
          <w:rFonts w:ascii="Times New Roman" w:eastAsia="DengXian" w:hAnsi="Times New Roman" w:cs="Times New Roman"/>
          <w:color w:val="000000" w:themeColor="text1"/>
          <w:sz w:val="24"/>
          <w:szCs w:val="24"/>
          <w:lang w:eastAsia="zh-CN"/>
        </w:rPr>
        <w:t xml:space="preserve"> window (Faccio et al., 2016; Gontarek and Belghitar, 2018). </w:t>
      </w:r>
    </w:p>
    <w:p w14:paraId="6CAEEB9A" w14:textId="77777777" w:rsidR="00742375" w:rsidRDefault="00742375">
      <w:pPr>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br w:type="page"/>
      </w:r>
    </w:p>
    <w:p w14:paraId="74B4CEA7" w14:textId="77777777"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p>
    <w:p w14:paraId="47BAF7C6" w14:textId="77777777"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p>
    <w:p w14:paraId="6AC0543F" w14:textId="5AF5B0C7" w:rsidR="00880312" w:rsidRPr="00742375" w:rsidRDefault="00742375" w:rsidP="00742375">
      <w:pPr>
        <w:pStyle w:val="Heading4"/>
        <w:rPr>
          <w:rFonts w:ascii="Times New Roman" w:hAnsi="Times New Roman" w:cs="Times New Roman"/>
          <w:b/>
          <w:bCs/>
          <w:i w:val="0"/>
          <w:iCs w:val="0"/>
          <w:color w:val="000000" w:themeColor="text1"/>
          <w:sz w:val="24"/>
          <w:szCs w:val="24"/>
          <w:lang w:eastAsia="zh-CN"/>
        </w:rPr>
      </w:pPr>
      <w:r w:rsidRPr="00742375">
        <w:rPr>
          <w:rFonts w:ascii="Times New Roman" w:hAnsi="Times New Roman" w:cs="Times New Roman"/>
          <w:b/>
          <w:bCs/>
          <w:i w:val="0"/>
          <w:iCs w:val="0"/>
          <w:color w:val="000000" w:themeColor="text1"/>
          <w:sz w:val="24"/>
          <w:szCs w:val="24"/>
          <w:lang w:eastAsia="zh-CN"/>
        </w:rPr>
        <w:t>4.4</w:t>
      </w:r>
      <w:r w:rsidR="00880312" w:rsidRPr="00742375">
        <w:rPr>
          <w:rFonts w:ascii="Times New Roman" w:hAnsi="Times New Roman" w:cs="Times New Roman"/>
          <w:b/>
          <w:bCs/>
          <w:i w:val="0"/>
          <w:iCs w:val="0"/>
          <w:color w:val="000000" w:themeColor="text1"/>
          <w:sz w:val="24"/>
          <w:szCs w:val="24"/>
          <w:lang w:eastAsia="zh-CN"/>
        </w:rPr>
        <w:t>.</w:t>
      </w:r>
      <w:r w:rsidRPr="00742375">
        <w:rPr>
          <w:rFonts w:ascii="Times New Roman" w:hAnsi="Times New Roman" w:cs="Times New Roman"/>
          <w:b/>
          <w:bCs/>
          <w:i w:val="0"/>
          <w:iCs w:val="0"/>
          <w:color w:val="000000" w:themeColor="text1"/>
          <w:sz w:val="24"/>
          <w:szCs w:val="24"/>
          <w:lang w:eastAsia="zh-CN"/>
        </w:rPr>
        <w:t>2.4</w:t>
      </w:r>
      <w:r w:rsidR="00880312" w:rsidRPr="00742375">
        <w:rPr>
          <w:rFonts w:ascii="Times New Roman" w:hAnsi="Times New Roman" w:cs="Times New Roman"/>
          <w:b/>
          <w:bCs/>
          <w:i w:val="0"/>
          <w:iCs w:val="0"/>
          <w:color w:val="000000" w:themeColor="text1"/>
          <w:sz w:val="24"/>
          <w:szCs w:val="24"/>
          <w:lang w:eastAsia="zh-CN"/>
        </w:rPr>
        <w:t xml:space="preserve"> Control Variables</w:t>
      </w:r>
    </w:p>
    <w:p w14:paraId="4342EF98" w14:textId="77777777" w:rsidR="00742375" w:rsidRPr="00742375" w:rsidRDefault="00742375" w:rsidP="00742375">
      <w:pPr>
        <w:rPr>
          <w:lang w:eastAsia="zh-CN"/>
        </w:rPr>
      </w:pPr>
    </w:p>
    <w:p w14:paraId="6F6CF59C" w14:textId="0646C1AB" w:rsidR="00880312" w:rsidRPr="00880312" w:rsidRDefault="00880312" w:rsidP="00880312">
      <w:pPr>
        <w:spacing w:after="0"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We follow the previous literature to control for firm-level and board-level variables that affect bank risk. Our firm-level control includes bank size, charter value (MVBV), leverage, and return on assets (ROA). We also include </w:t>
      </w:r>
      <w:r w:rsidRPr="00880312">
        <w:rPr>
          <w:rFonts w:ascii="Times New Roman" w:eastAsia="DengXian" w:hAnsi="Times New Roman" w:cs="Times New Roman"/>
          <w:i/>
          <w:iCs/>
          <w:color w:val="000000" w:themeColor="text1"/>
          <w:sz w:val="24"/>
          <w:szCs w:val="24"/>
          <w:lang w:eastAsia="zh-CN"/>
        </w:rPr>
        <w:t>Bank Capital,</w:t>
      </w:r>
      <w:r w:rsidRPr="00880312">
        <w:rPr>
          <w:rFonts w:ascii="Times New Roman" w:eastAsia="DengXian" w:hAnsi="Times New Roman" w:cs="Times New Roman"/>
          <w:color w:val="000000" w:themeColor="text1"/>
          <w:sz w:val="24"/>
          <w:szCs w:val="24"/>
          <w:lang w:eastAsia="zh-CN"/>
        </w:rPr>
        <w:t xml:space="preserve"> as </w:t>
      </w:r>
      <w:r w:rsidR="00827019">
        <w:rPr>
          <w:rFonts w:ascii="Times New Roman" w:eastAsia="DengXian" w:hAnsi="Times New Roman" w:cs="Times New Roman"/>
          <w:color w:val="000000" w:themeColor="text1"/>
          <w:sz w:val="24"/>
          <w:szCs w:val="24"/>
          <w:lang w:eastAsia="zh-CN"/>
        </w:rPr>
        <w:t>Barth et al. (2021) suggested</w:t>
      </w:r>
      <w:r w:rsidRPr="00880312">
        <w:rPr>
          <w:rFonts w:ascii="Times New Roman" w:eastAsia="DengXian" w:hAnsi="Times New Roman" w:cs="Times New Roman"/>
          <w:color w:val="000000" w:themeColor="text1"/>
          <w:sz w:val="24"/>
          <w:szCs w:val="24"/>
          <w:lang w:eastAsia="zh-CN"/>
        </w:rPr>
        <w:t>, to control for the level of capital requirements and the quality of regulatory oversight in the context of capital regulation. We include board independence and board size as governance control. Further, we control for CEO characteristics identified in the previous literature as a significant determinant of risk-taking and culture in banks (</w:t>
      </w:r>
      <w:bookmarkStart w:id="102" w:name="_Hlk123574917"/>
      <w:r w:rsidRPr="00880312">
        <w:rPr>
          <w:rFonts w:ascii="Times New Roman" w:eastAsia="DengXian" w:hAnsi="Times New Roman" w:cs="Times New Roman"/>
          <w:color w:val="000000" w:themeColor="text1"/>
          <w:sz w:val="24"/>
          <w:szCs w:val="24"/>
          <w:lang w:eastAsia="zh-CN"/>
        </w:rPr>
        <w:t>Wang et al., 2021; Barth and Mansouri, 2021; Song and Thakor, 2019; Ellul and Yeramilli, 2013</w:t>
      </w:r>
      <w:bookmarkEnd w:id="102"/>
      <w:r w:rsidRPr="00880312">
        <w:rPr>
          <w:rFonts w:ascii="Times New Roman" w:eastAsia="DengXian" w:hAnsi="Times New Roman" w:cs="Times New Roman"/>
          <w:color w:val="000000" w:themeColor="text1"/>
          <w:sz w:val="24"/>
          <w:szCs w:val="24"/>
          <w:lang w:eastAsia="zh-CN"/>
        </w:rPr>
        <w:t xml:space="preserve">). A detailed definition of all the variables is provided in </w:t>
      </w:r>
      <w:r w:rsidRPr="00880312">
        <w:rPr>
          <w:rFonts w:ascii="Times New Roman" w:eastAsia="DengXian" w:hAnsi="Times New Roman" w:cs="Times New Roman"/>
          <w:i/>
          <w:iCs/>
          <w:color w:val="000000" w:themeColor="text1"/>
          <w:sz w:val="24"/>
          <w:szCs w:val="24"/>
          <w:lang w:eastAsia="zh-CN"/>
        </w:rPr>
        <w:t>Table</w:t>
      </w:r>
      <w:r w:rsidR="00827019">
        <w:rPr>
          <w:rFonts w:ascii="Times New Roman" w:eastAsia="DengXian" w:hAnsi="Times New Roman" w:cs="Times New Roman"/>
          <w:i/>
          <w:iCs/>
          <w:color w:val="000000" w:themeColor="text1"/>
          <w:sz w:val="24"/>
          <w:szCs w:val="24"/>
          <w:lang w:eastAsia="zh-CN"/>
        </w:rPr>
        <w:t xml:space="preserve"> </w:t>
      </w:r>
      <w:r w:rsidR="004A26B3">
        <w:rPr>
          <w:rFonts w:ascii="Times New Roman" w:eastAsia="DengXian" w:hAnsi="Times New Roman" w:cs="Times New Roman"/>
          <w:i/>
          <w:iCs/>
          <w:color w:val="000000" w:themeColor="text1"/>
          <w:sz w:val="24"/>
          <w:szCs w:val="24"/>
          <w:lang w:eastAsia="zh-CN"/>
        </w:rPr>
        <w:t>4.1</w:t>
      </w:r>
      <w:r w:rsidRPr="00880312">
        <w:rPr>
          <w:rFonts w:ascii="Times New Roman" w:eastAsia="DengXian" w:hAnsi="Times New Roman" w:cs="Times New Roman"/>
          <w:i/>
          <w:iCs/>
          <w:color w:val="000000" w:themeColor="text1"/>
          <w:sz w:val="24"/>
          <w:szCs w:val="24"/>
          <w:lang w:eastAsia="zh-CN"/>
        </w:rPr>
        <w:t xml:space="preserve">. </w:t>
      </w:r>
    </w:p>
    <w:p w14:paraId="4217641F" w14:textId="25CD43DD"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[Insert Table</w:t>
      </w:r>
      <w:r w:rsidR="004A26B3">
        <w:rPr>
          <w:rFonts w:ascii="Times New Roman" w:eastAsia="DengXian" w:hAnsi="Times New Roman" w:cs="Times New Roman"/>
          <w:i/>
          <w:iCs/>
          <w:color w:val="000000" w:themeColor="text1"/>
          <w:sz w:val="24"/>
          <w:szCs w:val="24"/>
          <w:lang w:eastAsia="zh-CN"/>
        </w:rPr>
        <w:t>4.</w:t>
      </w:r>
      <w:r w:rsidRPr="00880312">
        <w:rPr>
          <w:rFonts w:ascii="Times New Roman" w:eastAsia="DengXian" w:hAnsi="Times New Roman" w:cs="Times New Roman"/>
          <w:i/>
          <w:iCs/>
          <w:color w:val="000000" w:themeColor="text1"/>
          <w:sz w:val="24"/>
          <w:szCs w:val="24"/>
          <w:lang w:eastAsia="zh-CN"/>
        </w:rPr>
        <w:t>1 here]</w:t>
      </w:r>
    </w:p>
    <w:p w14:paraId="1668DC3F" w14:textId="045A7E5B" w:rsidR="00880312" w:rsidRPr="00880312" w:rsidRDefault="00880312" w:rsidP="00880312">
      <w:pPr>
        <w:spacing w:after="0" w:line="480" w:lineRule="auto"/>
        <w:jc w:val="both"/>
        <w:rPr>
          <w:rFonts w:ascii="Times New Roman" w:eastAsia="DengXian" w:hAnsi="Times New Roman" w:cs="Times New Roman"/>
          <w:b/>
          <w:bCs/>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Table</w:t>
      </w:r>
      <w:r w:rsidR="00827019">
        <w:rPr>
          <w:rFonts w:ascii="Times New Roman" w:eastAsia="DengXian" w:hAnsi="Times New Roman" w:cs="Times New Roman"/>
          <w:i/>
          <w:iCs/>
          <w:color w:val="000000" w:themeColor="text1"/>
          <w:sz w:val="24"/>
          <w:szCs w:val="24"/>
          <w:lang w:eastAsia="zh-CN"/>
        </w:rPr>
        <w:t xml:space="preserve"> </w:t>
      </w:r>
      <w:r w:rsidR="004A26B3">
        <w:rPr>
          <w:rFonts w:ascii="Times New Roman" w:eastAsia="DengXian" w:hAnsi="Times New Roman" w:cs="Times New Roman"/>
          <w:i/>
          <w:iCs/>
          <w:color w:val="000000" w:themeColor="text1"/>
          <w:sz w:val="24"/>
          <w:szCs w:val="24"/>
          <w:lang w:eastAsia="zh-CN"/>
        </w:rPr>
        <w:t>4.</w:t>
      </w:r>
      <w:r w:rsidRPr="00880312">
        <w:rPr>
          <w:rFonts w:ascii="Times New Roman" w:eastAsia="DengXian" w:hAnsi="Times New Roman" w:cs="Times New Roman"/>
          <w:i/>
          <w:iCs/>
          <w:color w:val="000000" w:themeColor="text1"/>
          <w:sz w:val="24"/>
          <w:szCs w:val="24"/>
          <w:lang w:eastAsia="zh-CN"/>
        </w:rPr>
        <w:t>1</w:t>
      </w:r>
      <w:r w:rsidRPr="00880312">
        <w:rPr>
          <w:rFonts w:ascii="Times New Roman" w:eastAsia="DengXian" w:hAnsi="Times New Roman" w:cs="Times New Roman"/>
          <w:color w:val="000000" w:themeColor="text1"/>
          <w:sz w:val="24"/>
          <w:szCs w:val="24"/>
          <w:lang w:eastAsia="zh-CN"/>
        </w:rPr>
        <w:t xml:space="preserve"> provides a detailed description and presents summary statistics for our variables.  The mean (median) </w:t>
      </w:r>
      <w:r w:rsidR="00E80C14">
        <w:rPr>
          <w:rFonts w:ascii="Times New Roman" w:eastAsia="DengXian" w:hAnsi="Times New Roman" w:cs="Times New Roman"/>
          <w:color w:val="000000" w:themeColor="text1"/>
          <w:sz w:val="24"/>
          <w:szCs w:val="24"/>
          <w:lang w:eastAsia="zh-CN"/>
        </w:rPr>
        <w:t>risk value</w:t>
      </w:r>
      <w:r w:rsidRPr="00880312">
        <w:rPr>
          <w:rFonts w:ascii="Times New Roman" w:eastAsia="DengXian" w:hAnsi="Times New Roman" w:cs="Times New Roman"/>
          <w:color w:val="000000" w:themeColor="text1"/>
          <w:sz w:val="24"/>
          <w:szCs w:val="24"/>
          <w:lang w:eastAsia="zh-CN"/>
        </w:rPr>
        <w:t xml:space="preserve"> for our sample is $4.19m ($4.03) m. The mean(median) value for </w:t>
      </w:r>
      <w:r w:rsidRPr="00880312">
        <w:rPr>
          <w:rFonts w:ascii="Times New Roman" w:eastAsia="DengXian" w:hAnsi="Times New Roman" w:cs="Times New Roman"/>
          <w:i/>
          <w:iCs/>
          <w:color w:val="000000" w:themeColor="text1"/>
          <w:sz w:val="24"/>
          <w:szCs w:val="24"/>
          <w:lang w:eastAsia="zh-CN"/>
        </w:rPr>
        <w:t xml:space="preserve">Risk Culture </w:t>
      </w:r>
      <w:r w:rsidRPr="00880312">
        <w:rPr>
          <w:rFonts w:ascii="Times New Roman" w:eastAsia="DengXian" w:hAnsi="Times New Roman" w:cs="Times New Roman"/>
          <w:color w:val="000000" w:themeColor="text1"/>
          <w:sz w:val="24"/>
          <w:szCs w:val="24"/>
          <w:lang w:eastAsia="zh-CN"/>
        </w:rPr>
        <w:t>is</w:t>
      </w:r>
      <w:r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1.3773(1.3775). The number of women on corporate boards ranges from 0 to 6, with a mean of 2. At the same time, the average percentage of women on board is 12.345 per cent. </w:t>
      </w:r>
      <w:r>
        <w:rPr>
          <w:rFonts w:ascii="Times New Roman" w:eastAsia="DengXian" w:hAnsi="Times New Roman" w:cs="Times New Roman"/>
          <w:color w:val="000000" w:themeColor="text1"/>
          <w:sz w:val="24"/>
          <w:szCs w:val="24"/>
          <w:lang w:eastAsia="zh-CN"/>
        </w:rPr>
        <w:t>The mean(median) values of our main independent</w:t>
      </w:r>
      <w:r w:rsidR="00742375">
        <w:rPr>
          <w:rFonts w:ascii="Times New Roman" w:eastAsia="DengXian" w:hAnsi="Times New Roman" w:cs="Times New Roman"/>
          <w:color w:val="000000" w:themeColor="text1"/>
          <w:sz w:val="24"/>
          <w:szCs w:val="24"/>
          <w:lang w:eastAsia="zh-CN"/>
        </w:rPr>
        <w:t xml:space="preserve"> variables i.e. risk culture and % of female on board, is similar to </w:t>
      </w:r>
      <w:r>
        <w:rPr>
          <w:rFonts w:ascii="Times New Roman" w:eastAsia="DengXian" w:hAnsi="Times New Roman" w:cs="Times New Roman"/>
          <w:color w:val="000000" w:themeColor="text1"/>
          <w:sz w:val="24"/>
          <w:szCs w:val="24"/>
          <w:lang w:eastAsia="zh-CN"/>
        </w:rPr>
        <w:t xml:space="preserve"> Cumming et al.</w:t>
      </w:r>
      <w:r w:rsidR="00742375">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2015</w:t>
      </w:r>
      <w:r w:rsidR="00742375">
        <w:rPr>
          <w:rFonts w:ascii="Times New Roman" w:eastAsia="DengXian" w:hAnsi="Times New Roman" w:cs="Times New Roman"/>
          <w:color w:val="000000" w:themeColor="text1"/>
          <w:sz w:val="24"/>
          <w:szCs w:val="24"/>
          <w:lang w:eastAsia="zh-CN"/>
        </w:rPr>
        <w:t>),</w:t>
      </w:r>
      <w:r>
        <w:rPr>
          <w:rFonts w:ascii="Times New Roman" w:eastAsia="DengXian" w:hAnsi="Times New Roman" w:cs="Times New Roman"/>
          <w:color w:val="000000" w:themeColor="text1"/>
          <w:sz w:val="24"/>
          <w:szCs w:val="24"/>
          <w:lang w:eastAsia="zh-CN"/>
        </w:rPr>
        <w:t xml:space="preserve"> Barth and Mansuri, </w:t>
      </w:r>
      <w:r w:rsidR="00742375">
        <w:rPr>
          <w:rFonts w:ascii="Times New Roman" w:eastAsia="DengXian" w:hAnsi="Times New Roman" w:cs="Times New Roman"/>
          <w:color w:val="000000" w:themeColor="text1"/>
          <w:sz w:val="24"/>
          <w:szCs w:val="24"/>
          <w:lang w:eastAsia="zh-CN"/>
        </w:rPr>
        <w:t>(</w:t>
      </w:r>
      <w:r w:rsidR="004648AA">
        <w:rPr>
          <w:rFonts w:ascii="Times New Roman" w:eastAsia="DengXian" w:hAnsi="Times New Roman" w:cs="Times New Roman"/>
          <w:color w:val="000000" w:themeColor="text1"/>
          <w:sz w:val="24"/>
          <w:szCs w:val="24"/>
          <w:lang w:eastAsia="zh-CN"/>
        </w:rPr>
        <w:t>2021</w:t>
      </w:r>
      <w:r w:rsidR="00742375">
        <w:rPr>
          <w:rFonts w:ascii="Times New Roman" w:eastAsia="DengXian" w:hAnsi="Times New Roman" w:cs="Times New Roman"/>
          <w:color w:val="000000" w:themeColor="text1"/>
          <w:sz w:val="24"/>
          <w:szCs w:val="24"/>
          <w:lang w:eastAsia="zh-CN"/>
        </w:rPr>
        <w:t>) and</w:t>
      </w:r>
      <w:r w:rsidR="004648AA">
        <w:rPr>
          <w:rFonts w:ascii="Times New Roman" w:eastAsia="DengXian" w:hAnsi="Times New Roman" w:cs="Times New Roman"/>
          <w:color w:val="000000" w:themeColor="text1"/>
          <w:sz w:val="24"/>
          <w:szCs w:val="24"/>
          <w:lang w:eastAsia="zh-CN"/>
        </w:rPr>
        <w:t xml:space="preserve"> Arnaboldi</w:t>
      </w:r>
      <w:r>
        <w:rPr>
          <w:rFonts w:ascii="Times New Roman" w:eastAsia="DengXian" w:hAnsi="Times New Roman" w:cs="Times New Roman"/>
          <w:color w:val="000000" w:themeColor="text1"/>
          <w:sz w:val="24"/>
          <w:szCs w:val="24"/>
          <w:lang w:eastAsia="zh-CN"/>
        </w:rPr>
        <w:t xml:space="preserve"> et al. </w:t>
      </w:r>
      <w:r w:rsidR="00742375">
        <w:rPr>
          <w:rFonts w:ascii="Times New Roman" w:eastAsia="DengXian" w:hAnsi="Times New Roman" w:cs="Times New Roman"/>
          <w:color w:val="000000" w:themeColor="text1"/>
          <w:sz w:val="24"/>
          <w:szCs w:val="24"/>
          <w:lang w:eastAsia="zh-CN"/>
        </w:rPr>
        <w:t>(</w:t>
      </w:r>
      <w:r>
        <w:rPr>
          <w:rFonts w:ascii="Times New Roman" w:eastAsia="DengXian" w:hAnsi="Times New Roman" w:cs="Times New Roman"/>
          <w:color w:val="000000" w:themeColor="text1"/>
          <w:sz w:val="24"/>
          <w:szCs w:val="24"/>
          <w:lang w:eastAsia="zh-CN"/>
        </w:rPr>
        <w:t xml:space="preserve">2021). </w:t>
      </w:r>
      <w:r w:rsidR="00E80C14">
        <w:rPr>
          <w:rFonts w:ascii="Times New Roman" w:eastAsia="DengXian" w:hAnsi="Times New Roman" w:cs="Times New Roman"/>
          <w:color w:val="000000" w:themeColor="text1"/>
          <w:sz w:val="24"/>
          <w:szCs w:val="24"/>
          <w:lang w:eastAsia="zh-CN"/>
        </w:rPr>
        <w:t xml:space="preserve">Our sample banks have an average of $9.306 </w:t>
      </w:r>
      <w:r w:rsidRPr="00880312">
        <w:rPr>
          <w:rFonts w:ascii="Times New Roman" w:eastAsia="DengXian" w:hAnsi="Times New Roman" w:cs="Times New Roman"/>
          <w:color w:val="000000" w:themeColor="text1"/>
          <w:sz w:val="24"/>
          <w:szCs w:val="24"/>
          <w:lang w:eastAsia="zh-CN"/>
        </w:rPr>
        <w:t>in total assets. On average, banks in our samples have 77.7% independent board members with an average board size of 13 members. In terms of profitability, measured by ROA, the average is 0.88 per cent, ranging from -3.04 per cent to 2.313 per cent. The average capital ratio of banks in our sample is 12.12 per</w:t>
      </w:r>
      <w:r w:rsidR="00742375">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cent, with an average yearly salary of $6.34 m for the CEOs. The values are approximately similar to other studies on risk culture, gender diversity and risk management (Luu et al., 2022; Nguyen et al. 2021; Arnaboldi et al., 2021; Wang et al., 2021; Barth and Mansouri, 2021; Nguyen et al., 2016; Ellul and Yeramilli, 2013) .</w:t>
      </w:r>
      <w:r w:rsidRPr="00880312">
        <w:rPr>
          <w:rFonts w:ascii="Times New Roman" w:eastAsia="DengXian" w:hAnsi="Times New Roman" w:cs="Times New Roman"/>
          <w:b/>
          <w:bCs/>
          <w:i/>
          <w:iCs/>
          <w:color w:val="000000" w:themeColor="text1"/>
          <w:sz w:val="24"/>
          <w:szCs w:val="24"/>
          <w:lang w:eastAsia="zh-CN"/>
        </w:rPr>
        <w:t xml:space="preserve"> </w:t>
      </w:r>
    </w:p>
    <w:p w14:paraId="61F0F4F2" w14:textId="11251ECA" w:rsidR="00880312" w:rsidRPr="00742375" w:rsidRDefault="00480042" w:rsidP="00742375">
      <w:pPr>
        <w:pStyle w:val="Heading3"/>
        <w:rPr>
          <w:rFonts w:ascii="Times New Roman" w:hAnsi="Times New Roman" w:cs="Times New Roman"/>
          <w:b/>
          <w:bCs/>
          <w:i/>
          <w:iCs/>
          <w:color w:val="000000" w:themeColor="text1"/>
          <w:sz w:val="28"/>
          <w:szCs w:val="28"/>
          <w:lang w:eastAsia="zh-CN"/>
        </w:rPr>
      </w:pPr>
      <w:bookmarkStart w:id="103" w:name="_Toc145616202"/>
      <w:r w:rsidRPr="00742375">
        <w:rPr>
          <w:rFonts w:ascii="Times New Roman" w:hAnsi="Times New Roman" w:cs="Times New Roman"/>
          <w:b/>
          <w:bCs/>
          <w:color w:val="000000" w:themeColor="text1"/>
          <w:sz w:val="28"/>
          <w:szCs w:val="28"/>
        </w:rPr>
        <w:t>3</w:t>
      </w:r>
      <w:r w:rsidR="00880312" w:rsidRPr="00742375">
        <w:rPr>
          <w:rFonts w:ascii="Times New Roman" w:hAnsi="Times New Roman" w:cs="Times New Roman"/>
          <w:b/>
          <w:bCs/>
          <w:color w:val="000000" w:themeColor="text1"/>
          <w:sz w:val="28"/>
          <w:szCs w:val="28"/>
        </w:rPr>
        <w:t>.</w:t>
      </w:r>
      <w:r w:rsidR="00742375" w:rsidRPr="00742375">
        <w:rPr>
          <w:rFonts w:ascii="Times New Roman" w:hAnsi="Times New Roman" w:cs="Times New Roman"/>
          <w:b/>
          <w:bCs/>
          <w:color w:val="000000" w:themeColor="text1"/>
          <w:sz w:val="28"/>
          <w:szCs w:val="28"/>
        </w:rPr>
        <w:t xml:space="preserve">4.3. </w:t>
      </w:r>
      <w:r w:rsidR="00880312" w:rsidRPr="00742375">
        <w:rPr>
          <w:rFonts w:ascii="Times New Roman" w:hAnsi="Times New Roman" w:cs="Times New Roman"/>
          <w:b/>
          <w:bCs/>
          <w:color w:val="000000" w:themeColor="text1"/>
          <w:sz w:val="28"/>
          <w:szCs w:val="28"/>
        </w:rPr>
        <w:t>Methodology:</w:t>
      </w:r>
      <w:bookmarkEnd w:id="103"/>
      <w:r w:rsidR="00880312" w:rsidRPr="00742375">
        <w:rPr>
          <w:rFonts w:ascii="Times New Roman" w:hAnsi="Times New Roman" w:cs="Times New Roman"/>
          <w:b/>
          <w:bCs/>
          <w:color w:val="000000" w:themeColor="text1"/>
          <w:sz w:val="28"/>
          <w:szCs w:val="28"/>
        </w:rPr>
        <w:t xml:space="preserve"> </w:t>
      </w:r>
    </w:p>
    <w:p w14:paraId="73F1E3D8" w14:textId="209FCF00" w:rsidR="00880312" w:rsidRPr="00880312" w:rsidRDefault="00880312" w:rsidP="00880312">
      <w:pPr>
        <w:spacing w:after="0" w:line="480" w:lineRule="auto"/>
        <w:jc w:val="both"/>
        <w:rPr>
          <w:rFonts w:ascii="Times New Roman" w:eastAsia="DengXian" w:hAnsi="Times New Roman" w:cs="Times New Roman"/>
          <w:b/>
          <w:bCs/>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To examine whether board gender diversity moderates the relationship between risk culture and risk-taking (hypothesis</w:t>
      </w:r>
      <w:r w:rsidRPr="00880312">
        <w:rPr>
          <w:rFonts w:ascii="Times New Roman" w:eastAsia="DengXian" w:hAnsi="Times New Roman" w:cs="Times New Roman"/>
          <w:i/>
          <w:iCs/>
          <w:color w:val="000000" w:themeColor="text1"/>
          <w:sz w:val="24"/>
          <w:szCs w:val="24"/>
          <w:lang w:eastAsia="zh-CN"/>
        </w:rPr>
        <w:t xml:space="preserve"> (1a)</w:t>
      </w:r>
      <w:r w:rsidRPr="00880312">
        <w:rPr>
          <w:rFonts w:ascii="Times New Roman" w:eastAsia="DengXian" w:hAnsi="Times New Roman" w:cs="Times New Roman"/>
          <w:color w:val="000000" w:themeColor="text1"/>
          <w:sz w:val="24"/>
          <w:szCs w:val="24"/>
          <w:lang w:eastAsia="zh-CN"/>
        </w:rPr>
        <w:t>, we perform the panel regression using year and bank fixed as follows:</w:t>
      </w:r>
    </w:p>
    <w:p w14:paraId="2DD65EBD" w14:textId="643C3181" w:rsidR="00880312" w:rsidRPr="00880312" w:rsidRDefault="00880312" w:rsidP="00880312">
      <w:pPr>
        <w:spacing w:after="0" w:line="480" w:lineRule="auto"/>
        <w:jc w:val="both"/>
        <w:rPr>
          <w:rFonts w:ascii="Times New Roman" w:eastAsia="DengXian" w:hAnsi="Times New Roman" w:cs="Times New Roman"/>
          <w:i/>
          <w:iCs/>
          <w:color w:val="000000" w:themeColor="text1"/>
          <w:sz w:val="24"/>
          <w:szCs w:val="24"/>
          <w:lang w:eastAsia="zh-CN"/>
        </w:rPr>
      </w:pPr>
      <w:bookmarkStart w:id="104" w:name="_Hlk115702016"/>
      <w:r w:rsidRPr="00880312">
        <w:rPr>
          <w:rFonts w:ascii="Times New Roman" w:eastAsia="DengXian" w:hAnsi="Times New Roman" w:cs="Times New Roman"/>
          <w:i/>
          <w:iCs/>
          <w:color w:val="000000" w:themeColor="text1"/>
          <w:sz w:val="24"/>
          <w:szCs w:val="24"/>
          <w:lang w:eastAsia="zh-CN"/>
        </w:rPr>
        <w:t xml:space="preserve">Risk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α</w:t>
      </w:r>
      <w:r w:rsidRPr="00880312">
        <w:rPr>
          <w:rFonts w:ascii="Times New Roman" w:eastAsia="DengXian" w:hAnsi="Times New Roman" w:cs="Times New Roman"/>
          <w:i/>
          <w:iCs/>
          <w:color w:val="000000" w:themeColor="text1"/>
          <w:sz w:val="24"/>
          <w:szCs w:val="24"/>
          <w:vertAlign w:val="subscript"/>
          <w:lang w:eastAsia="zh-CN"/>
        </w:rPr>
        <w:t>0</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1 </w:t>
      </w:r>
      <w:r w:rsidRPr="00880312">
        <w:rPr>
          <w:rFonts w:ascii="Times New Roman" w:eastAsia="DengXian" w:hAnsi="Times New Roman" w:cs="Times New Roman"/>
          <w:i/>
          <w:iCs/>
          <w:color w:val="000000" w:themeColor="text1"/>
          <w:sz w:val="24"/>
          <w:szCs w:val="24"/>
          <w:lang w:eastAsia="zh-CN"/>
        </w:rPr>
        <w:t>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2</w:t>
      </w:r>
      <w:r w:rsidRPr="00880312">
        <w:rPr>
          <w:rFonts w:ascii="Times New Roman" w:eastAsia="DengXian" w:hAnsi="Times New Roman" w:cs="Times New Roman"/>
          <w:i/>
          <w:iCs/>
          <w:color w:val="000000" w:themeColor="text1"/>
          <w:sz w:val="24"/>
          <w:szCs w:val="24"/>
          <w:lang w:eastAsia="zh-CN"/>
        </w:rPr>
        <w:t xml:space="preserve"> Female Director</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 β</w:t>
      </w:r>
      <w:r w:rsidRPr="00880312">
        <w:rPr>
          <w:rFonts w:ascii="Times New Roman" w:eastAsia="DengXian" w:hAnsi="Times New Roman" w:cs="Times New Roman"/>
          <w:i/>
          <w:iCs/>
          <w:color w:val="000000" w:themeColor="text1"/>
          <w:sz w:val="24"/>
          <w:szCs w:val="24"/>
          <w:vertAlign w:val="subscript"/>
          <w:lang w:eastAsia="zh-CN"/>
        </w:rPr>
        <w:t>3</w:t>
      </w:r>
      <w:r w:rsidRPr="00880312">
        <w:rPr>
          <w:rFonts w:ascii="Times New Roman" w:eastAsia="DengXian" w:hAnsi="Times New Roman" w:cs="Times New Roman"/>
          <w:i/>
          <w:iCs/>
          <w:color w:val="000000" w:themeColor="text1"/>
          <w:sz w:val="24"/>
          <w:szCs w:val="24"/>
          <w:lang w:eastAsia="zh-CN"/>
        </w:rPr>
        <w:t xml:space="preserve"> Female Director </w:t>
      </w:r>
      <w:r w:rsidRPr="00880312">
        <w:rPr>
          <w:rFonts w:ascii="Times New Roman" w:eastAsia="DengXian" w:hAnsi="Times New Roman" w:cs="Times New Roman"/>
          <w:i/>
          <w:iCs/>
          <w:color w:val="000000" w:themeColor="text1"/>
          <w:sz w:val="24"/>
          <w:szCs w:val="24"/>
          <w:vertAlign w:val="subscript"/>
          <w:lang w:eastAsia="zh-CN"/>
        </w:rPr>
        <w:t xml:space="preserve">it </w:t>
      </w:r>
      <w:r w:rsidRPr="00880312">
        <w:rPr>
          <w:rFonts w:ascii="Times New Roman" w:eastAsia="DengXian" w:hAnsi="Times New Roman" w:cs="Times New Roman"/>
          <w:i/>
          <w:iCs/>
          <w:color w:val="000000" w:themeColor="text1"/>
          <w:sz w:val="24"/>
          <w:szCs w:val="24"/>
          <w:lang w:eastAsia="zh-CN"/>
        </w:rPr>
        <w:t>* 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4 </w:t>
      </w:r>
      <w:r w:rsidRPr="00880312">
        <w:rPr>
          <w:rFonts w:ascii="Times New Roman" w:eastAsia="DengXian" w:hAnsi="Times New Roman" w:cs="Times New Roman"/>
          <w:i/>
          <w:iCs/>
          <w:color w:val="000000" w:themeColor="text1"/>
          <w:sz w:val="24"/>
          <w:szCs w:val="24"/>
          <w:lang w:eastAsia="zh-CN"/>
        </w:rPr>
        <w:t xml:space="preserve">X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Bank &amp; Year FE+ e</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004A26B3">
        <w:rPr>
          <w:rFonts w:ascii="Times New Roman" w:eastAsia="DengXian" w:hAnsi="Times New Roman" w:cs="Times New Roman"/>
          <w:i/>
          <w:iCs/>
          <w:color w:val="000000" w:themeColor="text1"/>
          <w:sz w:val="24"/>
          <w:szCs w:val="24"/>
          <w:lang w:eastAsia="zh-CN"/>
        </w:rPr>
        <w:tab/>
      </w:r>
      <w:r w:rsidR="004A26B3">
        <w:rPr>
          <w:rFonts w:ascii="Times New Roman" w:eastAsia="DengXian" w:hAnsi="Times New Roman" w:cs="Times New Roman"/>
          <w:i/>
          <w:iCs/>
          <w:color w:val="000000" w:themeColor="text1"/>
          <w:sz w:val="24"/>
          <w:szCs w:val="24"/>
          <w:lang w:eastAsia="zh-CN"/>
        </w:rPr>
        <w:tab/>
      </w:r>
      <w:r w:rsidR="004A26B3">
        <w:rPr>
          <w:rFonts w:ascii="Times New Roman" w:eastAsia="DengXian" w:hAnsi="Times New Roman" w:cs="Times New Roman"/>
          <w:i/>
          <w:iCs/>
          <w:color w:val="000000" w:themeColor="text1"/>
          <w:sz w:val="24"/>
          <w:szCs w:val="24"/>
          <w:lang w:eastAsia="zh-CN"/>
        </w:rPr>
        <w:tab/>
      </w:r>
      <w:r w:rsidR="004A26B3">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b/>
          <w:bCs/>
          <w:i/>
          <w:iCs/>
          <w:color w:val="000000" w:themeColor="text1"/>
          <w:sz w:val="24"/>
          <w:szCs w:val="24"/>
          <w:lang w:eastAsia="zh-CN"/>
        </w:rPr>
        <w:t>(1)</w:t>
      </w:r>
    </w:p>
    <w:bookmarkEnd w:id="104"/>
    <w:p w14:paraId="746D570C" w14:textId="06409432" w:rsidR="00880312" w:rsidRPr="00880312" w:rsidRDefault="00880312" w:rsidP="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where, risk</w:t>
      </w:r>
      <w:r>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vertAlign w:val="subscript"/>
          <w:lang w:eastAsia="zh-CN"/>
        </w:rPr>
        <w:t>i, t</w:t>
      </w:r>
      <w:r w:rsidRPr="00880312">
        <w:rPr>
          <w:rFonts w:ascii="Times New Roman" w:eastAsia="DengXian" w:hAnsi="Times New Roman" w:cs="Times New Roman"/>
          <w:color w:val="000000" w:themeColor="text1"/>
          <w:sz w:val="24"/>
          <w:szCs w:val="24"/>
          <w:lang w:eastAsia="zh-CN"/>
        </w:rPr>
        <w:t xml:space="preserve">, represents the credit risk of bank </w:t>
      </w:r>
      <w:r w:rsidRPr="00880312">
        <w:rPr>
          <w:rFonts w:ascii="Times New Roman" w:eastAsia="DengXian" w:hAnsi="Times New Roman" w:cs="Times New Roman"/>
          <w:i/>
          <w:iCs/>
          <w:color w:val="000000" w:themeColor="text1"/>
          <w:sz w:val="24"/>
          <w:szCs w:val="24"/>
          <w:lang w:eastAsia="zh-CN"/>
        </w:rPr>
        <w:t xml:space="preserve">i </w:t>
      </w:r>
      <w:r w:rsidRPr="00880312">
        <w:rPr>
          <w:rFonts w:ascii="Times New Roman" w:eastAsia="DengXian" w:hAnsi="Times New Roman" w:cs="Times New Roman"/>
          <w:color w:val="000000" w:themeColor="text1"/>
          <w:sz w:val="24"/>
          <w:szCs w:val="24"/>
          <w:lang w:eastAsia="zh-CN"/>
        </w:rPr>
        <w:t xml:space="preserve">in year </w:t>
      </w:r>
      <w:r w:rsidRPr="00880312">
        <w:rPr>
          <w:rFonts w:ascii="Times New Roman" w:eastAsia="DengXian" w:hAnsi="Times New Roman" w:cs="Times New Roman"/>
          <w:i/>
          <w:iCs/>
          <w:color w:val="000000" w:themeColor="text1"/>
          <w:sz w:val="24"/>
          <w:szCs w:val="24"/>
          <w:lang w:eastAsia="zh-CN"/>
        </w:rPr>
        <w:t>t</w:t>
      </w:r>
      <w:r w:rsidRPr="00880312">
        <w:rPr>
          <w:rFonts w:ascii="Times New Roman" w:eastAsia="DengXian" w:hAnsi="Times New Roman" w:cs="Times New Roman"/>
          <w:color w:val="000000" w:themeColor="text1"/>
          <w:sz w:val="24"/>
          <w:szCs w:val="24"/>
          <w:lang w:eastAsia="zh-CN"/>
        </w:rPr>
        <w:t xml:space="preserve">. We measure our independent variable risk culture following Wang et al. (2021) and take an external focus of CVF where external focus represents discontinuity, change and risk. Within external focus, we precisely follow the approach by Barth and Mansuri (2021) and Wang et al. (2021) by measuring risk culture as a ratio of the number of keywords assigned to create </w:t>
      </w:r>
      <w:r w:rsidR="00E30E2D">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 xml:space="preserve">culture to the total number of keywords for all CVF cultures. We calculate </w:t>
      </w:r>
      <w:r w:rsidRPr="00880312">
        <w:rPr>
          <w:rFonts w:ascii="Times New Roman" w:eastAsia="DengXian" w:hAnsi="Times New Roman" w:cs="Times New Roman"/>
          <w:i/>
          <w:iCs/>
          <w:color w:val="000000" w:themeColor="text1"/>
          <w:sz w:val="24"/>
          <w:szCs w:val="24"/>
          <w:lang w:eastAsia="zh-CN"/>
        </w:rPr>
        <w:t>Female Director</w:t>
      </w:r>
      <w:r w:rsidR="00E30E2D">
        <w:rPr>
          <w:rFonts w:ascii="Times New Roman" w:eastAsia="DengXian" w:hAnsi="Times New Roman" w:cs="Times New Roman"/>
          <w:i/>
          <w:iCs/>
          <w:color w:val="000000" w:themeColor="text1"/>
          <w:sz w:val="24"/>
          <w:szCs w:val="24"/>
          <w:lang w:eastAsia="zh-CN"/>
        </w:rPr>
        <w:t>s</w:t>
      </w:r>
      <w:r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 as a proportion of female directors to the total number of board members (Arnaboldi et al., 2021; Liu, 2018; Cumming et al., 2015). X</w:t>
      </w:r>
      <w:r w:rsidRPr="00880312">
        <w:rPr>
          <w:rFonts w:ascii="Times New Roman" w:eastAsia="DengXian" w:hAnsi="Times New Roman" w:cs="Times New Roman"/>
          <w:i/>
          <w:iCs/>
          <w:color w:val="000000" w:themeColor="text1"/>
          <w:sz w:val="24"/>
          <w:szCs w:val="24"/>
          <w:vertAlign w:val="subscript"/>
          <w:lang w:eastAsia="zh-CN"/>
        </w:rPr>
        <w:t xml:space="preserve">i,t </w:t>
      </w:r>
      <w:r w:rsidRPr="00880312">
        <w:rPr>
          <w:rFonts w:ascii="Times New Roman" w:eastAsia="DengXian" w:hAnsi="Times New Roman" w:cs="Times New Roman"/>
          <w:color w:val="000000" w:themeColor="text1"/>
          <w:sz w:val="24"/>
          <w:szCs w:val="24"/>
          <w:lang w:eastAsia="zh-CN"/>
        </w:rPr>
        <w:t>is a vector of control variables, including bank-level and board</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level controls. All variables are winsorized to 1</w:t>
      </w:r>
      <w:r w:rsidRPr="00880312">
        <w:rPr>
          <w:rFonts w:ascii="Times New Roman" w:eastAsia="DengXian" w:hAnsi="Times New Roman" w:cs="Times New Roman"/>
          <w:color w:val="000000" w:themeColor="text1"/>
          <w:sz w:val="24"/>
          <w:szCs w:val="24"/>
          <w:vertAlign w:val="superscript"/>
          <w:lang w:eastAsia="zh-CN"/>
        </w:rPr>
        <w:t>st</w:t>
      </w:r>
      <w:r w:rsidRPr="00880312">
        <w:rPr>
          <w:rFonts w:ascii="Times New Roman" w:eastAsia="DengXian" w:hAnsi="Times New Roman" w:cs="Times New Roman"/>
          <w:color w:val="000000" w:themeColor="text1"/>
          <w:sz w:val="24"/>
          <w:szCs w:val="24"/>
          <w:lang w:eastAsia="zh-CN"/>
        </w:rPr>
        <w:t xml:space="preserve"> and 99th percentiles to mitigate the influence of outliers and remove any coding errors. We include </w:t>
      </w:r>
      <w:r w:rsidR="00B81199">
        <w:rPr>
          <w:rFonts w:ascii="Times New Roman" w:eastAsia="DengXian" w:hAnsi="Times New Roman" w:cs="Times New Roman"/>
          <w:color w:val="000000" w:themeColor="text1"/>
          <w:sz w:val="24"/>
          <w:szCs w:val="24"/>
          <w:lang w:eastAsia="zh-CN"/>
        </w:rPr>
        <w:t>bank</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fixed effects to control for time-invariant </w:t>
      </w:r>
      <w:r w:rsidR="00B81199">
        <w:rPr>
          <w:rFonts w:ascii="Times New Roman" w:eastAsia="DengXian" w:hAnsi="Times New Roman" w:cs="Times New Roman"/>
          <w:color w:val="000000" w:themeColor="text1"/>
          <w:sz w:val="24"/>
          <w:szCs w:val="24"/>
          <w:lang w:eastAsia="zh-CN"/>
        </w:rPr>
        <w:t>bank</w:t>
      </w:r>
      <w:r w:rsidRPr="00880312">
        <w:rPr>
          <w:rFonts w:ascii="Times New Roman" w:eastAsia="DengXian" w:hAnsi="Times New Roman" w:cs="Times New Roman"/>
          <w:color w:val="000000" w:themeColor="text1"/>
          <w:sz w:val="24"/>
          <w:szCs w:val="24"/>
          <w:lang w:eastAsia="zh-CN"/>
        </w:rPr>
        <w:t xml:space="preserve">-level characteristics. The standard errors are clustered at </w:t>
      </w:r>
      <w:r w:rsidR="00E30E2D">
        <w:rPr>
          <w:rFonts w:ascii="Times New Roman" w:eastAsia="DengXian" w:hAnsi="Times New Roman" w:cs="Times New Roman"/>
          <w:color w:val="000000" w:themeColor="text1"/>
          <w:sz w:val="24"/>
          <w:szCs w:val="24"/>
          <w:lang w:eastAsia="zh-CN"/>
        </w:rPr>
        <w:t xml:space="preserve">the </w:t>
      </w:r>
      <w:r w:rsidRPr="00880312">
        <w:rPr>
          <w:rFonts w:ascii="Times New Roman" w:eastAsia="DengXian" w:hAnsi="Times New Roman" w:cs="Times New Roman"/>
          <w:color w:val="000000" w:themeColor="text1"/>
          <w:sz w:val="24"/>
          <w:szCs w:val="24"/>
          <w:lang w:eastAsia="zh-CN"/>
        </w:rPr>
        <w:t>bank level.</w:t>
      </w:r>
    </w:p>
    <w:p w14:paraId="21B14B51" w14:textId="438BB83C"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Next, we apply the critical mass theory to estimate the number of women influencing the bank culture and risk-taking. </w:t>
      </w:r>
      <w:r w:rsidR="00E30E2D">
        <w:rPr>
          <w:rFonts w:ascii="Times New Roman" w:eastAsia="DengXian" w:hAnsi="Times New Roman" w:cs="Times New Roman"/>
          <w:color w:val="000000" w:themeColor="text1"/>
          <w:sz w:val="24"/>
          <w:szCs w:val="24"/>
          <w:lang w:eastAsia="zh-CN"/>
        </w:rPr>
        <w:t>We perform the following regression to test our hypothesis 1(b)</w:t>
      </w:r>
      <w:r w:rsidRPr="00880312">
        <w:rPr>
          <w:rFonts w:ascii="Times New Roman" w:eastAsia="DengXian" w:hAnsi="Times New Roman" w:cs="Times New Roman"/>
          <w:color w:val="000000" w:themeColor="text1"/>
          <w:sz w:val="24"/>
          <w:szCs w:val="24"/>
          <w:lang w:eastAsia="zh-CN"/>
        </w:rPr>
        <w:t xml:space="preserve">. </w:t>
      </w:r>
    </w:p>
    <w:p w14:paraId="7257FBE5" w14:textId="498AF796" w:rsidR="00880312" w:rsidRPr="00880312" w:rsidRDefault="00880312" w:rsidP="00880312">
      <w:pPr>
        <w:spacing w:after="0"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Credit Risk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α</w:t>
      </w:r>
      <w:r w:rsidRPr="00880312">
        <w:rPr>
          <w:rFonts w:ascii="Times New Roman" w:eastAsia="DengXian" w:hAnsi="Times New Roman" w:cs="Times New Roman"/>
          <w:i/>
          <w:iCs/>
          <w:color w:val="000000" w:themeColor="text1"/>
          <w:sz w:val="24"/>
          <w:szCs w:val="24"/>
          <w:vertAlign w:val="subscript"/>
          <w:lang w:eastAsia="zh-CN"/>
        </w:rPr>
        <w:t>0</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1 * </w:t>
      </w:r>
      <w:r w:rsidRPr="00880312">
        <w:rPr>
          <w:rFonts w:ascii="Times New Roman" w:eastAsia="DengXian" w:hAnsi="Times New Roman" w:cs="Times New Roman"/>
          <w:i/>
          <w:iCs/>
          <w:color w:val="000000" w:themeColor="text1"/>
          <w:sz w:val="24"/>
          <w:szCs w:val="24"/>
          <w:lang w:eastAsia="zh-CN"/>
        </w:rPr>
        <w:t>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2</w:t>
      </w:r>
      <w:r w:rsidRPr="00880312">
        <w:rPr>
          <w:rFonts w:ascii="Times New Roman" w:eastAsia="DengXian" w:hAnsi="Times New Roman" w:cs="Times New Roman"/>
          <w:i/>
          <w:iCs/>
          <w:color w:val="000000" w:themeColor="text1"/>
          <w:sz w:val="24"/>
          <w:szCs w:val="24"/>
          <w:lang w:eastAsia="zh-CN"/>
        </w:rPr>
        <w:t xml:space="preserve"> *(Critical Mass&gt;=3)</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3</w:t>
      </w:r>
      <w:r w:rsidRPr="00880312">
        <w:rPr>
          <w:rFonts w:ascii="Times New Roman" w:eastAsia="DengXian" w:hAnsi="Times New Roman" w:cs="Times New Roman"/>
          <w:i/>
          <w:iCs/>
          <w:color w:val="000000" w:themeColor="text1"/>
          <w:sz w:val="24"/>
          <w:szCs w:val="24"/>
          <w:lang w:eastAsia="zh-CN"/>
        </w:rPr>
        <w:t xml:space="preserve"> (Critical Mass &gt;=3)</w:t>
      </w:r>
      <w:r w:rsidRPr="00880312">
        <w:rPr>
          <w:rFonts w:ascii="Times New Roman" w:eastAsia="DengXian" w:hAnsi="Times New Roman" w:cs="Times New Roman"/>
          <w:i/>
          <w:iCs/>
          <w:color w:val="000000" w:themeColor="text1"/>
          <w:sz w:val="24"/>
          <w:szCs w:val="24"/>
          <w:vertAlign w:val="subscript"/>
          <w:lang w:eastAsia="zh-CN"/>
        </w:rPr>
        <w:t xml:space="preserve"> it </w:t>
      </w:r>
      <w:r w:rsidRPr="00880312">
        <w:rPr>
          <w:rFonts w:ascii="Times New Roman" w:eastAsia="DengXian" w:hAnsi="Times New Roman" w:cs="Times New Roman"/>
          <w:i/>
          <w:iCs/>
          <w:color w:val="000000" w:themeColor="text1"/>
          <w:sz w:val="24"/>
          <w:szCs w:val="24"/>
          <w:lang w:eastAsia="zh-CN"/>
        </w:rPr>
        <w:t>* 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4 </w:t>
      </w:r>
      <w:r w:rsidRPr="00880312">
        <w:rPr>
          <w:rFonts w:ascii="Times New Roman" w:eastAsia="DengXian" w:hAnsi="Times New Roman" w:cs="Times New Roman"/>
          <w:i/>
          <w:iCs/>
          <w:color w:val="000000" w:themeColor="text1"/>
          <w:sz w:val="24"/>
          <w:szCs w:val="24"/>
          <w:lang w:eastAsia="zh-CN"/>
        </w:rPr>
        <w:t xml:space="preserve">X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Bank &amp; Year FE+ e</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i/>
          <w:iCs/>
          <w:color w:val="000000" w:themeColor="text1"/>
          <w:sz w:val="24"/>
          <w:szCs w:val="24"/>
          <w:lang w:eastAsia="zh-CN"/>
        </w:rPr>
        <w:tab/>
        <w:t xml:space="preserve"> </w:t>
      </w:r>
      <w:r w:rsidRPr="00880312">
        <w:rPr>
          <w:rFonts w:ascii="Times New Roman" w:eastAsia="DengXian" w:hAnsi="Times New Roman" w:cs="Times New Roman"/>
          <w:b/>
          <w:bCs/>
          <w:i/>
          <w:iCs/>
          <w:color w:val="000000" w:themeColor="text1"/>
          <w:sz w:val="24"/>
          <w:szCs w:val="24"/>
          <w:lang w:eastAsia="zh-CN"/>
        </w:rPr>
        <w:t>(2)</w:t>
      </w:r>
      <w:r w:rsidRPr="00880312">
        <w:rPr>
          <w:rFonts w:ascii="Times New Roman" w:eastAsia="DengXian" w:hAnsi="Times New Roman" w:cs="Times New Roman"/>
          <w:i/>
          <w:iCs/>
          <w:color w:val="000000" w:themeColor="text1"/>
          <w:sz w:val="24"/>
          <w:szCs w:val="24"/>
          <w:vertAlign w:val="subscript"/>
          <w:lang w:eastAsia="zh-CN"/>
        </w:rPr>
        <w:t xml:space="preserve">  </w:t>
      </w:r>
    </w:p>
    <w:p w14:paraId="346778C1" w14:textId="77777777" w:rsidR="00880312" w:rsidRPr="00880312" w:rsidRDefault="00880312" w:rsidP="00880312">
      <w:pPr>
        <w:spacing w:after="0" w:line="480" w:lineRule="auto"/>
        <w:jc w:val="both"/>
        <w:rPr>
          <w:rFonts w:ascii="Times New Roman" w:eastAsia="DengXian" w:hAnsi="Times New Roman" w:cs="Times New Roman"/>
          <w:i/>
          <w:iCs/>
          <w:color w:val="000000" w:themeColor="text1"/>
          <w:vertAlign w:val="subscript"/>
          <w:lang w:eastAsia="zh-CN"/>
        </w:rPr>
      </w:pPr>
    </w:p>
    <w:p w14:paraId="009041A2" w14:textId="7AB1244C"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Where Critical Mass is a dummy variable </w:t>
      </w:r>
      <w:r w:rsidR="004A26B3" w:rsidRPr="00880312">
        <w:rPr>
          <w:rFonts w:ascii="Times New Roman" w:eastAsia="DengXian" w:hAnsi="Times New Roman" w:cs="Times New Roman"/>
          <w:color w:val="000000" w:themeColor="text1"/>
          <w:sz w:val="24"/>
          <w:szCs w:val="24"/>
          <w:lang w:eastAsia="zh-CN"/>
        </w:rPr>
        <w:t>for a</w:t>
      </w:r>
      <w:r w:rsidRPr="00880312">
        <w:rPr>
          <w:rFonts w:ascii="Times New Roman" w:eastAsia="DengXian" w:hAnsi="Times New Roman" w:cs="Times New Roman"/>
          <w:color w:val="000000" w:themeColor="text1"/>
          <w:sz w:val="24"/>
          <w:szCs w:val="24"/>
          <w:lang w:eastAsia="zh-CN"/>
        </w:rPr>
        <w:t xml:space="preserve"> minimum of three female directors on the board (Critical Mass &gt;=3) We include the same control </w:t>
      </w:r>
      <w:r w:rsidR="00E1707F" w:rsidRPr="00880312">
        <w:rPr>
          <w:rFonts w:ascii="Times New Roman" w:eastAsia="DengXian" w:hAnsi="Times New Roman" w:cs="Times New Roman"/>
          <w:color w:val="000000" w:themeColor="text1"/>
          <w:sz w:val="24"/>
          <w:szCs w:val="24"/>
          <w:lang w:eastAsia="zh-CN"/>
        </w:rPr>
        <w:t>variables</w:t>
      </w:r>
      <w:r w:rsidRPr="00880312">
        <w:rPr>
          <w:rFonts w:ascii="Times New Roman" w:eastAsia="DengXian" w:hAnsi="Times New Roman" w:cs="Times New Roman"/>
          <w:color w:val="000000" w:themeColor="text1"/>
          <w:sz w:val="24"/>
          <w:szCs w:val="24"/>
          <w:lang w:eastAsia="zh-CN"/>
        </w:rPr>
        <w:t xml:space="preserve"> in the analysis above. </w:t>
      </w:r>
    </w:p>
    <w:p w14:paraId="39329C33" w14:textId="77777777"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p>
    <w:p w14:paraId="23D35030" w14:textId="25D535FC"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bookmarkStart w:id="105" w:name="_Hlk123576182"/>
      <w:r w:rsidRPr="00880312">
        <w:rPr>
          <w:rFonts w:ascii="Times New Roman" w:eastAsia="DengXian" w:hAnsi="Times New Roman" w:cs="Times New Roman"/>
          <w:color w:val="000000" w:themeColor="text1"/>
          <w:sz w:val="24"/>
          <w:szCs w:val="24"/>
          <w:lang w:eastAsia="zh-CN"/>
        </w:rPr>
        <w:t xml:space="preserve">Finally, to investigate whether </w:t>
      </w:r>
      <w:r w:rsidR="00E80C14">
        <w:rPr>
          <w:rFonts w:ascii="Times New Roman" w:eastAsia="DengXian" w:hAnsi="Times New Roman" w:cs="Times New Roman"/>
          <w:color w:val="000000" w:themeColor="text1"/>
          <w:sz w:val="24"/>
          <w:szCs w:val="24"/>
          <w:lang w:eastAsia="zh-CN"/>
        </w:rPr>
        <w:t>female directors are effective in supporting females in other leadership positions</w:t>
      </w:r>
      <w:r w:rsidRPr="00880312">
        <w:rPr>
          <w:rFonts w:ascii="Times New Roman" w:eastAsia="DengXian" w:hAnsi="Times New Roman" w:cs="Times New Roman"/>
          <w:color w:val="000000" w:themeColor="text1"/>
          <w:sz w:val="24"/>
          <w:szCs w:val="24"/>
          <w:lang w:eastAsia="zh-CN"/>
        </w:rPr>
        <w:t>, hypothesis 1(c), we run a three-way interaction between risk culture, percentage of women on board and female leaders by applying the following model:</w:t>
      </w:r>
    </w:p>
    <w:p w14:paraId="7CB7F9A1" w14:textId="51F824C2" w:rsidR="00880312" w:rsidRPr="00880312" w:rsidRDefault="00880312" w:rsidP="00880312">
      <w:pPr>
        <w:spacing w:after="0" w:line="480" w:lineRule="auto"/>
        <w:jc w:val="both"/>
        <w:rPr>
          <w:rFonts w:ascii="Times New Roman" w:eastAsia="DengXian" w:hAnsi="Times New Roman" w:cs="Times New Roman"/>
          <w:b/>
          <w:bCs/>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Credit Risk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α</w:t>
      </w:r>
      <w:r w:rsidRPr="00880312">
        <w:rPr>
          <w:rFonts w:ascii="Times New Roman" w:eastAsia="DengXian" w:hAnsi="Times New Roman" w:cs="Times New Roman"/>
          <w:i/>
          <w:iCs/>
          <w:color w:val="000000" w:themeColor="text1"/>
          <w:sz w:val="24"/>
          <w:szCs w:val="24"/>
          <w:vertAlign w:val="subscript"/>
          <w:lang w:eastAsia="zh-CN"/>
        </w:rPr>
        <w:t>0</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1 </w:t>
      </w:r>
      <w:r w:rsidRPr="00880312">
        <w:rPr>
          <w:rFonts w:ascii="Times New Roman" w:eastAsia="DengXian" w:hAnsi="Times New Roman" w:cs="Times New Roman"/>
          <w:i/>
          <w:iCs/>
          <w:color w:val="000000" w:themeColor="text1"/>
          <w:sz w:val="24"/>
          <w:szCs w:val="24"/>
          <w:lang w:eastAsia="zh-CN"/>
        </w:rPr>
        <w:t>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w:t>
      </w:r>
      <w:bookmarkStart w:id="106" w:name="_Hlk115702029"/>
      <w:r w:rsidRPr="00880312">
        <w:rPr>
          <w:rFonts w:ascii="Times New Roman" w:eastAsia="DengXian" w:hAnsi="Times New Roman" w:cs="Times New Roman"/>
          <w:i/>
          <w:iCs/>
          <w:color w:val="000000" w:themeColor="text1"/>
          <w:sz w:val="24"/>
          <w:szCs w:val="24"/>
          <w:lang w:eastAsia="zh-CN"/>
        </w:rPr>
        <w:t>β</w:t>
      </w:r>
      <w:r w:rsidRPr="00880312">
        <w:rPr>
          <w:rFonts w:ascii="Times New Roman" w:eastAsia="DengXian" w:hAnsi="Times New Roman" w:cs="Times New Roman"/>
          <w:i/>
          <w:iCs/>
          <w:color w:val="000000" w:themeColor="text1"/>
          <w:sz w:val="24"/>
          <w:szCs w:val="24"/>
          <w:vertAlign w:val="subscript"/>
          <w:lang w:eastAsia="zh-CN"/>
        </w:rPr>
        <w:t>2</w:t>
      </w:r>
      <w:r w:rsidRPr="00880312">
        <w:rPr>
          <w:rFonts w:ascii="Times New Roman" w:eastAsia="DengXian" w:hAnsi="Times New Roman" w:cs="Times New Roman"/>
          <w:i/>
          <w:iCs/>
          <w:color w:val="000000" w:themeColor="text1"/>
          <w:sz w:val="24"/>
          <w:szCs w:val="24"/>
          <w:lang w:eastAsia="zh-CN"/>
        </w:rPr>
        <w:t xml:space="preserve"> Female Director</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w:t>
      </w:r>
      <w:bookmarkEnd w:id="106"/>
      <w:r w:rsidRPr="00880312">
        <w:rPr>
          <w:rFonts w:ascii="Times New Roman" w:eastAsia="DengXian" w:hAnsi="Times New Roman" w:cs="Times New Roman"/>
          <w:i/>
          <w:iCs/>
          <w:color w:val="000000" w:themeColor="text1"/>
          <w:sz w:val="24"/>
          <w:szCs w:val="24"/>
          <w:lang w:eastAsia="zh-CN"/>
        </w:rPr>
        <w:t>+ β</w:t>
      </w:r>
      <w:r w:rsidRPr="00880312">
        <w:rPr>
          <w:rFonts w:ascii="Times New Roman" w:eastAsia="DengXian" w:hAnsi="Times New Roman" w:cs="Times New Roman"/>
          <w:i/>
          <w:iCs/>
          <w:color w:val="000000" w:themeColor="text1"/>
          <w:sz w:val="24"/>
          <w:szCs w:val="24"/>
          <w:vertAlign w:val="subscript"/>
          <w:lang w:eastAsia="zh-CN"/>
        </w:rPr>
        <w:t>3</w:t>
      </w:r>
      <w:r w:rsidRPr="00880312">
        <w:rPr>
          <w:rFonts w:ascii="Times New Roman" w:eastAsia="DengXian" w:hAnsi="Times New Roman" w:cs="Times New Roman"/>
          <w:i/>
          <w:iCs/>
          <w:color w:val="000000" w:themeColor="text1"/>
          <w:sz w:val="24"/>
          <w:szCs w:val="24"/>
          <w:lang w:eastAsia="zh-CN"/>
        </w:rPr>
        <w:t xml:space="preserve"> Female Leader</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w:t>
      </w:r>
      <w:bookmarkStart w:id="107" w:name="_Hlk124890673"/>
      <w:r w:rsidRPr="00880312">
        <w:rPr>
          <w:rFonts w:ascii="Times New Roman" w:eastAsia="DengXian" w:hAnsi="Times New Roman" w:cs="Times New Roman"/>
          <w:i/>
          <w:iCs/>
          <w:color w:val="000000" w:themeColor="text1"/>
          <w:sz w:val="24"/>
          <w:szCs w:val="24"/>
          <w:lang w:eastAsia="zh-CN"/>
        </w:rPr>
        <w:t>β</w:t>
      </w:r>
      <w:r w:rsidRPr="00880312">
        <w:rPr>
          <w:rFonts w:ascii="Times New Roman" w:eastAsia="DengXian" w:hAnsi="Times New Roman" w:cs="Times New Roman"/>
          <w:i/>
          <w:iCs/>
          <w:color w:val="000000" w:themeColor="text1"/>
          <w:sz w:val="24"/>
          <w:szCs w:val="24"/>
          <w:vertAlign w:val="subscript"/>
          <w:lang w:eastAsia="zh-CN"/>
        </w:rPr>
        <w:t xml:space="preserve">4 </w:t>
      </w:r>
      <w:r w:rsidRPr="00880312">
        <w:rPr>
          <w:rFonts w:ascii="Times New Roman" w:eastAsia="DengXian" w:hAnsi="Times New Roman" w:cs="Times New Roman"/>
          <w:i/>
          <w:iCs/>
          <w:color w:val="000000" w:themeColor="text1"/>
          <w:sz w:val="24"/>
          <w:szCs w:val="24"/>
          <w:lang w:eastAsia="zh-CN"/>
        </w:rPr>
        <w:t>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Female Director</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w:t>
      </w:r>
      <w:bookmarkEnd w:id="107"/>
      <w:r w:rsidRPr="00880312">
        <w:rPr>
          <w:rFonts w:ascii="Times New Roman" w:eastAsia="DengXian" w:hAnsi="Times New Roman" w:cs="Times New Roman"/>
          <w:i/>
          <w:iCs/>
          <w:color w:val="000000" w:themeColor="text1"/>
          <w:sz w:val="24"/>
          <w:szCs w:val="24"/>
          <w:lang w:eastAsia="zh-CN"/>
        </w:rPr>
        <w:t>+ β</w:t>
      </w:r>
      <w:r w:rsidRPr="00880312">
        <w:rPr>
          <w:rFonts w:ascii="Times New Roman" w:eastAsia="DengXian" w:hAnsi="Times New Roman" w:cs="Times New Roman"/>
          <w:i/>
          <w:iCs/>
          <w:color w:val="000000" w:themeColor="text1"/>
          <w:sz w:val="24"/>
          <w:szCs w:val="24"/>
          <w:vertAlign w:val="subscript"/>
          <w:lang w:eastAsia="zh-CN"/>
        </w:rPr>
        <w:t xml:space="preserve">5 </w:t>
      </w:r>
      <w:r w:rsidRPr="00880312">
        <w:rPr>
          <w:rFonts w:ascii="Times New Roman" w:eastAsia="DengXian" w:hAnsi="Times New Roman" w:cs="Times New Roman"/>
          <w:i/>
          <w:iCs/>
          <w:color w:val="000000" w:themeColor="text1"/>
          <w:sz w:val="24"/>
          <w:szCs w:val="24"/>
          <w:lang w:eastAsia="zh-CN"/>
        </w:rPr>
        <w:t>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Female Leader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β</w:t>
      </w:r>
      <w:r w:rsidRPr="00880312">
        <w:rPr>
          <w:rFonts w:ascii="Times New Roman" w:eastAsia="DengXian" w:hAnsi="Times New Roman" w:cs="Times New Roman"/>
          <w:i/>
          <w:iCs/>
          <w:color w:val="000000" w:themeColor="text1"/>
          <w:sz w:val="24"/>
          <w:szCs w:val="24"/>
          <w:vertAlign w:val="subscript"/>
          <w:lang w:eastAsia="zh-CN"/>
        </w:rPr>
        <w:t xml:space="preserve">6 </w:t>
      </w:r>
      <w:r w:rsidRPr="00880312">
        <w:rPr>
          <w:rFonts w:ascii="Times New Roman" w:eastAsia="DengXian" w:hAnsi="Times New Roman" w:cs="Times New Roman"/>
          <w:i/>
          <w:iCs/>
          <w:color w:val="000000" w:themeColor="text1"/>
          <w:sz w:val="24"/>
          <w:szCs w:val="24"/>
          <w:lang w:eastAsia="zh-CN"/>
        </w:rPr>
        <w:t xml:space="preserve">Female Director </w:t>
      </w:r>
      <w:r w:rsidRPr="00880312">
        <w:rPr>
          <w:rFonts w:ascii="Times New Roman" w:eastAsia="DengXian" w:hAnsi="Times New Roman" w:cs="Times New Roman"/>
          <w:i/>
          <w:iCs/>
          <w:color w:val="000000" w:themeColor="text1"/>
          <w:sz w:val="24"/>
          <w:szCs w:val="24"/>
          <w:vertAlign w:val="subscript"/>
          <w:lang w:eastAsia="zh-CN"/>
        </w:rPr>
        <w:t xml:space="preserve">it </w:t>
      </w:r>
      <w:r w:rsidRPr="00880312">
        <w:rPr>
          <w:rFonts w:ascii="Times New Roman" w:eastAsia="DengXian" w:hAnsi="Times New Roman" w:cs="Times New Roman"/>
          <w:i/>
          <w:iCs/>
          <w:color w:val="000000" w:themeColor="text1"/>
          <w:sz w:val="24"/>
          <w:szCs w:val="24"/>
          <w:lang w:eastAsia="zh-CN"/>
        </w:rPr>
        <w:t>* Female Leader</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β</w:t>
      </w:r>
      <w:r w:rsidRPr="00880312">
        <w:rPr>
          <w:rFonts w:ascii="Times New Roman" w:eastAsia="DengXian" w:hAnsi="Times New Roman" w:cs="Times New Roman"/>
          <w:i/>
          <w:iCs/>
          <w:color w:val="000000" w:themeColor="text1"/>
          <w:sz w:val="24"/>
          <w:szCs w:val="24"/>
          <w:vertAlign w:val="subscript"/>
          <w:lang w:eastAsia="zh-CN"/>
        </w:rPr>
        <w:t xml:space="preserve">7 </w:t>
      </w:r>
      <w:r w:rsidRPr="00880312">
        <w:rPr>
          <w:rFonts w:ascii="Times New Roman" w:eastAsia="DengXian" w:hAnsi="Times New Roman" w:cs="Times New Roman"/>
          <w:i/>
          <w:iCs/>
          <w:color w:val="000000" w:themeColor="text1"/>
          <w:sz w:val="24"/>
          <w:szCs w:val="24"/>
          <w:lang w:eastAsia="zh-CN"/>
        </w:rPr>
        <w:t xml:space="preserve">Female Director </w:t>
      </w:r>
      <w:r w:rsidRPr="00880312">
        <w:rPr>
          <w:rFonts w:ascii="Times New Roman" w:eastAsia="DengXian" w:hAnsi="Times New Roman" w:cs="Times New Roman"/>
          <w:i/>
          <w:iCs/>
          <w:color w:val="000000" w:themeColor="text1"/>
          <w:sz w:val="24"/>
          <w:szCs w:val="24"/>
          <w:vertAlign w:val="subscript"/>
          <w:lang w:eastAsia="zh-CN"/>
        </w:rPr>
        <w:t xml:space="preserve">it </w:t>
      </w:r>
      <w:r w:rsidRPr="00880312">
        <w:rPr>
          <w:rFonts w:ascii="Times New Roman" w:eastAsia="DengXian" w:hAnsi="Times New Roman" w:cs="Times New Roman"/>
          <w:i/>
          <w:iCs/>
          <w:color w:val="000000" w:themeColor="text1"/>
          <w:sz w:val="24"/>
          <w:szCs w:val="24"/>
          <w:lang w:eastAsia="zh-CN"/>
        </w:rPr>
        <w:t>* Female Leader* Risk Culture</w:t>
      </w:r>
      <w:r w:rsidRPr="00880312">
        <w:rPr>
          <w:rFonts w:ascii="Times New Roman" w:eastAsia="DengXian" w:hAnsi="Times New Roman" w:cs="Times New Roman"/>
          <w:i/>
          <w:iCs/>
          <w:color w:val="000000" w:themeColor="text1"/>
          <w:sz w:val="24"/>
          <w:szCs w:val="24"/>
          <w:vertAlign w:val="subscript"/>
          <w:lang w:eastAsia="zh-CN"/>
        </w:rPr>
        <w:t xml:space="preserve"> it</w:t>
      </w:r>
      <w:r w:rsidRPr="00880312">
        <w:rPr>
          <w:rFonts w:ascii="Times New Roman" w:eastAsia="DengXian" w:hAnsi="Times New Roman" w:cs="Times New Roman"/>
          <w:i/>
          <w:iCs/>
          <w:color w:val="000000" w:themeColor="text1"/>
          <w:sz w:val="24"/>
          <w:szCs w:val="24"/>
          <w:lang w:eastAsia="zh-CN"/>
        </w:rPr>
        <w:t xml:space="preserve"> + β</w:t>
      </w:r>
      <w:r w:rsidRPr="00880312">
        <w:rPr>
          <w:rFonts w:ascii="Times New Roman" w:eastAsia="DengXian" w:hAnsi="Times New Roman" w:cs="Times New Roman"/>
          <w:i/>
          <w:iCs/>
          <w:color w:val="000000" w:themeColor="text1"/>
          <w:sz w:val="24"/>
          <w:szCs w:val="24"/>
          <w:vertAlign w:val="subscript"/>
          <w:lang w:eastAsia="zh-CN"/>
        </w:rPr>
        <w:t xml:space="preserve">8 </w:t>
      </w:r>
      <w:r w:rsidRPr="00880312">
        <w:rPr>
          <w:rFonts w:ascii="Times New Roman" w:eastAsia="DengXian" w:hAnsi="Times New Roman" w:cs="Times New Roman"/>
          <w:i/>
          <w:iCs/>
          <w:color w:val="000000" w:themeColor="text1"/>
          <w:sz w:val="24"/>
          <w:szCs w:val="24"/>
          <w:lang w:eastAsia="zh-CN"/>
        </w:rPr>
        <w:t xml:space="preserve">X </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 xml:space="preserve"> + Bank &amp; Year FE+ e</w:t>
      </w:r>
      <w:r w:rsidRPr="00880312">
        <w:rPr>
          <w:rFonts w:ascii="Times New Roman" w:eastAsia="DengXian" w:hAnsi="Times New Roman" w:cs="Times New Roman"/>
          <w:i/>
          <w:iCs/>
          <w:color w:val="000000" w:themeColor="text1"/>
          <w:sz w:val="24"/>
          <w:szCs w:val="24"/>
          <w:vertAlign w:val="subscript"/>
          <w:lang w:eastAsia="zh-CN"/>
        </w:rPr>
        <w:t>it</w:t>
      </w:r>
      <w:r w:rsidRPr="00880312">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Pr>
          <w:rFonts w:ascii="Times New Roman" w:eastAsia="DengXian" w:hAnsi="Times New Roman" w:cs="Times New Roman"/>
          <w:i/>
          <w:iCs/>
          <w:color w:val="000000" w:themeColor="text1"/>
          <w:sz w:val="24"/>
          <w:szCs w:val="24"/>
          <w:lang w:eastAsia="zh-CN"/>
        </w:rPr>
        <w:tab/>
      </w:r>
      <w:r w:rsidR="004648AA">
        <w:rPr>
          <w:rFonts w:ascii="Times New Roman" w:eastAsia="DengXian" w:hAnsi="Times New Roman" w:cs="Times New Roman"/>
          <w:i/>
          <w:iCs/>
          <w:color w:val="000000" w:themeColor="text1"/>
          <w:sz w:val="24"/>
          <w:szCs w:val="24"/>
          <w:lang w:eastAsia="zh-CN"/>
        </w:rPr>
        <w:tab/>
      </w:r>
      <w:r w:rsidR="004648AA">
        <w:rPr>
          <w:rFonts w:ascii="Times New Roman" w:eastAsia="DengXian" w:hAnsi="Times New Roman" w:cs="Times New Roman"/>
          <w:i/>
          <w:iCs/>
          <w:color w:val="000000" w:themeColor="text1"/>
          <w:sz w:val="24"/>
          <w:szCs w:val="24"/>
          <w:lang w:eastAsia="zh-CN"/>
        </w:rPr>
        <w:tab/>
      </w:r>
      <w:r w:rsidR="004648AA">
        <w:rPr>
          <w:rFonts w:ascii="Times New Roman" w:eastAsia="DengXian" w:hAnsi="Times New Roman" w:cs="Times New Roman"/>
          <w:i/>
          <w:iCs/>
          <w:color w:val="000000" w:themeColor="text1"/>
          <w:sz w:val="24"/>
          <w:szCs w:val="24"/>
          <w:lang w:eastAsia="zh-CN"/>
        </w:rPr>
        <w:tab/>
      </w:r>
      <w:r w:rsidR="004648AA">
        <w:rPr>
          <w:rFonts w:ascii="Times New Roman" w:eastAsia="DengXian" w:hAnsi="Times New Roman" w:cs="Times New Roman"/>
          <w:i/>
          <w:iCs/>
          <w:color w:val="000000" w:themeColor="text1"/>
          <w:sz w:val="24"/>
          <w:szCs w:val="24"/>
          <w:lang w:eastAsia="zh-CN"/>
        </w:rPr>
        <w:tab/>
      </w:r>
      <w:r w:rsidRPr="00880312">
        <w:rPr>
          <w:rFonts w:ascii="Times New Roman" w:eastAsia="DengXian" w:hAnsi="Times New Roman" w:cs="Times New Roman"/>
          <w:b/>
          <w:bCs/>
          <w:i/>
          <w:iCs/>
          <w:color w:val="000000" w:themeColor="text1"/>
          <w:sz w:val="24"/>
          <w:szCs w:val="24"/>
          <w:lang w:eastAsia="zh-CN"/>
        </w:rPr>
        <w:t>(3)</w:t>
      </w:r>
    </w:p>
    <w:bookmarkEnd w:id="105"/>
    <w:p w14:paraId="38F09E88" w14:textId="13493666" w:rsidR="00880312" w:rsidRPr="009F2AF8" w:rsidRDefault="00E80C14" w:rsidP="00880312">
      <w:pPr>
        <w:spacing w:after="0" w:line="480" w:lineRule="auto"/>
        <w:jc w:val="both"/>
        <w:rPr>
          <w:rFonts w:ascii="Times New Roman" w:eastAsia="DengXian" w:hAnsi="Times New Roman" w:cs="Times New Roman"/>
          <w:b/>
          <w:bCs/>
          <w:color w:val="000000" w:themeColor="text1"/>
          <w:sz w:val="24"/>
          <w:szCs w:val="24"/>
          <w:lang w:eastAsia="zh-CN"/>
        </w:rPr>
      </w:pPr>
      <w:r w:rsidRPr="009F2AF8">
        <w:rPr>
          <w:rFonts w:ascii="Times New Roman" w:eastAsia="DengXian" w:hAnsi="Times New Roman" w:cs="Times New Roman"/>
          <w:color w:val="000000" w:themeColor="text1"/>
          <w:sz w:val="24"/>
          <w:szCs w:val="24"/>
          <w:lang w:eastAsia="zh-CN"/>
        </w:rPr>
        <w:t>Female Leader is a dummy variable equal to one if chief executive officer (CEO) and/or chairperson or president is</w:t>
      </w:r>
      <w:r w:rsidR="00880312" w:rsidRPr="00E80C14">
        <w:rPr>
          <w:rFonts w:ascii="Times New Roman" w:eastAsia="DengXian" w:hAnsi="Times New Roman" w:cs="Times New Roman"/>
          <w:color w:val="000000" w:themeColor="text1"/>
          <w:sz w:val="24"/>
          <w:szCs w:val="24"/>
          <w:lang w:eastAsia="zh-CN"/>
        </w:rPr>
        <w:t xml:space="preserve"> female. </w:t>
      </w:r>
    </w:p>
    <w:p w14:paraId="01FEA9CB" w14:textId="77777777" w:rsidR="00880312" w:rsidRPr="00880312" w:rsidRDefault="00880312" w:rsidP="00880312">
      <w:pPr>
        <w:spacing w:after="0" w:line="480" w:lineRule="auto"/>
        <w:jc w:val="both"/>
        <w:rPr>
          <w:rFonts w:ascii="Times New Roman" w:eastAsia="DengXian" w:hAnsi="Times New Roman" w:cs="Times New Roman"/>
          <w:b/>
          <w:bCs/>
          <w:i/>
          <w:iCs/>
          <w:color w:val="000000" w:themeColor="text1"/>
          <w:sz w:val="24"/>
          <w:szCs w:val="24"/>
          <w:lang w:eastAsia="zh-CN"/>
        </w:rPr>
      </w:pPr>
    </w:p>
    <w:p w14:paraId="21C470D1" w14:textId="764D314E"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Table </w:t>
      </w:r>
      <w:r w:rsidR="004A26B3">
        <w:rPr>
          <w:rFonts w:ascii="Times New Roman" w:eastAsia="DengXian" w:hAnsi="Times New Roman" w:cs="Times New Roman"/>
          <w:i/>
          <w:iCs/>
          <w:color w:val="000000" w:themeColor="text1"/>
          <w:sz w:val="24"/>
          <w:szCs w:val="24"/>
          <w:lang w:eastAsia="zh-CN"/>
        </w:rPr>
        <w:t>4.2</w:t>
      </w:r>
      <w:r w:rsidR="004A26B3" w:rsidRPr="00880312">
        <w:rPr>
          <w:rFonts w:ascii="Times New Roman" w:eastAsia="DengXian" w:hAnsi="Times New Roman" w:cs="Times New Roman"/>
          <w:b/>
          <w:bCs/>
          <w:i/>
          <w:iCs/>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represents Pearson's pairwise correlation for the variables. The significant positive relationship between bank risk-taking and risk culture is consistent with the literature, i.e. banks with more risk have high-risk culture and vice versa (Barth and Mansuri, 2021; Nyguen et al., 2019; Mervelskemper et al., 2018). The correlation coefficient between variables is less than 0.7(Talavera et al., 2016)</w:t>
      </w:r>
      <w:r w:rsidR="00E80C14">
        <w:rPr>
          <w:rFonts w:ascii="Times New Roman" w:eastAsia="DengXian" w:hAnsi="Times New Roman" w:cs="Times New Roman"/>
          <w:color w:val="000000" w:themeColor="text1"/>
          <w:sz w:val="24"/>
          <w:szCs w:val="24"/>
          <w:lang w:eastAsia="zh-CN"/>
        </w:rPr>
        <w:t>; t</w:t>
      </w:r>
      <w:r w:rsidRPr="00880312">
        <w:rPr>
          <w:rFonts w:ascii="Times New Roman" w:eastAsia="DengXian" w:hAnsi="Times New Roman" w:cs="Times New Roman"/>
          <w:color w:val="000000" w:themeColor="text1"/>
          <w:sz w:val="24"/>
          <w:szCs w:val="24"/>
          <w:lang w:eastAsia="zh-CN"/>
        </w:rPr>
        <w:t xml:space="preserve">hus, </w:t>
      </w:r>
      <w:r w:rsidR="00E80C14">
        <w:rPr>
          <w:rFonts w:ascii="Times New Roman" w:eastAsia="DengXian" w:hAnsi="Times New Roman" w:cs="Times New Roman"/>
          <w:color w:val="000000" w:themeColor="text1"/>
          <w:sz w:val="24"/>
          <w:szCs w:val="24"/>
          <w:lang w:eastAsia="zh-CN"/>
        </w:rPr>
        <w:t xml:space="preserve">showing that our model does not suffer from the issue of </w:t>
      </w:r>
      <w:r w:rsidRPr="00880312">
        <w:rPr>
          <w:rFonts w:ascii="Times New Roman" w:eastAsia="DengXian" w:hAnsi="Times New Roman" w:cs="Times New Roman"/>
          <w:color w:val="000000" w:themeColor="text1"/>
          <w:sz w:val="24"/>
          <w:szCs w:val="24"/>
          <w:lang w:eastAsia="zh-CN"/>
        </w:rPr>
        <w:t>multicollinearity.</w:t>
      </w:r>
    </w:p>
    <w:p w14:paraId="0828D1E1" w14:textId="3CC52ABF"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[Insert Table </w:t>
      </w:r>
      <w:r w:rsidR="004A26B3">
        <w:rPr>
          <w:rFonts w:ascii="Times New Roman" w:eastAsia="DengXian" w:hAnsi="Times New Roman" w:cs="Times New Roman"/>
          <w:i/>
          <w:iCs/>
          <w:color w:val="000000" w:themeColor="text1"/>
          <w:sz w:val="24"/>
          <w:szCs w:val="24"/>
          <w:lang w:eastAsia="zh-CN"/>
        </w:rPr>
        <w:t>4.2</w:t>
      </w:r>
      <w:r w:rsidR="004A26B3"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here]</w:t>
      </w:r>
    </w:p>
    <w:p w14:paraId="210867F4" w14:textId="3CF0243C" w:rsidR="00742375" w:rsidRDefault="00742375">
      <w:pPr>
        <w:rPr>
          <w:rFonts w:ascii="Times New Roman" w:eastAsia="DengXian" w:hAnsi="Times New Roman" w:cs="Times New Roman"/>
          <w:i/>
          <w:iCs/>
          <w:color w:val="000000" w:themeColor="text1"/>
          <w:sz w:val="24"/>
          <w:szCs w:val="24"/>
          <w:lang w:eastAsia="zh-CN"/>
        </w:rPr>
      </w:pPr>
      <w:r>
        <w:rPr>
          <w:rFonts w:ascii="Times New Roman" w:eastAsia="DengXian" w:hAnsi="Times New Roman" w:cs="Times New Roman"/>
          <w:i/>
          <w:iCs/>
          <w:color w:val="000000" w:themeColor="text1"/>
          <w:sz w:val="24"/>
          <w:szCs w:val="24"/>
          <w:lang w:eastAsia="zh-CN"/>
        </w:rPr>
        <w:br w:type="page"/>
      </w:r>
    </w:p>
    <w:p w14:paraId="63AAEDF6" w14:textId="77777777"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p>
    <w:p w14:paraId="5A88AC7E" w14:textId="138B8677" w:rsidR="00880312" w:rsidRDefault="00480042" w:rsidP="00742375">
      <w:pPr>
        <w:pStyle w:val="Heading2"/>
        <w:rPr>
          <w:sz w:val="32"/>
          <w:szCs w:val="32"/>
          <w:lang w:eastAsia="zh-CN"/>
        </w:rPr>
      </w:pPr>
      <w:bookmarkStart w:id="108" w:name="_Toc145616203"/>
      <w:r w:rsidRPr="00742375">
        <w:rPr>
          <w:sz w:val="32"/>
          <w:szCs w:val="32"/>
          <w:lang w:eastAsia="zh-CN"/>
        </w:rPr>
        <w:t>4</w:t>
      </w:r>
      <w:r w:rsidR="00880312" w:rsidRPr="00742375">
        <w:rPr>
          <w:sz w:val="32"/>
          <w:szCs w:val="32"/>
          <w:lang w:eastAsia="zh-CN"/>
        </w:rPr>
        <w:t>.</w:t>
      </w:r>
      <w:r w:rsidR="00742375" w:rsidRPr="00742375">
        <w:rPr>
          <w:sz w:val="32"/>
          <w:szCs w:val="32"/>
          <w:lang w:eastAsia="zh-CN"/>
        </w:rPr>
        <w:t>5.</w:t>
      </w:r>
      <w:r w:rsidR="00880312" w:rsidRPr="00742375">
        <w:rPr>
          <w:sz w:val="32"/>
          <w:szCs w:val="32"/>
          <w:lang w:eastAsia="zh-CN"/>
        </w:rPr>
        <w:t xml:space="preserve"> Empirical Analysis</w:t>
      </w:r>
      <w:bookmarkEnd w:id="108"/>
      <w:r w:rsidR="00880312" w:rsidRPr="00742375">
        <w:rPr>
          <w:sz w:val="32"/>
          <w:szCs w:val="32"/>
          <w:lang w:eastAsia="zh-CN"/>
        </w:rPr>
        <w:t xml:space="preserve"> </w:t>
      </w:r>
    </w:p>
    <w:p w14:paraId="196AED6B" w14:textId="77777777" w:rsidR="00742375" w:rsidRPr="00742375" w:rsidRDefault="00742375" w:rsidP="00742375">
      <w:pPr>
        <w:rPr>
          <w:lang w:eastAsia="zh-CN"/>
        </w:rPr>
      </w:pPr>
    </w:p>
    <w:p w14:paraId="484E4819" w14:textId="5F2264A8" w:rsidR="00880312" w:rsidRPr="00742375" w:rsidRDefault="00480042" w:rsidP="00742375">
      <w:pPr>
        <w:pStyle w:val="Heading3"/>
        <w:rPr>
          <w:rFonts w:ascii="Times New Roman" w:hAnsi="Times New Roman" w:cs="Times New Roman"/>
          <w:b/>
          <w:bCs/>
          <w:color w:val="000000" w:themeColor="text1"/>
          <w:sz w:val="28"/>
          <w:szCs w:val="28"/>
          <w:lang w:eastAsia="zh-CN"/>
        </w:rPr>
      </w:pPr>
      <w:bookmarkStart w:id="109" w:name="_Toc145616204"/>
      <w:r w:rsidRPr="00742375">
        <w:rPr>
          <w:rFonts w:ascii="Times New Roman" w:hAnsi="Times New Roman" w:cs="Times New Roman"/>
          <w:b/>
          <w:bCs/>
          <w:color w:val="000000" w:themeColor="text1"/>
          <w:sz w:val="28"/>
          <w:szCs w:val="28"/>
          <w:lang w:eastAsia="zh-CN"/>
        </w:rPr>
        <w:t>4</w:t>
      </w:r>
      <w:r w:rsidR="00880312" w:rsidRPr="00742375">
        <w:rPr>
          <w:rFonts w:ascii="Times New Roman" w:hAnsi="Times New Roman" w:cs="Times New Roman"/>
          <w:b/>
          <w:bCs/>
          <w:color w:val="000000" w:themeColor="text1"/>
          <w:sz w:val="28"/>
          <w:szCs w:val="28"/>
          <w:lang w:eastAsia="zh-CN"/>
        </w:rPr>
        <w:t>.</w:t>
      </w:r>
      <w:r w:rsidR="00742375">
        <w:rPr>
          <w:rFonts w:ascii="Times New Roman" w:hAnsi="Times New Roman" w:cs="Times New Roman"/>
          <w:b/>
          <w:bCs/>
          <w:color w:val="000000" w:themeColor="text1"/>
          <w:sz w:val="28"/>
          <w:szCs w:val="28"/>
          <w:lang w:eastAsia="zh-CN"/>
        </w:rPr>
        <w:t>5.</w:t>
      </w:r>
      <w:r w:rsidR="00880312" w:rsidRPr="00742375">
        <w:rPr>
          <w:rFonts w:ascii="Times New Roman" w:hAnsi="Times New Roman" w:cs="Times New Roman"/>
          <w:b/>
          <w:bCs/>
          <w:color w:val="000000" w:themeColor="text1"/>
          <w:sz w:val="28"/>
          <w:szCs w:val="28"/>
          <w:lang w:eastAsia="zh-CN"/>
        </w:rPr>
        <w:t>1. Univariate analysis</w:t>
      </w:r>
      <w:bookmarkEnd w:id="109"/>
      <w:r w:rsidR="00880312" w:rsidRPr="00742375">
        <w:rPr>
          <w:rFonts w:ascii="Times New Roman" w:hAnsi="Times New Roman" w:cs="Times New Roman"/>
          <w:b/>
          <w:bCs/>
          <w:color w:val="000000" w:themeColor="text1"/>
          <w:sz w:val="28"/>
          <w:szCs w:val="28"/>
          <w:lang w:eastAsia="zh-CN"/>
        </w:rPr>
        <w:t xml:space="preserve"> </w:t>
      </w:r>
    </w:p>
    <w:p w14:paraId="7E30B740" w14:textId="1A08E318" w:rsidR="00880312" w:rsidRPr="00880312" w:rsidRDefault="00E80C14" w:rsidP="00880312">
      <w:pPr>
        <w:spacing w:after="0" w:line="480" w:lineRule="auto"/>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t xml:space="preserve">We present the results of the univariate analysis in </w:t>
      </w:r>
      <w:r w:rsidR="00880312" w:rsidRPr="00880312">
        <w:rPr>
          <w:rFonts w:ascii="Times New Roman" w:eastAsia="DengXian" w:hAnsi="Times New Roman" w:cs="Times New Roman"/>
          <w:i/>
          <w:iCs/>
          <w:color w:val="000000" w:themeColor="text1"/>
          <w:sz w:val="24"/>
          <w:szCs w:val="24"/>
          <w:lang w:eastAsia="zh-CN"/>
        </w:rPr>
        <w:t>Table 4</w:t>
      </w:r>
      <w:r w:rsidR="00AC38B5">
        <w:rPr>
          <w:rFonts w:ascii="Times New Roman" w:eastAsia="DengXian" w:hAnsi="Times New Roman" w:cs="Times New Roman"/>
          <w:i/>
          <w:iCs/>
          <w:color w:val="000000" w:themeColor="text1"/>
          <w:sz w:val="24"/>
          <w:szCs w:val="24"/>
          <w:lang w:eastAsia="zh-CN"/>
        </w:rPr>
        <w:t>.3</w:t>
      </w:r>
      <w:r>
        <w:rPr>
          <w:rFonts w:ascii="Times New Roman" w:eastAsia="DengXian" w:hAnsi="Times New Roman" w:cs="Times New Roman"/>
          <w:i/>
          <w:iCs/>
          <w:color w:val="000000" w:themeColor="text1"/>
          <w:sz w:val="24"/>
          <w:szCs w:val="24"/>
          <w:lang w:eastAsia="zh-CN"/>
        </w:rPr>
        <w:t xml:space="preserve">. </w:t>
      </w:r>
      <w:r w:rsidRPr="009F2AF8">
        <w:rPr>
          <w:rFonts w:ascii="Times New Roman" w:eastAsia="DengXian" w:hAnsi="Times New Roman" w:cs="Times New Roman"/>
          <w:color w:val="000000" w:themeColor="text1"/>
          <w:sz w:val="24"/>
          <w:szCs w:val="24"/>
          <w:lang w:eastAsia="zh-CN"/>
        </w:rPr>
        <w:t>For univariate analysis, we group our sample banks on the basis of board gender diversity</w:t>
      </w:r>
      <w:r w:rsidR="00880312" w:rsidRPr="00880312">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Panel A distinguishes</w:t>
      </w:r>
      <w:r w:rsidR="00880312" w:rsidRPr="00880312">
        <w:rPr>
          <w:rFonts w:ascii="Times New Roman" w:eastAsia="DengXian" w:hAnsi="Times New Roman" w:cs="Times New Roman"/>
          <w:color w:val="000000" w:themeColor="text1"/>
          <w:sz w:val="24"/>
          <w:szCs w:val="24"/>
          <w:lang w:eastAsia="zh-CN"/>
        </w:rPr>
        <w:t xml:space="preserve"> banks </w:t>
      </w:r>
      <w:r>
        <w:rPr>
          <w:rFonts w:ascii="Times New Roman" w:eastAsia="DengXian" w:hAnsi="Times New Roman" w:cs="Times New Roman"/>
          <w:color w:val="000000" w:themeColor="text1"/>
          <w:sz w:val="24"/>
          <w:szCs w:val="24"/>
          <w:lang w:eastAsia="zh-CN"/>
        </w:rPr>
        <w:t xml:space="preserve">on the basis of the presence of at least </w:t>
      </w:r>
      <w:r w:rsidR="00880312" w:rsidRPr="00880312">
        <w:rPr>
          <w:rFonts w:ascii="Times New Roman" w:eastAsia="DengXian" w:hAnsi="Times New Roman" w:cs="Times New Roman"/>
          <w:color w:val="000000" w:themeColor="text1"/>
          <w:sz w:val="24"/>
          <w:szCs w:val="24"/>
          <w:lang w:eastAsia="zh-CN"/>
        </w:rPr>
        <w:t xml:space="preserve">one female director </w:t>
      </w:r>
      <w:r>
        <w:rPr>
          <w:rFonts w:ascii="Times New Roman" w:eastAsia="DengXian" w:hAnsi="Times New Roman" w:cs="Times New Roman"/>
          <w:color w:val="000000" w:themeColor="text1"/>
          <w:sz w:val="24"/>
          <w:szCs w:val="24"/>
          <w:lang w:eastAsia="zh-CN"/>
        </w:rPr>
        <w:t xml:space="preserve">compared to banks without </w:t>
      </w:r>
      <w:r w:rsidR="00880312" w:rsidRPr="00880312">
        <w:rPr>
          <w:rFonts w:ascii="Times New Roman" w:eastAsia="DengXian" w:hAnsi="Times New Roman" w:cs="Times New Roman"/>
          <w:color w:val="000000" w:themeColor="text1"/>
          <w:sz w:val="24"/>
          <w:szCs w:val="24"/>
          <w:lang w:eastAsia="zh-CN"/>
        </w:rPr>
        <w:t>female directors.</w:t>
      </w:r>
      <w:r>
        <w:rPr>
          <w:rFonts w:ascii="Times New Roman" w:eastAsia="DengXian" w:hAnsi="Times New Roman" w:cs="Times New Roman"/>
          <w:color w:val="000000" w:themeColor="text1"/>
          <w:sz w:val="24"/>
          <w:szCs w:val="24"/>
          <w:lang w:eastAsia="zh-CN"/>
        </w:rPr>
        <w:t xml:space="preserve"> </w:t>
      </w:r>
      <w:r w:rsidR="00880312" w:rsidRPr="00880312">
        <w:rPr>
          <w:rFonts w:ascii="Times New Roman" w:eastAsia="DengXian" w:hAnsi="Times New Roman" w:cs="Times New Roman"/>
          <w:color w:val="000000" w:themeColor="text1"/>
          <w:sz w:val="24"/>
          <w:szCs w:val="24"/>
          <w:lang w:eastAsia="zh-CN"/>
        </w:rPr>
        <w:t>Panel B differentiate</w:t>
      </w:r>
      <w:r>
        <w:rPr>
          <w:rFonts w:ascii="Times New Roman" w:eastAsia="DengXian" w:hAnsi="Times New Roman" w:cs="Times New Roman"/>
          <w:color w:val="000000" w:themeColor="text1"/>
          <w:sz w:val="24"/>
          <w:szCs w:val="24"/>
          <w:lang w:eastAsia="zh-CN"/>
        </w:rPr>
        <w:t>s banks on the basis of high and low</w:t>
      </w:r>
      <w:r w:rsidR="00880312" w:rsidRPr="00880312">
        <w:rPr>
          <w:rFonts w:ascii="Times New Roman" w:eastAsia="DengXian" w:hAnsi="Times New Roman" w:cs="Times New Roman"/>
          <w:color w:val="000000" w:themeColor="text1"/>
          <w:sz w:val="24"/>
          <w:szCs w:val="24"/>
          <w:lang w:eastAsia="zh-CN"/>
        </w:rPr>
        <w:t xml:space="preserve"> board gender diversity</w:t>
      </w:r>
      <w:r>
        <w:rPr>
          <w:rFonts w:ascii="Times New Roman" w:eastAsia="DengXian" w:hAnsi="Times New Roman" w:cs="Times New Roman"/>
          <w:color w:val="000000" w:themeColor="text1"/>
          <w:sz w:val="24"/>
          <w:szCs w:val="24"/>
          <w:lang w:eastAsia="zh-CN"/>
        </w:rPr>
        <w:t>,</w:t>
      </w:r>
      <w:r w:rsidR="00880312"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corresponding</w:t>
      </w:r>
      <w:r w:rsidR="00880312" w:rsidRPr="00880312">
        <w:rPr>
          <w:rFonts w:ascii="Times New Roman" w:eastAsia="DengXian" w:hAnsi="Times New Roman" w:cs="Times New Roman"/>
          <w:color w:val="000000" w:themeColor="text1"/>
          <w:sz w:val="24"/>
          <w:szCs w:val="24"/>
          <w:lang w:eastAsia="zh-CN"/>
        </w:rPr>
        <w:t xml:space="preserve"> to </w:t>
      </w:r>
      <w:r>
        <w:rPr>
          <w:rFonts w:ascii="Times New Roman" w:eastAsia="DengXian" w:hAnsi="Times New Roman" w:cs="Times New Roman"/>
          <w:color w:val="000000" w:themeColor="text1"/>
          <w:sz w:val="24"/>
          <w:szCs w:val="24"/>
          <w:lang w:eastAsia="zh-CN"/>
        </w:rPr>
        <w:t xml:space="preserve">if the </w:t>
      </w:r>
      <w:r w:rsidRPr="00880312">
        <w:rPr>
          <w:rFonts w:ascii="Times New Roman" w:eastAsia="DengXian" w:hAnsi="Times New Roman" w:cs="Times New Roman"/>
          <w:color w:val="000000" w:themeColor="text1"/>
          <w:sz w:val="24"/>
          <w:szCs w:val="24"/>
          <w:lang w:eastAsia="zh-CN"/>
        </w:rPr>
        <w:t>percentage</w:t>
      </w:r>
      <w:r w:rsidR="00880312" w:rsidRPr="00880312">
        <w:rPr>
          <w:rFonts w:ascii="Times New Roman" w:eastAsia="DengXian" w:hAnsi="Times New Roman" w:cs="Times New Roman"/>
          <w:color w:val="000000" w:themeColor="text1"/>
          <w:sz w:val="24"/>
          <w:szCs w:val="24"/>
          <w:lang w:eastAsia="zh-CN"/>
        </w:rPr>
        <w:t xml:space="preserve"> of female directors is above or below the median</w:t>
      </w:r>
      <w:r>
        <w:rPr>
          <w:rFonts w:ascii="Times New Roman" w:eastAsia="DengXian" w:hAnsi="Times New Roman" w:cs="Times New Roman"/>
          <w:color w:val="000000" w:themeColor="text1"/>
          <w:sz w:val="24"/>
          <w:szCs w:val="24"/>
          <w:lang w:eastAsia="zh-CN"/>
        </w:rPr>
        <w:t xml:space="preserve"> value respectively</w:t>
      </w:r>
      <w:r w:rsidR="00880312" w:rsidRPr="00880312">
        <w:rPr>
          <w:rFonts w:ascii="Times New Roman" w:eastAsia="DengXian" w:hAnsi="Times New Roman" w:cs="Times New Roman"/>
          <w:color w:val="000000" w:themeColor="text1"/>
          <w:sz w:val="24"/>
          <w:szCs w:val="24"/>
          <w:lang w:eastAsia="zh-CN"/>
        </w:rPr>
        <w:t xml:space="preserve">. The data </w:t>
      </w:r>
      <w:r w:rsidRPr="00880312">
        <w:rPr>
          <w:rFonts w:ascii="Times New Roman" w:eastAsia="DengXian" w:hAnsi="Times New Roman" w:cs="Times New Roman"/>
          <w:color w:val="000000" w:themeColor="text1"/>
          <w:sz w:val="24"/>
          <w:szCs w:val="24"/>
          <w:lang w:eastAsia="zh-CN"/>
        </w:rPr>
        <w:t>demonstrat</w:t>
      </w:r>
      <w:r>
        <w:rPr>
          <w:rFonts w:ascii="Times New Roman" w:eastAsia="DengXian" w:hAnsi="Times New Roman" w:cs="Times New Roman"/>
          <w:color w:val="000000" w:themeColor="text1"/>
          <w:sz w:val="24"/>
          <w:szCs w:val="24"/>
          <w:lang w:eastAsia="zh-CN"/>
        </w:rPr>
        <w:t>e</w:t>
      </w:r>
      <w:r w:rsidR="00880312" w:rsidRPr="00880312">
        <w:rPr>
          <w:rFonts w:ascii="Times New Roman" w:eastAsia="DengXian" w:hAnsi="Times New Roman" w:cs="Times New Roman"/>
          <w:color w:val="000000" w:themeColor="text1"/>
          <w:sz w:val="24"/>
          <w:szCs w:val="24"/>
          <w:lang w:eastAsia="zh-CN"/>
        </w:rPr>
        <w:t xml:space="preserve"> that </w:t>
      </w:r>
      <w:r>
        <w:rPr>
          <w:rFonts w:ascii="Times New Roman" w:eastAsia="DengXian" w:hAnsi="Times New Roman" w:cs="Times New Roman"/>
          <w:color w:val="000000" w:themeColor="text1"/>
          <w:sz w:val="24"/>
          <w:szCs w:val="24"/>
          <w:lang w:eastAsia="zh-CN"/>
        </w:rPr>
        <w:t xml:space="preserve">banks with </w:t>
      </w:r>
      <w:r w:rsidR="00880312" w:rsidRPr="00880312">
        <w:rPr>
          <w:rFonts w:ascii="Times New Roman" w:eastAsia="DengXian" w:hAnsi="Times New Roman" w:cs="Times New Roman"/>
          <w:color w:val="000000" w:themeColor="text1"/>
          <w:sz w:val="24"/>
          <w:szCs w:val="24"/>
          <w:lang w:eastAsia="zh-CN"/>
        </w:rPr>
        <w:t xml:space="preserve">greater </w:t>
      </w:r>
      <w:r>
        <w:rPr>
          <w:rFonts w:ascii="Times New Roman" w:eastAsia="DengXian" w:hAnsi="Times New Roman" w:cs="Times New Roman"/>
          <w:color w:val="000000" w:themeColor="text1"/>
          <w:sz w:val="24"/>
          <w:szCs w:val="24"/>
          <w:lang w:eastAsia="zh-CN"/>
        </w:rPr>
        <w:t>gender-diverse boards</w:t>
      </w:r>
      <w:r w:rsidR="00880312" w:rsidRPr="00880312">
        <w:rPr>
          <w:rFonts w:ascii="Times New Roman" w:eastAsia="DengXian" w:hAnsi="Times New Roman" w:cs="Times New Roman"/>
          <w:color w:val="000000" w:themeColor="text1"/>
          <w:sz w:val="24"/>
          <w:szCs w:val="24"/>
          <w:lang w:eastAsia="zh-CN"/>
        </w:rPr>
        <w:t xml:space="preserve"> - </w:t>
      </w:r>
      <w:r w:rsidRPr="00880312">
        <w:rPr>
          <w:rFonts w:ascii="Times New Roman" w:eastAsia="DengXian" w:hAnsi="Times New Roman" w:cs="Times New Roman"/>
          <w:color w:val="000000" w:themeColor="text1"/>
          <w:sz w:val="24"/>
          <w:szCs w:val="24"/>
          <w:lang w:eastAsia="zh-CN"/>
        </w:rPr>
        <w:t>classified</w:t>
      </w:r>
      <w:r w:rsidR="00880312" w:rsidRPr="00880312">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on the basis of</w:t>
      </w:r>
      <w:r w:rsidR="00880312" w:rsidRPr="00880312">
        <w:rPr>
          <w:rFonts w:ascii="Times New Roman" w:eastAsia="DengXian" w:hAnsi="Times New Roman" w:cs="Times New Roman"/>
          <w:color w:val="000000" w:themeColor="text1"/>
          <w:sz w:val="24"/>
          <w:szCs w:val="24"/>
          <w:lang w:eastAsia="zh-CN"/>
        </w:rPr>
        <w:t xml:space="preserve"> a binary or median threshold</w:t>
      </w:r>
      <w:r>
        <w:rPr>
          <w:rFonts w:ascii="Times New Roman" w:eastAsia="DengXian" w:hAnsi="Times New Roman" w:cs="Times New Roman"/>
          <w:color w:val="000000" w:themeColor="text1"/>
          <w:sz w:val="24"/>
          <w:szCs w:val="24"/>
          <w:lang w:eastAsia="zh-CN"/>
        </w:rPr>
        <w:t xml:space="preserve"> of </w:t>
      </w:r>
      <w:r w:rsidR="00880312" w:rsidRPr="00880312">
        <w:rPr>
          <w:rFonts w:ascii="Times New Roman" w:eastAsia="DengXian" w:hAnsi="Times New Roman" w:cs="Times New Roman"/>
          <w:color w:val="000000" w:themeColor="text1"/>
          <w:sz w:val="24"/>
          <w:szCs w:val="24"/>
          <w:lang w:eastAsia="zh-CN"/>
        </w:rPr>
        <w:t xml:space="preserve">female </w:t>
      </w:r>
      <w:r>
        <w:rPr>
          <w:rFonts w:ascii="Times New Roman" w:eastAsia="DengXian" w:hAnsi="Times New Roman" w:cs="Times New Roman"/>
          <w:color w:val="000000" w:themeColor="text1"/>
          <w:sz w:val="24"/>
          <w:szCs w:val="24"/>
          <w:lang w:eastAsia="zh-CN"/>
        </w:rPr>
        <w:t>representation at the board</w:t>
      </w:r>
      <w:r w:rsidR="00880312" w:rsidRPr="00880312">
        <w:rPr>
          <w:rFonts w:ascii="Times New Roman" w:eastAsia="DengXian" w:hAnsi="Times New Roman" w:cs="Times New Roman"/>
          <w:color w:val="000000" w:themeColor="text1"/>
          <w:sz w:val="24"/>
          <w:szCs w:val="24"/>
          <w:lang w:eastAsia="zh-CN"/>
        </w:rPr>
        <w:t xml:space="preserve">– significantly differ in risk culture and bank risk compared with banks with low board gender diversity. </w:t>
      </w:r>
      <w:r>
        <w:rPr>
          <w:rFonts w:ascii="Times New Roman" w:eastAsia="DengXian" w:hAnsi="Times New Roman" w:cs="Times New Roman"/>
          <w:color w:val="000000" w:themeColor="text1"/>
          <w:sz w:val="24"/>
          <w:szCs w:val="24"/>
          <w:lang w:eastAsia="zh-CN"/>
        </w:rPr>
        <w:t xml:space="preserve">The data further reveals that banks with high board gender diversity are </w:t>
      </w:r>
      <w:r w:rsidRPr="00880312">
        <w:rPr>
          <w:rFonts w:ascii="Times New Roman" w:eastAsia="DengXian" w:hAnsi="Times New Roman" w:cs="Times New Roman"/>
          <w:color w:val="000000" w:themeColor="text1"/>
          <w:sz w:val="24"/>
          <w:szCs w:val="24"/>
          <w:lang w:eastAsia="zh-CN"/>
        </w:rPr>
        <w:t>likely</w:t>
      </w:r>
      <w:r w:rsidR="00880312" w:rsidRPr="00880312">
        <w:rPr>
          <w:rFonts w:ascii="Times New Roman" w:eastAsia="DengXian" w:hAnsi="Times New Roman" w:cs="Times New Roman"/>
          <w:color w:val="000000" w:themeColor="text1"/>
          <w:sz w:val="24"/>
          <w:szCs w:val="24"/>
          <w:lang w:eastAsia="zh-CN"/>
        </w:rPr>
        <w:t xml:space="preserve"> to have more independent board members, a large board size, high profitability, and high bank capital. </w:t>
      </w:r>
    </w:p>
    <w:p w14:paraId="2DF32017" w14:textId="20DB51B2"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[Insert Table 4</w:t>
      </w:r>
      <w:r w:rsidR="00AC38B5">
        <w:rPr>
          <w:rFonts w:ascii="Times New Roman" w:eastAsia="DengXian" w:hAnsi="Times New Roman" w:cs="Times New Roman"/>
          <w:i/>
          <w:iCs/>
          <w:color w:val="000000" w:themeColor="text1"/>
          <w:sz w:val="24"/>
          <w:szCs w:val="24"/>
          <w:lang w:eastAsia="zh-CN"/>
        </w:rPr>
        <w:t>.3</w:t>
      </w:r>
      <w:r w:rsidRPr="00880312">
        <w:rPr>
          <w:rFonts w:ascii="Times New Roman" w:eastAsia="DengXian" w:hAnsi="Times New Roman" w:cs="Times New Roman"/>
          <w:i/>
          <w:iCs/>
          <w:color w:val="000000" w:themeColor="text1"/>
          <w:sz w:val="24"/>
          <w:szCs w:val="24"/>
          <w:lang w:eastAsia="zh-CN"/>
        </w:rPr>
        <w:t xml:space="preserve"> here]</w:t>
      </w:r>
    </w:p>
    <w:p w14:paraId="6322E659" w14:textId="4E5AF2D2" w:rsidR="00880312" w:rsidRPr="00742375" w:rsidRDefault="00480042" w:rsidP="00742375">
      <w:pPr>
        <w:pStyle w:val="Heading3"/>
        <w:rPr>
          <w:rFonts w:ascii="Times New Roman" w:hAnsi="Times New Roman" w:cs="Times New Roman"/>
          <w:b/>
          <w:bCs/>
          <w:color w:val="auto"/>
          <w:sz w:val="28"/>
          <w:szCs w:val="28"/>
          <w:lang w:eastAsia="zh-CN"/>
        </w:rPr>
      </w:pPr>
      <w:bookmarkStart w:id="110" w:name="_Toc145616205"/>
      <w:r w:rsidRPr="00742375">
        <w:rPr>
          <w:rFonts w:ascii="Times New Roman" w:hAnsi="Times New Roman" w:cs="Times New Roman"/>
          <w:b/>
          <w:bCs/>
          <w:color w:val="auto"/>
          <w:sz w:val="28"/>
          <w:szCs w:val="28"/>
          <w:lang w:eastAsia="zh-CN"/>
        </w:rPr>
        <w:t>4</w:t>
      </w:r>
      <w:r w:rsidR="00880312" w:rsidRPr="00742375">
        <w:rPr>
          <w:rFonts w:ascii="Times New Roman" w:hAnsi="Times New Roman" w:cs="Times New Roman"/>
          <w:b/>
          <w:bCs/>
          <w:color w:val="auto"/>
          <w:sz w:val="28"/>
          <w:szCs w:val="28"/>
          <w:lang w:eastAsia="zh-CN"/>
        </w:rPr>
        <w:t>.</w:t>
      </w:r>
      <w:r w:rsidR="00742375" w:rsidRPr="00742375">
        <w:rPr>
          <w:rFonts w:ascii="Times New Roman" w:hAnsi="Times New Roman" w:cs="Times New Roman"/>
          <w:b/>
          <w:bCs/>
          <w:color w:val="auto"/>
          <w:sz w:val="28"/>
          <w:szCs w:val="28"/>
          <w:lang w:eastAsia="zh-CN"/>
        </w:rPr>
        <w:t>5.</w:t>
      </w:r>
      <w:r w:rsidR="00880312" w:rsidRPr="00742375">
        <w:rPr>
          <w:rFonts w:ascii="Times New Roman" w:hAnsi="Times New Roman" w:cs="Times New Roman"/>
          <w:b/>
          <w:bCs/>
          <w:color w:val="auto"/>
          <w:sz w:val="28"/>
          <w:szCs w:val="28"/>
          <w:lang w:eastAsia="zh-CN"/>
        </w:rPr>
        <w:t>2. Regression analysis</w:t>
      </w:r>
      <w:bookmarkEnd w:id="110"/>
      <w:r w:rsidR="00880312" w:rsidRPr="00742375">
        <w:rPr>
          <w:rFonts w:ascii="Times New Roman" w:hAnsi="Times New Roman" w:cs="Times New Roman"/>
          <w:b/>
          <w:bCs/>
          <w:color w:val="auto"/>
          <w:sz w:val="28"/>
          <w:szCs w:val="28"/>
          <w:lang w:eastAsia="zh-CN"/>
        </w:rPr>
        <w:t xml:space="preserve"> </w:t>
      </w:r>
    </w:p>
    <w:p w14:paraId="4CEBD5EC" w14:textId="52CB362C"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Based on the </w:t>
      </w:r>
      <w:r w:rsidR="00E80C14">
        <w:rPr>
          <w:rFonts w:ascii="Times New Roman" w:eastAsia="DengXian" w:hAnsi="Times New Roman" w:cs="Times New Roman"/>
          <w:color w:val="000000" w:themeColor="text1"/>
          <w:sz w:val="24"/>
          <w:szCs w:val="24"/>
          <w:lang w:eastAsia="zh-CN"/>
        </w:rPr>
        <w:t>agency concept proposed by Thakor (2016) regarding risk culture</w:t>
      </w:r>
      <w:r w:rsidRPr="00880312">
        <w:rPr>
          <w:rFonts w:ascii="Times New Roman" w:eastAsia="DengXian" w:hAnsi="Times New Roman" w:cs="Times New Roman"/>
          <w:color w:val="000000" w:themeColor="text1"/>
          <w:sz w:val="24"/>
          <w:szCs w:val="24"/>
          <w:lang w:eastAsia="zh-CN"/>
        </w:rPr>
        <w:t xml:space="preserve">, we expect a positive relationship between bank risk culture and bank risk. In contrast, based on social role theory, we expect a negative relationship between board gender diversity and bank risk. </w:t>
      </w:r>
      <w:r w:rsidR="00E67F5E">
        <w:rPr>
          <w:rFonts w:ascii="Times New Roman" w:eastAsia="DengXian" w:hAnsi="Times New Roman" w:cs="Times New Roman"/>
          <w:color w:val="000000" w:themeColor="text1"/>
          <w:sz w:val="24"/>
          <w:szCs w:val="24"/>
          <w:lang w:eastAsia="zh-CN"/>
        </w:rPr>
        <w:t>We begin reporting the basic relationship between</w:t>
      </w:r>
      <w:r w:rsidR="00CF081D">
        <w:rPr>
          <w:rFonts w:ascii="Times New Roman" w:eastAsia="DengXian" w:hAnsi="Times New Roman" w:cs="Times New Roman"/>
          <w:color w:val="000000" w:themeColor="text1"/>
          <w:sz w:val="24"/>
          <w:szCs w:val="24"/>
          <w:lang w:eastAsia="zh-CN"/>
        </w:rPr>
        <w:t xml:space="preserve"> </w:t>
      </w:r>
      <w:r w:rsidR="00CF081D" w:rsidRPr="00880312">
        <w:rPr>
          <w:rFonts w:ascii="Times New Roman" w:eastAsia="DengXian" w:hAnsi="Times New Roman" w:cs="Times New Roman"/>
          <w:color w:val="000000" w:themeColor="text1"/>
          <w:sz w:val="24"/>
          <w:szCs w:val="24"/>
          <w:lang w:eastAsia="zh-CN"/>
        </w:rPr>
        <w:t>risk culture and bank risk-taking</w:t>
      </w:r>
      <w:r w:rsidR="00CF081D">
        <w:rPr>
          <w:rFonts w:ascii="Times New Roman" w:eastAsia="DengXian" w:hAnsi="Times New Roman" w:cs="Times New Roman"/>
          <w:color w:val="000000" w:themeColor="text1"/>
          <w:sz w:val="24"/>
          <w:szCs w:val="24"/>
          <w:lang w:eastAsia="zh-CN"/>
        </w:rPr>
        <w:t xml:space="preserve">. The results are reported in </w:t>
      </w:r>
      <w:r w:rsidR="00CF081D" w:rsidRPr="009E69CE">
        <w:rPr>
          <w:rFonts w:ascii="Times New Roman" w:eastAsia="DengXian" w:hAnsi="Times New Roman" w:cs="Times New Roman"/>
          <w:i/>
          <w:iCs/>
          <w:color w:val="000000" w:themeColor="text1"/>
          <w:sz w:val="24"/>
          <w:szCs w:val="24"/>
          <w:lang w:eastAsia="zh-CN"/>
        </w:rPr>
        <w:t xml:space="preserve">Table </w:t>
      </w:r>
      <w:r w:rsidR="00AC38B5" w:rsidRPr="009E69CE">
        <w:rPr>
          <w:rFonts w:ascii="Times New Roman" w:eastAsia="DengXian" w:hAnsi="Times New Roman" w:cs="Times New Roman"/>
          <w:i/>
          <w:iCs/>
          <w:color w:val="000000" w:themeColor="text1"/>
          <w:sz w:val="24"/>
          <w:szCs w:val="24"/>
          <w:lang w:eastAsia="zh-CN"/>
        </w:rPr>
        <w:t>4.4</w:t>
      </w:r>
      <w:r w:rsidR="00CF081D">
        <w:rPr>
          <w:rFonts w:ascii="Times New Roman" w:eastAsia="DengXian" w:hAnsi="Times New Roman" w:cs="Times New Roman"/>
          <w:color w:val="000000" w:themeColor="text1"/>
          <w:sz w:val="24"/>
          <w:szCs w:val="24"/>
          <w:lang w:eastAsia="zh-CN"/>
        </w:rPr>
        <w:t xml:space="preserve">. </w:t>
      </w:r>
      <w:r w:rsidR="00CA2825">
        <w:rPr>
          <w:rFonts w:ascii="Times New Roman" w:eastAsia="DengXian" w:hAnsi="Times New Roman" w:cs="Times New Roman"/>
          <w:color w:val="000000" w:themeColor="text1"/>
          <w:sz w:val="24"/>
          <w:szCs w:val="24"/>
          <w:lang w:eastAsia="zh-CN"/>
        </w:rPr>
        <w:t>m</w:t>
      </w:r>
      <w:r w:rsidRPr="00880312">
        <w:rPr>
          <w:rFonts w:ascii="Times New Roman" w:eastAsia="DengXian" w:hAnsi="Times New Roman" w:cs="Times New Roman"/>
          <w:color w:val="000000" w:themeColor="text1"/>
          <w:sz w:val="24"/>
          <w:szCs w:val="24"/>
          <w:lang w:eastAsia="zh-CN"/>
        </w:rPr>
        <w:t xml:space="preserve">odel (1) </w:t>
      </w:r>
      <w:r w:rsidR="00E80C14" w:rsidRPr="00880312">
        <w:rPr>
          <w:rFonts w:ascii="Times New Roman" w:eastAsia="DengXian" w:hAnsi="Times New Roman" w:cs="Times New Roman"/>
          <w:color w:val="000000" w:themeColor="text1"/>
          <w:sz w:val="24"/>
          <w:szCs w:val="24"/>
          <w:lang w:eastAsia="zh-CN"/>
        </w:rPr>
        <w:t>emphasis</w:t>
      </w:r>
      <w:r w:rsidR="00E80C14">
        <w:rPr>
          <w:rFonts w:ascii="Times New Roman" w:eastAsia="DengXian" w:hAnsi="Times New Roman" w:cs="Times New Roman"/>
          <w:color w:val="000000" w:themeColor="text1"/>
          <w:sz w:val="24"/>
          <w:szCs w:val="24"/>
          <w:lang w:eastAsia="zh-CN"/>
        </w:rPr>
        <w:t>es</w:t>
      </w:r>
      <w:r w:rsidRPr="00880312">
        <w:rPr>
          <w:rFonts w:ascii="Times New Roman" w:eastAsia="DengXian" w:hAnsi="Times New Roman" w:cs="Times New Roman"/>
          <w:color w:val="000000" w:themeColor="text1"/>
          <w:sz w:val="24"/>
          <w:szCs w:val="24"/>
          <w:lang w:eastAsia="zh-CN"/>
        </w:rPr>
        <w:t xml:space="preserve"> the </w:t>
      </w:r>
      <w:r w:rsidR="00E80C14" w:rsidRPr="00880312">
        <w:rPr>
          <w:rFonts w:ascii="Times New Roman" w:eastAsia="DengXian" w:hAnsi="Times New Roman" w:cs="Times New Roman"/>
          <w:color w:val="000000" w:themeColor="text1"/>
          <w:sz w:val="24"/>
          <w:szCs w:val="24"/>
          <w:lang w:eastAsia="zh-CN"/>
        </w:rPr>
        <w:t>result</w:t>
      </w:r>
      <w:r w:rsidRPr="00880312">
        <w:rPr>
          <w:rFonts w:ascii="Times New Roman" w:eastAsia="DengXian" w:hAnsi="Times New Roman" w:cs="Times New Roman"/>
          <w:color w:val="000000" w:themeColor="text1"/>
          <w:sz w:val="24"/>
          <w:szCs w:val="24"/>
          <w:lang w:eastAsia="zh-CN"/>
        </w:rPr>
        <w:t xml:space="preserve"> of bank risk culture on bank risk, and model (2) shows female directors' effect on bank risk. Finally, in </w:t>
      </w:r>
      <w:r w:rsidR="00E80C14">
        <w:rPr>
          <w:rFonts w:ascii="Times New Roman" w:eastAsia="DengXian" w:hAnsi="Times New Roman" w:cs="Times New Roman"/>
          <w:color w:val="000000" w:themeColor="text1"/>
          <w:sz w:val="24"/>
          <w:szCs w:val="24"/>
          <w:lang w:eastAsia="zh-CN"/>
        </w:rPr>
        <w:t xml:space="preserve">the </w:t>
      </w:r>
      <w:r w:rsidR="00CA2825">
        <w:rPr>
          <w:rFonts w:ascii="Times New Roman" w:eastAsia="DengXian" w:hAnsi="Times New Roman" w:cs="Times New Roman"/>
          <w:color w:val="000000" w:themeColor="text1"/>
          <w:sz w:val="24"/>
          <w:szCs w:val="24"/>
          <w:lang w:eastAsia="zh-CN"/>
        </w:rPr>
        <w:t>m</w:t>
      </w:r>
      <w:r w:rsidRPr="00880312">
        <w:rPr>
          <w:rFonts w:ascii="Times New Roman" w:eastAsia="DengXian" w:hAnsi="Times New Roman" w:cs="Times New Roman"/>
          <w:color w:val="000000" w:themeColor="text1"/>
          <w:sz w:val="24"/>
          <w:szCs w:val="24"/>
          <w:lang w:eastAsia="zh-CN"/>
        </w:rPr>
        <w:t xml:space="preserve">odel (3), we test our </w:t>
      </w:r>
      <w:r w:rsidRPr="00880312">
        <w:rPr>
          <w:rFonts w:ascii="Times New Roman" w:eastAsia="DengXian" w:hAnsi="Times New Roman" w:cs="Times New Roman"/>
          <w:i/>
          <w:iCs/>
          <w:color w:val="000000" w:themeColor="text1"/>
          <w:sz w:val="24"/>
          <w:szCs w:val="24"/>
          <w:lang w:eastAsia="zh-CN"/>
        </w:rPr>
        <w:t>Hypothesis 1a</w:t>
      </w:r>
      <w:r w:rsidRPr="00880312">
        <w:rPr>
          <w:rFonts w:ascii="Times New Roman" w:eastAsia="DengXian" w:hAnsi="Times New Roman" w:cs="Times New Roman"/>
          <w:color w:val="000000" w:themeColor="text1"/>
          <w:sz w:val="24"/>
          <w:szCs w:val="24"/>
          <w:lang w:eastAsia="zh-CN"/>
        </w:rPr>
        <w:t xml:space="preserve"> explaining the moderating </w:t>
      </w:r>
      <w:r w:rsidR="00E80C14">
        <w:rPr>
          <w:rFonts w:ascii="Times New Roman" w:eastAsia="DengXian" w:hAnsi="Times New Roman" w:cs="Times New Roman"/>
          <w:color w:val="000000" w:themeColor="text1"/>
          <w:sz w:val="24"/>
          <w:szCs w:val="24"/>
          <w:lang w:eastAsia="zh-CN"/>
        </w:rPr>
        <w:t>role</w:t>
      </w:r>
      <w:r w:rsidR="00E80C14"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of female directors on culture and </w:t>
      </w:r>
      <w:r w:rsidR="004648AA">
        <w:rPr>
          <w:rFonts w:ascii="Times New Roman" w:eastAsia="DengXian" w:hAnsi="Times New Roman" w:cs="Times New Roman"/>
          <w:color w:val="000000" w:themeColor="text1"/>
          <w:sz w:val="24"/>
          <w:szCs w:val="24"/>
          <w:lang w:eastAsia="zh-CN"/>
        </w:rPr>
        <w:t xml:space="preserve">bank </w:t>
      </w:r>
      <w:r w:rsidRPr="00880312">
        <w:rPr>
          <w:rFonts w:ascii="Times New Roman" w:eastAsia="DengXian" w:hAnsi="Times New Roman" w:cs="Times New Roman"/>
          <w:color w:val="000000" w:themeColor="text1"/>
          <w:sz w:val="24"/>
          <w:szCs w:val="24"/>
          <w:lang w:eastAsia="zh-CN"/>
        </w:rPr>
        <w:t xml:space="preserve">risk relationships.  </w:t>
      </w:r>
    </w:p>
    <w:p w14:paraId="0E7AA6AA" w14:textId="207EDB50"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The coefficient of our culture variable is positive and significant in all the models. The finding is consistent with the previous literature, i.e. banks with a risky culture take more risk (Nguyen et al., 2019; Barth and Mansuri, 2021). Similarly, our result for the board gender diversity is consistent with the previous literature </w:t>
      </w:r>
      <w:r w:rsidR="00E80C14" w:rsidRPr="00880312">
        <w:rPr>
          <w:rFonts w:ascii="Times New Roman" w:eastAsia="DengXian" w:hAnsi="Times New Roman" w:cs="Times New Roman"/>
          <w:color w:val="000000" w:themeColor="text1"/>
          <w:sz w:val="24"/>
          <w:szCs w:val="24"/>
          <w:lang w:eastAsia="zh-CN"/>
        </w:rPr>
        <w:t>implying</w:t>
      </w:r>
      <w:r w:rsidRPr="00880312">
        <w:rPr>
          <w:rFonts w:ascii="Times New Roman" w:eastAsia="DengXian" w:hAnsi="Times New Roman" w:cs="Times New Roman"/>
          <w:color w:val="000000" w:themeColor="text1"/>
          <w:sz w:val="24"/>
          <w:szCs w:val="24"/>
          <w:lang w:eastAsia="zh-CN"/>
        </w:rPr>
        <w:t xml:space="preserve"> </w:t>
      </w:r>
      <w:r w:rsidR="00E80C14">
        <w:rPr>
          <w:rFonts w:ascii="Times New Roman" w:eastAsia="DengXian" w:hAnsi="Times New Roman" w:cs="Times New Roman"/>
          <w:color w:val="000000" w:themeColor="text1"/>
          <w:sz w:val="24"/>
          <w:szCs w:val="24"/>
          <w:lang w:eastAsia="zh-CN"/>
        </w:rPr>
        <w:t xml:space="preserve">a negative relationship between female representation </w:t>
      </w:r>
      <w:r w:rsidRPr="00880312">
        <w:rPr>
          <w:rFonts w:ascii="Times New Roman" w:eastAsia="DengXian" w:hAnsi="Times New Roman" w:cs="Times New Roman"/>
          <w:color w:val="000000" w:themeColor="text1"/>
          <w:sz w:val="24"/>
          <w:szCs w:val="24"/>
          <w:lang w:eastAsia="zh-CN"/>
        </w:rPr>
        <w:t>on the board with bank risk (Bernile et al., 2018; Arnaboudli et al., 2021;</w:t>
      </w:r>
      <w:r w:rsidRPr="00880312">
        <w:rPr>
          <w:rFonts w:ascii="Calibri" w:eastAsia="DengXian" w:hAnsi="Calibri" w:cs="Arial"/>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Mohsni, Otchere and Shahriar, 2021). In </w:t>
      </w:r>
      <w:r w:rsidR="00CA2825">
        <w:rPr>
          <w:rFonts w:ascii="Times New Roman" w:eastAsia="DengXian" w:hAnsi="Times New Roman" w:cs="Times New Roman"/>
          <w:color w:val="000000" w:themeColor="text1"/>
          <w:sz w:val="24"/>
          <w:szCs w:val="24"/>
          <w:lang w:eastAsia="zh-CN"/>
        </w:rPr>
        <w:t>m</w:t>
      </w:r>
      <w:r w:rsidRPr="00880312">
        <w:rPr>
          <w:rFonts w:ascii="Times New Roman" w:eastAsia="DengXian" w:hAnsi="Times New Roman" w:cs="Times New Roman"/>
          <w:color w:val="000000" w:themeColor="text1"/>
          <w:sz w:val="24"/>
          <w:szCs w:val="24"/>
          <w:lang w:eastAsia="zh-CN"/>
        </w:rPr>
        <w:t xml:space="preserve">odel (3), </w:t>
      </w:r>
      <w:r w:rsidR="004648AA">
        <w:rPr>
          <w:rFonts w:ascii="Times New Roman" w:eastAsia="DengXian" w:hAnsi="Times New Roman" w:cs="Times New Roman"/>
          <w:color w:val="000000" w:themeColor="text1"/>
          <w:sz w:val="24"/>
          <w:szCs w:val="24"/>
          <w:lang w:eastAsia="zh-CN"/>
        </w:rPr>
        <w:t xml:space="preserve">we accept our hypothesis </w:t>
      </w:r>
      <w:r w:rsidR="00B81199">
        <w:rPr>
          <w:rFonts w:ascii="Times New Roman" w:eastAsia="DengXian" w:hAnsi="Times New Roman" w:cs="Times New Roman"/>
          <w:color w:val="000000" w:themeColor="text1"/>
          <w:sz w:val="24"/>
          <w:szCs w:val="24"/>
          <w:lang w:eastAsia="zh-CN"/>
        </w:rPr>
        <w:t>(</w:t>
      </w:r>
      <w:r w:rsidR="004648AA">
        <w:rPr>
          <w:rFonts w:ascii="Times New Roman" w:eastAsia="DengXian" w:hAnsi="Times New Roman" w:cs="Times New Roman"/>
          <w:color w:val="000000" w:themeColor="text1"/>
          <w:sz w:val="24"/>
          <w:szCs w:val="24"/>
          <w:lang w:eastAsia="zh-CN"/>
        </w:rPr>
        <w:t>1</w:t>
      </w:r>
      <w:r w:rsidR="00B81199">
        <w:rPr>
          <w:rFonts w:ascii="Times New Roman" w:eastAsia="DengXian" w:hAnsi="Times New Roman" w:cs="Times New Roman"/>
          <w:color w:val="000000" w:themeColor="text1"/>
          <w:sz w:val="24"/>
          <w:szCs w:val="24"/>
          <w:lang w:eastAsia="zh-CN"/>
        </w:rPr>
        <w:t>a)</w:t>
      </w:r>
      <w:r w:rsidR="004648AA">
        <w:rPr>
          <w:rFonts w:ascii="Times New Roman" w:eastAsia="DengXian" w:hAnsi="Times New Roman" w:cs="Times New Roman"/>
          <w:color w:val="000000" w:themeColor="text1"/>
          <w:sz w:val="24"/>
          <w:szCs w:val="24"/>
          <w:lang w:eastAsia="zh-CN"/>
        </w:rPr>
        <w:t xml:space="preserve"> as </w:t>
      </w:r>
      <w:r w:rsidRPr="00880312">
        <w:rPr>
          <w:rFonts w:ascii="Times New Roman" w:eastAsia="DengXian" w:hAnsi="Times New Roman" w:cs="Times New Roman"/>
          <w:color w:val="000000" w:themeColor="text1"/>
          <w:sz w:val="24"/>
          <w:szCs w:val="24"/>
          <w:lang w:eastAsia="zh-CN"/>
        </w:rPr>
        <w:t xml:space="preserve">the coefficient of the interaction term is negative and significant. The result supports the </w:t>
      </w:r>
      <w:r w:rsidR="00E80C14" w:rsidRPr="00880312">
        <w:rPr>
          <w:rFonts w:ascii="Times New Roman" w:eastAsia="DengXian" w:hAnsi="Times New Roman" w:cs="Times New Roman"/>
          <w:color w:val="000000" w:themeColor="text1"/>
          <w:sz w:val="24"/>
          <w:szCs w:val="24"/>
          <w:lang w:eastAsia="zh-CN"/>
        </w:rPr>
        <w:t>expectations</w:t>
      </w:r>
      <w:r w:rsidRPr="00880312">
        <w:rPr>
          <w:rFonts w:ascii="Times New Roman" w:eastAsia="DengXian" w:hAnsi="Times New Roman" w:cs="Times New Roman"/>
          <w:color w:val="000000" w:themeColor="text1"/>
          <w:sz w:val="24"/>
          <w:szCs w:val="24"/>
          <w:lang w:eastAsia="zh-CN"/>
        </w:rPr>
        <w:t xml:space="preserve"> of the gender socialization theory, </w:t>
      </w:r>
      <w:r w:rsidR="00E80C14">
        <w:rPr>
          <w:rFonts w:ascii="Times New Roman" w:eastAsia="DengXian" w:hAnsi="Times New Roman" w:cs="Times New Roman"/>
          <w:color w:val="000000" w:themeColor="text1"/>
          <w:sz w:val="24"/>
          <w:szCs w:val="24"/>
          <w:lang w:eastAsia="zh-CN"/>
        </w:rPr>
        <w:t>implying that</w:t>
      </w:r>
      <w:r w:rsidRPr="00880312">
        <w:rPr>
          <w:rFonts w:ascii="Times New Roman" w:eastAsia="DengXian" w:hAnsi="Times New Roman" w:cs="Times New Roman"/>
          <w:color w:val="000000" w:themeColor="text1"/>
          <w:sz w:val="24"/>
          <w:szCs w:val="24"/>
          <w:lang w:eastAsia="zh-CN"/>
        </w:rPr>
        <w:t xml:space="preserve"> ethical</w:t>
      </w:r>
      <w:r w:rsidR="00E80C14">
        <w:rPr>
          <w:rFonts w:ascii="Times New Roman" w:eastAsia="DengXian" w:hAnsi="Times New Roman" w:cs="Times New Roman"/>
          <w:color w:val="000000" w:themeColor="text1"/>
          <w:sz w:val="24"/>
          <w:szCs w:val="24"/>
          <w:lang w:eastAsia="zh-CN"/>
        </w:rPr>
        <w:t xml:space="preserve"> or </w:t>
      </w:r>
      <w:r w:rsidRPr="00880312">
        <w:rPr>
          <w:rFonts w:ascii="Times New Roman" w:eastAsia="DengXian" w:hAnsi="Times New Roman" w:cs="Times New Roman"/>
          <w:color w:val="000000" w:themeColor="text1"/>
          <w:sz w:val="24"/>
          <w:szCs w:val="24"/>
          <w:lang w:eastAsia="zh-CN"/>
        </w:rPr>
        <w:t xml:space="preserve">risk aversion is the channel through which female presence on banks' boards affects the risk culture and hence leads to a reduction in bank risk. </w:t>
      </w:r>
    </w:p>
    <w:p w14:paraId="125878C4" w14:textId="2F5D9C58"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As for the other controls, we find a significant positive impact of independent directors on bank risk. The result is not surprising, as the widely held view after the financial crisis of 2007-2008 is that bank instability and the negative externalities of excessive risk-taking are a result of ineffective internal governance structure, particularly highlighting the role of independent directors (Adams, 2012; Beltarattti and Stulz, 2012; Vallascas et al., 2017; Minton et al., 2014; Erkens et al., 2012). We also find bank size has a positive and significant impact on bank risk, which is consistent with the literature that larger banks are inclined towards more risk. The result for our other control variables is also compatible with the relevant literature on bank risk(Barth and Mansuri, 2021; Ellul and Yeramilli, 2013; Ngyuen et al., 2019). </w:t>
      </w:r>
    </w:p>
    <w:p w14:paraId="671DA2BC" w14:textId="35439A63"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 Insert Table </w:t>
      </w:r>
      <w:r w:rsidR="00AC38B5">
        <w:rPr>
          <w:rFonts w:ascii="Times New Roman" w:eastAsia="DengXian" w:hAnsi="Times New Roman" w:cs="Times New Roman"/>
          <w:i/>
          <w:iCs/>
          <w:color w:val="000000" w:themeColor="text1"/>
          <w:sz w:val="24"/>
          <w:szCs w:val="24"/>
          <w:lang w:eastAsia="zh-CN"/>
        </w:rPr>
        <w:t>4.4</w:t>
      </w:r>
      <w:r w:rsidR="00AC38B5"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here]</w:t>
      </w:r>
    </w:p>
    <w:p w14:paraId="76F8F497" w14:textId="77777777"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p>
    <w:p w14:paraId="47CC2D15" w14:textId="3C792A37"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We further investigate the potential drivers of the effect of board gender diversity on bank culture and risk. In this regard, we </w:t>
      </w:r>
      <w:r w:rsidR="00AC38B5">
        <w:rPr>
          <w:rFonts w:ascii="Times New Roman" w:eastAsia="DengXian" w:hAnsi="Times New Roman" w:cs="Times New Roman"/>
          <w:color w:val="000000" w:themeColor="text1"/>
          <w:sz w:val="24"/>
          <w:szCs w:val="24"/>
          <w:lang w:eastAsia="zh-CN"/>
        </w:rPr>
        <w:t>test H2</w:t>
      </w:r>
      <w:r w:rsidR="00B81199">
        <w:rPr>
          <w:rFonts w:ascii="Times New Roman" w:eastAsia="DengXian" w:hAnsi="Times New Roman" w:cs="Times New Roman"/>
          <w:color w:val="000000" w:themeColor="text1"/>
          <w:sz w:val="24"/>
          <w:szCs w:val="24"/>
          <w:lang w:eastAsia="zh-CN"/>
        </w:rPr>
        <w:t xml:space="preserve"> (1b)</w:t>
      </w:r>
      <w:r w:rsidR="00AC38B5">
        <w:rPr>
          <w:rFonts w:ascii="Times New Roman" w:eastAsia="DengXian" w:hAnsi="Times New Roman" w:cs="Times New Roman"/>
          <w:color w:val="000000" w:themeColor="text1"/>
          <w:sz w:val="24"/>
          <w:szCs w:val="24"/>
          <w:lang w:eastAsia="zh-CN"/>
        </w:rPr>
        <w:t xml:space="preserve"> by </w:t>
      </w:r>
      <w:r w:rsidRPr="00880312">
        <w:rPr>
          <w:rFonts w:ascii="Times New Roman" w:eastAsia="DengXian" w:hAnsi="Times New Roman" w:cs="Times New Roman"/>
          <w:color w:val="000000" w:themeColor="text1"/>
          <w:sz w:val="24"/>
          <w:szCs w:val="24"/>
          <w:lang w:eastAsia="zh-CN"/>
        </w:rPr>
        <w:t>apply</w:t>
      </w:r>
      <w:r w:rsidR="00AC38B5">
        <w:rPr>
          <w:rFonts w:ascii="Times New Roman" w:eastAsia="DengXian" w:hAnsi="Times New Roman" w:cs="Times New Roman"/>
          <w:color w:val="000000" w:themeColor="text1"/>
          <w:sz w:val="24"/>
          <w:szCs w:val="24"/>
          <w:lang w:eastAsia="zh-CN"/>
        </w:rPr>
        <w:t>ing</w:t>
      </w:r>
      <w:r w:rsidRPr="00880312">
        <w:rPr>
          <w:rFonts w:ascii="Times New Roman" w:eastAsia="DengXian" w:hAnsi="Times New Roman" w:cs="Times New Roman"/>
          <w:color w:val="000000" w:themeColor="text1"/>
          <w:sz w:val="24"/>
          <w:szCs w:val="24"/>
          <w:lang w:eastAsia="zh-CN"/>
        </w:rPr>
        <w:t xml:space="preserve"> critical mass theory, which hypothesizes that for female directors to significantly impact firm outcomes (</w:t>
      </w:r>
      <w:r w:rsidR="00AC38B5" w:rsidRPr="00880312">
        <w:rPr>
          <w:rFonts w:ascii="Times New Roman" w:eastAsia="DengXian" w:hAnsi="Times New Roman" w:cs="Times New Roman"/>
          <w:color w:val="000000" w:themeColor="text1"/>
          <w:sz w:val="24"/>
          <w:szCs w:val="24"/>
          <w:lang w:eastAsia="zh-CN"/>
        </w:rPr>
        <w:t>i.e.,</w:t>
      </w:r>
      <w:r w:rsidRPr="00880312">
        <w:rPr>
          <w:rFonts w:ascii="Times New Roman" w:eastAsia="DengXian" w:hAnsi="Times New Roman" w:cs="Times New Roman"/>
          <w:color w:val="000000" w:themeColor="text1"/>
          <w:sz w:val="24"/>
          <w:szCs w:val="24"/>
          <w:lang w:eastAsia="zh-CN"/>
        </w:rPr>
        <w:t xml:space="preserve"> profitability, risk, monitoring), their number must exceed a certain threshold. The literature unanimous</w:t>
      </w:r>
      <w:r w:rsidR="00E80C14">
        <w:rPr>
          <w:rFonts w:ascii="Times New Roman" w:eastAsia="DengXian" w:hAnsi="Times New Roman" w:cs="Times New Roman"/>
          <w:color w:val="000000" w:themeColor="text1"/>
          <w:sz w:val="24"/>
          <w:szCs w:val="24"/>
          <w:lang w:eastAsia="zh-CN"/>
        </w:rPr>
        <w:t>ly defines critical mass when the number of directors is greater than or equal to three.</w:t>
      </w:r>
      <w:r w:rsidRPr="00880312">
        <w:rPr>
          <w:rFonts w:ascii="Times New Roman" w:eastAsia="DengXian" w:hAnsi="Times New Roman" w:cs="Times New Roman"/>
          <w:color w:val="000000" w:themeColor="text1"/>
          <w:sz w:val="24"/>
          <w:szCs w:val="24"/>
          <w:lang w:eastAsia="zh-CN"/>
        </w:rPr>
        <w:t xml:space="preserve"> </w:t>
      </w:r>
      <w:r w:rsidR="00E80C14" w:rsidRPr="00880312">
        <w:rPr>
          <w:rFonts w:ascii="Times New Roman" w:eastAsia="DengXian" w:hAnsi="Times New Roman" w:cs="Times New Roman"/>
          <w:color w:val="000000" w:themeColor="text1"/>
          <w:sz w:val="24"/>
          <w:szCs w:val="24"/>
          <w:lang w:eastAsia="zh-CN"/>
        </w:rPr>
        <w:t>Hence</w:t>
      </w:r>
      <w:r w:rsidRPr="00880312">
        <w:rPr>
          <w:rFonts w:ascii="Times New Roman" w:eastAsia="DengXian" w:hAnsi="Times New Roman" w:cs="Times New Roman"/>
          <w:color w:val="000000" w:themeColor="text1"/>
          <w:sz w:val="24"/>
          <w:szCs w:val="24"/>
          <w:lang w:eastAsia="zh-CN"/>
        </w:rPr>
        <w:t xml:space="preserve">, we run Eq. (2) using as a proxy of gender diversity a dummy variable for a minimum of three female directors on the board (Critical Mass (≥3)). We report the results in Table </w:t>
      </w:r>
      <w:r w:rsidR="00AC38B5">
        <w:rPr>
          <w:rFonts w:ascii="Times New Roman" w:eastAsia="DengXian" w:hAnsi="Times New Roman" w:cs="Times New Roman"/>
          <w:color w:val="000000" w:themeColor="text1"/>
          <w:sz w:val="24"/>
          <w:szCs w:val="24"/>
          <w:lang w:eastAsia="zh-CN"/>
        </w:rPr>
        <w:t>4.5</w:t>
      </w:r>
      <w:r w:rsidRPr="00880312">
        <w:rPr>
          <w:rFonts w:ascii="Times New Roman" w:eastAsia="DengXian" w:hAnsi="Times New Roman" w:cs="Times New Roman"/>
          <w:color w:val="000000" w:themeColor="text1"/>
          <w:sz w:val="24"/>
          <w:szCs w:val="24"/>
          <w:lang w:eastAsia="zh-CN"/>
        </w:rPr>
        <w:t>, Models (1)– (4). All models show a statistically significant relationship between risk culture and bank risk-taking. Model (1) shows a significant negative relationship between female directors on the board and bank risk when women reach a critical mass of &gt;=3</w:t>
      </w:r>
      <w:r w:rsidR="0056396D">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The finding </w:t>
      </w:r>
      <w:r w:rsidR="00E80C14">
        <w:rPr>
          <w:rFonts w:ascii="Times New Roman" w:eastAsia="DengXian" w:hAnsi="Times New Roman" w:cs="Times New Roman"/>
          <w:color w:val="000000" w:themeColor="text1"/>
          <w:sz w:val="24"/>
          <w:szCs w:val="24"/>
          <w:lang w:eastAsia="zh-CN"/>
        </w:rPr>
        <w:t>aligns</w:t>
      </w:r>
      <w:r w:rsidRPr="00880312">
        <w:rPr>
          <w:rFonts w:ascii="Times New Roman" w:eastAsia="DengXian" w:hAnsi="Times New Roman" w:cs="Times New Roman"/>
          <w:color w:val="000000" w:themeColor="text1"/>
          <w:sz w:val="24"/>
          <w:szCs w:val="24"/>
          <w:lang w:eastAsia="zh-CN"/>
        </w:rPr>
        <w:t xml:space="preserve"> with previous literature suggesting that female directors are more </w:t>
      </w:r>
      <w:r w:rsidR="00E80C14" w:rsidRPr="00880312">
        <w:rPr>
          <w:rFonts w:ascii="Times New Roman" w:eastAsia="DengXian" w:hAnsi="Times New Roman" w:cs="Times New Roman"/>
          <w:color w:val="000000" w:themeColor="text1"/>
          <w:sz w:val="24"/>
          <w:szCs w:val="24"/>
          <w:lang w:eastAsia="zh-CN"/>
        </w:rPr>
        <w:t>successful</w:t>
      </w:r>
      <w:r w:rsidRPr="00880312">
        <w:rPr>
          <w:rFonts w:ascii="Times New Roman" w:eastAsia="DengXian" w:hAnsi="Times New Roman" w:cs="Times New Roman"/>
          <w:color w:val="000000" w:themeColor="text1"/>
          <w:sz w:val="24"/>
          <w:szCs w:val="24"/>
          <w:lang w:eastAsia="zh-CN"/>
        </w:rPr>
        <w:t xml:space="preserve"> in </w:t>
      </w:r>
      <w:r w:rsidR="00E80C14" w:rsidRPr="00880312">
        <w:rPr>
          <w:rFonts w:ascii="Times New Roman" w:eastAsia="DengXian" w:hAnsi="Times New Roman" w:cs="Times New Roman"/>
          <w:color w:val="000000" w:themeColor="text1"/>
          <w:sz w:val="24"/>
          <w:szCs w:val="24"/>
          <w:lang w:eastAsia="zh-CN"/>
        </w:rPr>
        <w:t>expressing</w:t>
      </w:r>
      <w:r w:rsidRPr="00880312">
        <w:rPr>
          <w:rFonts w:ascii="Times New Roman" w:eastAsia="DengXian" w:hAnsi="Times New Roman" w:cs="Times New Roman"/>
          <w:color w:val="000000" w:themeColor="text1"/>
          <w:sz w:val="24"/>
          <w:szCs w:val="24"/>
          <w:lang w:eastAsia="zh-CN"/>
        </w:rPr>
        <w:t xml:space="preserve"> their </w:t>
      </w:r>
      <w:r w:rsidR="00E80C14" w:rsidRPr="00880312">
        <w:rPr>
          <w:rFonts w:ascii="Times New Roman" w:eastAsia="DengXian" w:hAnsi="Times New Roman" w:cs="Times New Roman"/>
          <w:color w:val="000000" w:themeColor="text1"/>
          <w:sz w:val="24"/>
          <w:szCs w:val="24"/>
          <w:lang w:eastAsia="zh-CN"/>
        </w:rPr>
        <w:t>view</w:t>
      </w:r>
      <w:r w:rsidR="00E80C14">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and </w:t>
      </w:r>
      <w:r w:rsidR="00E80C14" w:rsidRPr="00880312">
        <w:rPr>
          <w:rFonts w:ascii="Times New Roman" w:eastAsia="DengXian" w:hAnsi="Times New Roman" w:cs="Times New Roman"/>
          <w:color w:val="000000" w:themeColor="text1"/>
          <w:sz w:val="24"/>
          <w:szCs w:val="24"/>
          <w:lang w:eastAsia="zh-CN"/>
        </w:rPr>
        <w:t>affecting</w:t>
      </w:r>
      <w:r w:rsidRPr="00880312">
        <w:rPr>
          <w:rFonts w:ascii="Times New Roman" w:eastAsia="DengXian" w:hAnsi="Times New Roman" w:cs="Times New Roman"/>
          <w:color w:val="000000" w:themeColor="text1"/>
          <w:sz w:val="24"/>
          <w:szCs w:val="24"/>
          <w:lang w:eastAsia="zh-CN"/>
        </w:rPr>
        <w:t xml:space="preserve"> </w:t>
      </w:r>
      <w:r w:rsidR="00E80C14" w:rsidRPr="00880312">
        <w:rPr>
          <w:rFonts w:ascii="Times New Roman" w:eastAsia="DengXian" w:hAnsi="Times New Roman" w:cs="Times New Roman"/>
          <w:color w:val="000000" w:themeColor="text1"/>
          <w:sz w:val="24"/>
          <w:szCs w:val="24"/>
          <w:lang w:eastAsia="zh-CN"/>
        </w:rPr>
        <w:t>company</w:t>
      </w:r>
      <w:r w:rsidRPr="00880312">
        <w:rPr>
          <w:rFonts w:ascii="Times New Roman" w:eastAsia="DengXian" w:hAnsi="Times New Roman" w:cs="Times New Roman"/>
          <w:color w:val="000000" w:themeColor="text1"/>
          <w:sz w:val="24"/>
          <w:szCs w:val="24"/>
          <w:lang w:eastAsia="zh-CN"/>
        </w:rPr>
        <w:t xml:space="preserve"> decision-making when they reach a critical mass of 3 (Atif et al., 2021; Arnaboldi et al., 2021; Liu, 2018). </w:t>
      </w:r>
      <w:r w:rsidR="00E80C14">
        <w:rPr>
          <w:rFonts w:ascii="Times New Roman" w:eastAsia="DengXian" w:hAnsi="Times New Roman" w:cs="Times New Roman"/>
          <w:color w:val="000000" w:themeColor="text1"/>
          <w:sz w:val="24"/>
          <w:szCs w:val="24"/>
          <w:lang w:eastAsia="zh-CN"/>
        </w:rPr>
        <w:t xml:space="preserve">Model (2) uses a </w:t>
      </w:r>
      <w:r w:rsidRPr="00880312">
        <w:rPr>
          <w:rFonts w:ascii="Times New Roman" w:eastAsia="DengXian" w:hAnsi="Times New Roman" w:cs="Times New Roman"/>
          <w:color w:val="000000" w:themeColor="text1"/>
          <w:sz w:val="24"/>
          <w:szCs w:val="24"/>
          <w:lang w:eastAsia="zh-CN"/>
        </w:rPr>
        <w:t xml:space="preserve">dummy variable </w:t>
      </w:r>
      <w:r w:rsidR="00E80C14">
        <w:rPr>
          <w:rFonts w:ascii="Times New Roman" w:eastAsia="DengXian" w:hAnsi="Times New Roman" w:cs="Times New Roman"/>
          <w:color w:val="000000" w:themeColor="text1"/>
          <w:sz w:val="24"/>
          <w:szCs w:val="24"/>
          <w:lang w:eastAsia="zh-CN"/>
        </w:rPr>
        <w:t>indicating a broad having two but less than three female d</w:t>
      </w:r>
      <w:r w:rsidRPr="00880312">
        <w:rPr>
          <w:rFonts w:ascii="Times New Roman" w:eastAsia="DengXian" w:hAnsi="Times New Roman" w:cs="Times New Roman"/>
          <w:color w:val="000000" w:themeColor="text1"/>
          <w:sz w:val="24"/>
          <w:szCs w:val="24"/>
          <w:lang w:eastAsia="zh-CN"/>
        </w:rPr>
        <w:t xml:space="preserve">irectors. </w:t>
      </w:r>
      <w:r w:rsidR="00E80C14">
        <w:rPr>
          <w:rFonts w:ascii="Times New Roman" w:eastAsia="DengXian" w:hAnsi="Times New Roman" w:cs="Times New Roman"/>
          <w:color w:val="000000" w:themeColor="text1"/>
          <w:sz w:val="24"/>
          <w:szCs w:val="24"/>
          <w:lang w:eastAsia="zh-CN"/>
        </w:rPr>
        <w:t>Model (2) results show an insignificant d</w:t>
      </w:r>
      <w:r w:rsidRPr="00880312">
        <w:rPr>
          <w:rFonts w:ascii="Times New Roman" w:eastAsia="DengXian" w:hAnsi="Times New Roman" w:cs="Times New Roman"/>
          <w:color w:val="000000" w:themeColor="text1"/>
          <w:sz w:val="24"/>
          <w:szCs w:val="24"/>
          <w:lang w:eastAsia="zh-CN"/>
        </w:rPr>
        <w:t xml:space="preserve">ummy, suggesting that two female directors do not reduce bank risk. Model (3) </w:t>
      </w:r>
      <w:r w:rsidR="00E80C14">
        <w:rPr>
          <w:rFonts w:ascii="Times New Roman" w:eastAsia="DengXian" w:hAnsi="Times New Roman" w:cs="Times New Roman"/>
          <w:color w:val="000000" w:themeColor="text1"/>
          <w:sz w:val="24"/>
          <w:szCs w:val="24"/>
          <w:lang w:eastAsia="zh-CN"/>
        </w:rPr>
        <w:t xml:space="preserve">uses a dummy variable capturing boards with </w:t>
      </w:r>
      <w:r w:rsidRPr="00880312">
        <w:rPr>
          <w:rFonts w:ascii="Times New Roman" w:eastAsia="DengXian" w:hAnsi="Times New Roman" w:cs="Times New Roman"/>
          <w:color w:val="000000" w:themeColor="text1"/>
          <w:sz w:val="24"/>
          <w:szCs w:val="24"/>
          <w:lang w:eastAsia="zh-CN"/>
        </w:rPr>
        <w:t xml:space="preserve">one </w:t>
      </w:r>
      <w:r w:rsidR="00E80C14">
        <w:rPr>
          <w:rFonts w:ascii="Times New Roman" w:eastAsia="DengXian" w:hAnsi="Times New Roman" w:cs="Times New Roman"/>
          <w:color w:val="000000" w:themeColor="text1"/>
          <w:sz w:val="24"/>
          <w:szCs w:val="24"/>
          <w:lang w:eastAsia="zh-CN"/>
        </w:rPr>
        <w:t>female director</w:t>
      </w:r>
      <w:r w:rsidRPr="00880312">
        <w:rPr>
          <w:rFonts w:ascii="Times New Roman" w:eastAsia="DengXian" w:hAnsi="Times New Roman" w:cs="Times New Roman"/>
          <w:color w:val="000000" w:themeColor="text1"/>
          <w:sz w:val="24"/>
          <w:szCs w:val="24"/>
          <w:lang w:eastAsia="zh-CN"/>
        </w:rPr>
        <w:t xml:space="preserve">(Critical Mass =1). </w:t>
      </w:r>
      <w:r w:rsidR="00E80C14">
        <w:rPr>
          <w:rFonts w:ascii="Times New Roman" w:eastAsia="DengXian" w:hAnsi="Times New Roman" w:cs="Times New Roman"/>
          <w:color w:val="000000" w:themeColor="text1"/>
          <w:sz w:val="24"/>
          <w:szCs w:val="24"/>
          <w:lang w:eastAsia="zh-CN"/>
        </w:rPr>
        <w:t xml:space="preserve">Model (3) results show that </w:t>
      </w:r>
      <w:r w:rsidRPr="00880312">
        <w:rPr>
          <w:rFonts w:ascii="Times New Roman" w:eastAsia="DengXian" w:hAnsi="Times New Roman" w:cs="Times New Roman"/>
          <w:color w:val="000000" w:themeColor="text1"/>
          <w:sz w:val="24"/>
          <w:szCs w:val="24"/>
          <w:lang w:eastAsia="zh-CN"/>
        </w:rPr>
        <w:t xml:space="preserve">one female director </w:t>
      </w:r>
      <w:r w:rsidR="00E80C14">
        <w:rPr>
          <w:rFonts w:ascii="Times New Roman" w:eastAsia="DengXian" w:hAnsi="Times New Roman" w:cs="Times New Roman"/>
          <w:color w:val="000000" w:themeColor="text1"/>
          <w:sz w:val="24"/>
          <w:szCs w:val="24"/>
          <w:lang w:eastAsia="zh-CN"/>
        </w:rPr>
        <w:t>on the board does not influence</w:t>
      </w:r>
      <w:r w:rsidRPr="00880312">
        <w:rPr>
          <w:rFonts w:ascii="Times New Roman" w:eastAsia="DengXian" w:hAnsi="Times New Roman" w:cs="Times New Roman"/>
          <w:color w:val="000000" w:themeColor="text1"/>
          <w:sz w:val="24"/>
          <w:szCs w:val="24"/>
          <w:lang w:eastAsia="zh-CN"/>
        </w:rPr>
        <w:t xml:space="preserve"> a bank's risk. Thus, Model (2) and Model (3) also support the critical mass theory and show that women have an insignificant impact on bank outcomes (i.e., bank risk) if they are below the critical mass. Further, in Models (4), we </w:t>
      </w:r>
      <w:r w:rsidR="0056396D">
        <w:rPr>
          <w:rFonts w:ascii="Times New Roman" w:eastAsia="DengXian" w:hAnsi="Times New Roman" w:cs="Times New Roman"/>
          <w:color w:val="000000" w:themeColor="text1"/>
          <w:sz w:val="24"/>
          <w:szCs w:val="24"/>
          <w:lang w:eastAsia="zh-CN"/>
        </w:rPr>
        <w:t>accept our</w:t>
      </w:r>
      <w:r w:rsidR="0056396D"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Hypothesis 1b,</w:t>
      </w:r>
      <w:r w:rsidRPr="00880312">
        <w:rPr>
          <w:rFonts w:ascii="Times New Roman" w:eastAsia="DengXian" w:hAnsi="Times New Roman" w:cs="Times New Roman"/>
          <w:color w:val="000000" w:themeColor="text1"/>
          <w:sz w:val="24"/>
          <w:szCs w:val="24"/>
          <w:lang w:eastAsia="zh-CN"/>
        </w:rPr>
        <w:t xml:space="preserve"> i.e., whether three or more women significantly moderate the risk culture and bank risk. The interaction term is significantly negative, adding to the critical mass literature, i.e., the ethical/risk aversion channel is more visible if there are three or more female board of directors</w:t>
      </w:r>
      <w:r w:rsidR="008B4DDB">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(Atif et al., 2021; Arnaboldi et al., 2021; Liu, 2018)</w:t>
      </w:r>
    </w:p>
    <w:p w14:paraId="7EEA4B94" w14:textId="268AC66A"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[Insert Table </w:t>
      </w:r>
      <w:r w:rsidR="00AC38B5">
        <w:rPr>
          <w:rFonts w:ascii="Times New Roman" w:eastAsia="DengXian" w:hAnsi="Times New Roman" w:cs="Times New Roman"/>
          <w:i/>
          <w:iCs/>
          <w:color w:val="000000" w:themeColor="text1"/>
          <w:sz w:val="24"/>
          <w:szCs w:val="24"/>
          <w:lang w:eastAsia="zh-CN"/>
        </w:rPr>
        <w:t>4.5</w:t>
      </w:r>
      <w:r w:rsidR="00AC38B5"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here]</w:t>
      </w:r>
    </w:p>
    <w:p w14:paraId="415D760C" w14:textId="6CE64120"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In </w:t>
      </w:r>
      <w:r w:rsidRPr="009E69CE">
        <w:rPr>
          <w:rFonts w:ascii="Times New Roman" w:eastAsia="DengXian" w:hAnsi="Times New Roman" w:cs="Times New Roman"/>
          <w:i/>
          <w:iCs/>
          <w:color w:val="000000" w:themeColor="text1"/>
          <w:sz w:val="24"/>
          <w:szCs w:val="24"/>
          <w:lang w:eastAsia="zh-CN"/>
        </w:rPr>
        <w:t xml:space="preserve">Table </w:t>
      </w:r>
      <w:r w:rsidR="00AC38B5" w:rsidRPr="009E69CE">
        <w:rPr>
          <w:rFonts w:ascii="Times New Roman" w:eastAsia="DengXian" w:hAnsi="Times New Roman" w:cs="Times New Roman"/>
          <w:i/>
          <w:iCs/>
          <w:color w:val="000000" w:themeColor="text1"/>
          <w:sz w:val="24"/>
          <w:szCs w:val="24"/>
          <w:lang w:eastAsia="zh-CN"/>
        </w:rPr>
        <w:t>4.6</w:t>
      </w:r>
      <w:r w:rsidRPr="00880312">
        <w:rPr>
          <w:rFonts w:ascii="Times New Roman" w:eastAsia="DengXian" w:hAnsi="Times New Roman" w:cs="Times New Roman"/>
          <w:color w:val="000000" w:themeColor="text1"/>
          <w:sz w:val="24"/>
          <w:szCs w:val="24"/>
          <w:lang w:eastAsia="zh-CN"/>
        </w:rPr>
        <w:t xml:space="preserve">, we report whether females on board are still effective in moderating the risk culture and bank risk-taking by </w:t>
      </w:r>
      <w:r w:rsidR="00E80C14">
        <w:rPr>
          <w:rFonts w:ascii="Times New Roman" w:eastAsia="DengXian" w:hAnsi="Times New Roman" w:cs="Times New Roman"/>
          <w:color w:val="000000" w:themeColor="text1"/>
          <w:sz w:val="24"/>
          <w:szCs w:val="24"/>
          <w:lang w:eastAsia="zh-CN"/>
        </w:rPr>
        <w:t>supporting</w:t>
      </w:r>
      <w:r w:rsidRPr="00880312">
        <w:rPr>
          <w:rFonts w:ascii="Times New Roman" w:eastAsia="DengXian" w:hAnsi="Times New Roman" w:cs="Times New Roman"/>
          <w:color w:val="000000" w:themeColor="text1"/>
          <w:sz w:val="24"/>
          <w:szCs w:val="24"/>
          <w:lang w:eastAsia="zh-CN"/>
        </w:rPr>
        <w:t xml:space="preserve"> the female </w:t>
      </w:r>
      <w:r w:rsidR="00E80C14">
        <w:rPr>
          <w:rFonts w:ascii="Times New Roman" w:eastAsia="DengXian" w:hAnsi="Times New Roman" w:cs="Times New Roman"/>
          <w:color w:val="000000" w:themeColor="text1"/>
          <w:sz w:val="24"/>
          <w:szCs w:val="24"/>
          <w:lang w:eastAsia="zh-CN"/>
        </w:rPr>
        <w:t xml:space="preserve">in leadership positions, i.e. </w:t>
      </w:r>
      <w:r w:rsidRPr="00880312">
        <w:rPr>
          <w:rFonts w:ascii="Times New Roman" w:eastAsia="DengXian" w:hAnsi="Times New Roman" w:cs="Times New Roman"/>
          <w:color w:val="000000" w:themeColor="text1"/>
          <w:sz w:val="24"/>
          <w:szCs w:val="24"/>
          <w:lang w:eastAsia="zh-CN"/>
        </w:rPr>
        <w:t>CEO</w:t>
      </w:r>
      <w:r w:rsidR="00E80C14">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president</w:t>
      </w:r>
      <w:r w:rsidR="00E80C14">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chairperson (Female Leader interaction terms). </w:t>
      </w:r>
      <w:r w:rsidRPr="009E69CE">
        <w:rPr>
          <w:rFonts w:ascii="Times New Roman" w:eastAsia="DengXian" w:hAnsi="Times New Roman" w:cs="Times New Roman"/>
          <w:i/>
          <w:iCs/>
          <w:color w:val="000000" w:themeColor="text1"/>
          <w:sz w:val="24"/>
          <w:szCs w:val="24"/>
          <w:lang w:eastAsia="zh-CN"/>
        </w:rPr>
        <w:t xml:space="preserve">Table </w:t>
      </w:r>
      <w:r w:rsidR="00AC38B5" w:rsidRPr="009E69CE">
        <w:rPr>
          <w:rFonts w:ascii="Times New Roman" w:eastAsia="DengXian" w:hAnsi="Times New Roman" w:cs="Times New Roman"/>
          <w:i/>
          <w:iCs/>
          <w:color w:val="000000" w:themeColor="text1"/>
          <w:sz w:val="24"/>
          <w:szCs w:val="24"/>
          <w:lang w:eastAsia="zh-CN"/>
        </w:rPr>
        <w:t>4.6</w:t>
      </w:r>
      <w:r w:rsidR="00AC38B5"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column (2) shows that female leaders do not moderate the relationship between risk culture and bank risk. The result shows </w:t>
      </w:r>
      <w:r w:rsidR="00E80C14" w:rsidRPr="00880312">
        <w:rPr>
          <w:rFonts w:ascii="Times New Roman" w:eastAsia="DengXian" w:hAnsi="Times New Roman" w:cs="Times New Roman"/>
          <w:color w:val="000000" w:themeColor="text1"/>
          <w:sz w:val="24"/>
          <w:szCs w:val="24"/>
          <w:lang w:eastAsia="zh-CN"/>
        </w:rPr>
        <w:t>th</w:t>
      </w:r>
      <w:r w:rsidR="00E80C14">
        <w:rPr>
          <w:rFonts w:ascii="Times New Roman" w:eastAsia="DengXian" w:hAnsi="Times New Roman" w:cs="Times New Roman"/>
          <w:color w:val="000000" w:themeColor="text1"/>
          <w:sz w:val="24"/>
          <w:szCs w:val="24"/>
          <w:lang w:eastAsia="zh-CN"/>
        </w:rPr>
        <w:t>at</w:t>
      </w:r>
      <w:r w:rsidR="00E80C14"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women in top executive position</w:t>
      </w:r>
      <w:r w:rsidR="00E80C14">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have interest</w:t>
      </w:r>
      <w:r w:rsidR="00E80C14">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aligned with shareholder</w:t>
      </w:r>
      <w:r w:rsidR="00E80C14">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and </w:t>
      </w:r>
      <w:r w:rsidR="00E80C14">
        <w:rPr>
          <w:rFonts w:ascii="Times New Roman" w:eastAsia="DengXian" w:hAnsi="Times New Roman" w:cs="Times New Roman"/>
          <w:color w:val="000000" w:themeColor="text1"/>
          <w:sz w:val="24"/>
          <w:szCs w:val="24"/>
          <w:lang w:eastAsia="zh-CN"/>
        </w:rPr>
        <w:t>take more risks</w:t>
      </w:r>
      <w:r w:rsidRPr="00880312">
        <w:rPr>
          <w:rFonts w:ascii="Times New Roman" w:eastAsia="DengXian" w:hAnsi="Times New Roman" w:cs="Times New Roman"/>
          <w:color w:val="000000" w:themeColor="text1"/>
          <w:sz w:val="24"/>
          <w:szCs w:val="24"/>
          <w:lang w:eastAsia="zh-CN"/>
        </w:rPr>
        <w:t xml:space="preserve">. The </w:t>
      </w:r>
      <w:r w:rsidR="00E80C14" w:rsidRPr="00880312">
        <w:rPr>
          <w:rFonts w:ascii="Times New Roman" w:eastAsia="DengXian" w:hAnsi="Times New Roman" w:cs="Times New Roman"/>
          <w:color w:val="000000" w:themeColor="text1"/>
          <w:sz w:val="24"/>
          <w:szCs w:val="24"/>
          <w:lang w:eastAsia="zh-CN"/>
        </w:rPr>
        <w:t>findings</w:t>
      </w:r>
      <w:r w:rsidRPr="00880312">
        <w:rPr>
          <w:rFonts w:ascii="Times New Roman" w:eastAsia="DengXian" w:hAnsi="Times New Roman" w:cs="Times New Roman"/>
          <w:color w:val="000000" w:themeColor="text1"/>
          <w:sz w:val="24"/>
          <w:szCs w:val="24"/>
          <w:lang w:eastAsia="zh-CN"/>
        </w:rPr>
        <w:t xml:space="preserve"> also support the view that to remain competitive in industries dominated by males</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e.g. banking industry, female</w:t>
      </w:r>
      <w:r w:rsidR="00E30E2D">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at top executive position</w:t>
      </w:r>
      <w:r w:rsidR="00E30E2D">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have same risk preferences as their male counterparts. However, column (3) and column (4) from </w:t>
      </w:r>
      <w:r w:rsidRPr="009E69CE">
        <w:rPr>
          <w:rFonts w:ascii="Times New Roman" w:eastAsia="DengXian" w:hAnsi="Times New Roman" w:cs="Times New Roman"/>
          <w:i/>
          <w:iCs/>
          <w:color w:val="000000" w:themeColor="text1"/>
          <w:sz w:val="24"/>
          <w:szCs w:val="24"/>
          <w:lang w:eastAsia="zh-CN"/>
        </w:rPr>
        <w:t xml:space="preserve">Table </w:t>
      </w:r>
      <w:r w:rsidR="000A3F4A" w:rsidRPr="009E69CE">
        <w:rPr>
          <w:rFonts w:ascii="Times New Roman" w:eastAsia="DengXian" w:hAnsi="Times New Roman" w:cs="Times New Roman"/>
          <w:i/>
          <w:iCs/>
          <w:color w:val="000000" w:themeColor="text1"/>
          <w:sz w:val="24"/>
          <w:szCs w:val="24"/>
          <w:lang w:eastAsia="zh-CN"/>
        </w:rPr>
        <w:t>4.6</w:t>
      </w:r>
      <w:r w:rsidR="000A3F4A"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shows that female </w:t>
      </w:r>
      <w:r w:rsidR="000A3F4A" w:rsidRPr="00880312">
        <w:rPr>
          <w:rFonts w:ascii="Times New Roman" w:eastAsia="DengXian" w:hAnsi="Times New Roman" w:cs="Times New Roman"/>
          <w:color w:val="000000" w:themeColor="text1"/>
          <w:sz w:val="24"/>
          <w:szCs w:val="24"/>
          <w:lang w:eastAsia="zh-CN"/>
        </w:rPr>
        <w:t>leader</w:t>
      </w:r>
      <w:r w:rsidR="00E30E2D">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behaviour towards risk changes when supported by </w:t>
      </w:r>
      <w:r w:rsidR="00E30E2D">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 xml:space="preserve">female at the board level. </w:t>
      </w:r>
      <w:r w:rsidR="000A3F4A" w:rsidRPr="00880312">
        <w:rPr>
          <w:rFonts w:ascii="Times New Roman" w:eastAsia="DengXian" w:hAnsi="Times New Roman" w:cs="Times New Roman"/>
          <w:color w:val="000000" w:themeColor="text1"/>
          <w:sz w:val="24"/>
          <w:szCs w:val="24"/>
          <w:lang w:eastAsia="zh-CN"/>
        </w:rPr>
        <w:t>Thus,</w:t>
      </w:r>
      <w:r w:rsidRPr="00880312">
        <w:rPr>
          <w:rFonts w:ascii="Times New Roman" w:eastAsia="DengXian" w:hAnsi="Times New Roman" w:cs="Times New Roman"/>
          <w:color w:val="000000" w:themeColor="text1"/>
          <w:sz w:val="24"/>
          <w:szCs w:val="24"/>
          <w:lang w:eastAsia="zh-CN"/>
        </w:rPr>
        <w:t xml:space="preserve"> </w:t>
      </w:r>
      <w:r w:rsidR="00E30E2D">
        <w:rPr>
          <w:rFonts w:ascii="Times New Roman" w:eastAsia="DengXian" w:hAnsi="Times New Roman" w:cs="Times New Roman"/>
          <w:color w:val="000000" w:themeColor="text1"/>
          <w:sz w:val="24"/>
          <w:szCs w:val="24"/>
          <w:lang w:eastAsia="zh-CN"/>
        </w:rPr>
        <w:t xml:space="preserve">the </w:t>
      </w:r>
      <w:r w:rsidRPr="00880312">
        <w:rPr>
          <w:rFonts w:ascii="Times New Roman" w:eastAsia="DengXian" w:hAnsi="Times New Roman" w:cs="Times New Roman"/>
          <w:color w:val="000000" w:themeColor="text1"/>
          <w:sz w:val="24"/>
          <w:szCs w:val="24"/>
          <w:lang w:eastAsia="zh-CN"/>
        </w:rPr>
        <w:t>results of col</w:t>
      </w:r>
      <w:r w:rsidR="002335CC">
        <w:rPr>
          <w:rFonts w:ascii="Times New Roman" w:eastAsia="DengXian" w:hAnsi="Times New Roman" w:cs="Times New Roman"/>
          <w:color w:val="000000" w:themeColor="text1"/>
          <w:sz w:val="24"/>
          <w:szCs w:val="24"/>
          <w:lang w:eastAsia="zh-CN"/>
        </w:rPr>
        <w:t>u</w:t>
      </w:r>
      <w:r w:rsidRPr="00880312">
        <w:rPr>
          <w:rFonts w:ascii="Times New Roman" w:eastAsia="DengXian" w:hAnsi="Times New Roman" w:cs="Times New Roman"/>
          <w:color w:val="000000" w:themeColor="text1"/>
          <w:sz w:val="24"/>
          <w:szCs w:val="24"/>
          <w:lang w:eastAsia="zh-CN"/>
        </w:rPr>
        <w:t xml:space="preserve">mn (4) show that the proportion of female directors effectively moderates the risk culture and bank risk by providing support to women in a leadership role.  </w:t>
      </w:r>
    </w:p>
    <w:p w14:paraId="398692E3" w14:textId="61BF0517"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[Insert Table </w:t>
      </w:r>
      <w:r w:rsidR="000A3F4A">
        <w:rPr>
          <w:rFonts w:ascii="Times New Roman" w:eastAsia="DengXian" w:hAnsi="Times New Roman" w:cs="Times New Roman"/>
          <w:i/>
          <w:iCs/>
          <w:color w:val="000000" w:themeColor="text1"/>
          <w:sz w:val="24"/>
          <w:szCs w:val="24"/>
          <w:lang w:eastAsia="zh-CN"/>
        </w:rPr>
        <w:t>4.6</w:t>
      </w:r>
      <w:r w:rsidR="000A3F4A"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i/>
          <w:iCs/>
          <w:color w:val="000000" w:themeColor="text1"/>
          <w:sz w:val="24"/>
          <w:szCs w:val="24"/>
          <w:lang w:eastAsia="zh-CN"/>
        </w:rPr>
        <w:t>here]</w:t>
      </w:r>
    </w:p>
    <w:p w14:paraId="7F47DBB4" w14:textId="21A462F6" w:rsidR="000A2033" w:rsidRPr="00742375" w:rsidRDefault="00480042" w:rsidP="00742375">
      <w:pPr>
        <w:pStyle w:val="Heading3"/>
        <w:rPr>
          <w:rFonts w:ascii="Times New Roman" w:hAnsi="Times New Roman" w:cs="Times New Roman"/>
          <w:b/>
          <w:bCs/>
          <w:color w:val="auto"/>
          <w:sz w:val="28"/>
          <w:szCs w:val="28"/>
          <w:lang w:eastAsia="zh-CN"/>
        </w:rPr>
      </w:pPr>
      <w:bookmarkStart w:id="111" w:name="_Toc145616206"/>
      <w:r w:rsidRPr="00742375">
        <w:rPr>
          <w:rFonts w:ascii="Times New Roman" w:hAnsi="Times New Roman" w:cs="Times New Roman"/>
          <w:b/>
          <w:bCs/>
          <w:color w:val="auto"/>
          <w:sz w:val="28"/>
          <w:szCs w:val="28"/>
          <w:lang w:eastAsia="zh-CN"/>
        </w:rPr>
        <w:t>4</w:t>
      </w:r>
      <w:r w:rsidR="00880312" w:rsidRPr="00742375">
        <w:rPr>
          <w:rFonts w:ascii="Times New Roman" w:hAnsi="Times New Roman" w:cs="Times New Roman"/>
          <w:b/>
          <w:bCs/>
          <w:color w:val="auto"/>
          <w:sz w:val="28"/>
          <w:szCs w:val="28"/>
          <w:lang w:eastAsia="zh-CN"/>
        </w:rPr>
        <w:t>.</w:t>
      </w:r>
      <w:r w:rsidR="00742375" w:rsidRPr="00742375">
        <w:rPr>
          <w:rFonts w:ascii="Times New Roman" w:hAnsi="Times New Roman" w:cs="Times New Roman"/>
          <w:b/>
          <w:bCs/>
          <w:color w:val="auto"/>
          <w:sz w:val="28"/>
          <w:szCs w:val="28"/>
          <w:lang w:eastAsia="zh-CN"/>
        </w:rPr>
        <w:t>5.</w:t>
      </w:r>
      <w:r w:rsidR="00880312" w:rsidRPr="00742375">
        <w:rPr>
          <w:rFonts w:ascii="Times New Roman" w:hAnsi="Times New Roman" w:cs="Times New Roman"/>
          <w:b/>
          <w:bCs/>
          <w:color w:val="auto"/>
          <w:sz w:val="28"/>
          <w:szCs w:val="28"/>
          <w:lang w:eastAsia="zh-CN"/>
        </w:rPr>
        <w:t>3. Further analysis</w:t>
      </w:r>
      <w:r w:rsidRPr="00742375">
        <w:rPr>
          <w:rFonts w:ascii="Times New Roman" w:hAnsi="Times New Roman" w:cs="Times New Roman"/>
          <w:b/>
          <w:bCs/>
          <w:color w:val="auto"/>
          <w:sz w:val="28"/>
          <w:szCs w:val="28"/>
          <w:lang w:eastAsia="zh-CN"/>
        </w:rPr>
        <w:t>---</w:t>
      </w:r>
      <w:r w:rsidR="00742375">
        <w:rPr>
          <w:rFonts w:ascii="Times New Roman" w:hAnsi="Times New Roman" w:cs="Times New Roman"/>
          <w:b/>
          <w:bCs/>
          <w:color w:val="auto"/>
          <w:sz w:val="28"/>
          <w:szCs w:val="28"/>
          <w:lang w:eastAsia="zh-CN"/>
        </w:rPr>
        <w:t xml:space="preserve"> Post-</w:t>
      </w:r>
      <w:r w:rsidRPr="00742375">
        <w:rPr>
          <w:rFonts w:ascii="Times New Roman" w:hAnsi="Times New Roman" w:cs="Times New Roman"/>
          <w:b/>
          <w:bCs/>
          <w:color w:val="auto"/>
          <w:sz w:val="28"/>
          <w:szCs w:val="28"/>
          <w:lang w:eastAsia="zh-CN"/>
        </w:rPr>
        <w:t>2009</w:t>
      </w:r>
      <w:r w:rsidR="000A2033" w:rsidRPr="00742375">
        <w:rPr>
          <w:rFonts w:ascii="Times New Roman" w:hAnsi="Times New Roman" w:cs="Times New Roman"/>
          <w:b/>
          <w:bCs/>
          <w:color w:val="auto"/>
          <w:sz w:val="28"/>
          <w:szCs w:val="28"/>
          <w:lang w:eastAsia="zh-CN"/>
        </w:rPr>
        <w:t xml:space="preserve"> Crisis Effect</w:t>
      </w:r>
      <w:bookmarkEnd w:id="111"/>
    </w:p>
    <w:p w14:paraId="5F02127C" w14:textId="2023D937" w:rsidR="00880312" w:rsidRPr="00880312" w:rsidRDefault="00880312" w:rsidP="00880312">
      <w:pPr>
        <w:spacing w:after="0" w:line="480" w:lineRule="auto"/>
        <w:jc w:val="both"/>
        <w:rPr>
          <w:rFonts w:ascii="Times New Roman" w:eastAsia="DengXian" w:hAnsi="Times New Roman" w:cs="Times New Roman"/>
          <w:i/>
          <w:iCs/>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We further explore the impact of regulations on</w:t>
      </w:r>
      <w:r w:rsidR="00DB3455">
        <w:rPr>
          <w:rFonts w:ascii="Times New Roman" w:eastAsia="DengXian" w:hAnsi="Times New Roman" w:cs="Times New Roman"/>
          <w:color w:val="000000" w:themeColor="text1"/>
          <w:sz w:val="24"/>
          <w:szCs w:val="24"/>
          <w:lang w:eastAsia="zh-CN"/>
        </w:rPr>
        <w:t xml:space="preserve"> our baseline model (equation1)</w:t>
      </w:r>
      <w:r w:rsidRPr="00880312">
        <w:rPr>
          <w:rFonts w:ascii="Times New Roman" w:eastAsia="DengXian" w:hAnsi="Times New Roman" w:cs="Times New Roman"/>
          <w:color w:val="000000" w:themeColor="text1"/>
          <w:sz w:val="24"/>
          <w:szCs w:val="24"/>
          <w:lang w:eastAsia="zh-CN"/>
        </w:rPr>
        <w:t xml:space="preserve">. Ever since the </w:t>
      </w:r>
      <w:r w:rsidR="00C17373">
        <w:rPr>
          <w:rFonts w:ascii="Times New Roman" w:eastAsia="DengXian" w:hAnsi="Times New Roman" w:cs="Times New Roman"/>
          <w:color w:val="000000" w:themeColor="text1"/>
          <w:sz w:val="24"/>
          <w:szCs w:val="24"/>
          <w:lang w:eastAsia="zh-CN"/>
        </w:rPr>
        <w:t xml:space="preserve">GFC </w:t>
      </w:r>
      <w:r w:rsidRPr="00880312">
        <w:rPr>
          <w:rFonts w:ascii="Times New Roman" w:eastAsia="DengXian" w:hAnsi="Times New Roman" w:cs="Times New Roman"/>
          <w:color w:val="000000" w:themeColor="text1"/>
          <w:sz w:val="24"/>
          <w:szCs w:val="24"/>
          <w:lang w:eastAsia="zh-CN"/>
        </w:rPr>
        <w:t xml:space="preserve">2007-2009, regulators in the U.S. and Europe have shown increasing interest in examining the potential impact of risk culture on bank risk (Thakor, 2019). Regulators have made a considerable effort by highlighting culture as deserving more attention to prevent the reoccurrence of those events (Basel Committee on Banking and Supervision, 2015; FSB; 2014, Walker, 2009). We test whether the shift towards improved governance and risk culture impacts bank risk after the financial crisis of 2007-2009. We run a three-way regression by first interacting risk culture with </w:t>
      </w:r>
      <w:r w:rsidR="00E30E2D">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post</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2007 dummy, then % of female</w:t>
      </w:r>
      <w:r w:rsidR="00E30E2D">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on board with </w:t>
      </w:r>
      <w:r w:rsidR="00E30E2D">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post</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2007 dummy and finally</w:t>
      </w:r>
      <w:r w:rsidR="00E30E2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our baseline model (equation 1) with a post-2007 dummy and interact</w:t>
      </w:r>
      <w:r w:rsidR="00E30E2D">
        <w:rPr>
          <w:rFonts w:ascii="Times New Roman" w:eastAsia="DengXian" w:hAnsi="Times New Roman" w:cs="Times New Roman"/>
          <w:color w:val="000000" w:themeColor="text1"/>
          <w:sz w:val="24"/>
          <w:szCs w:val="24"/>
          <w:lang w:eastAsia="zh-CN"/>
        </w:rPr>
        <w:t>ing</w:t>
      </w:r>
      <w:r w:rsidRPr="00880312">
        <w:rPr>
          <w:rFonts w:ascii="Times New Roman" w:eastAsia="DengXian" w:hAnsi="Times New Roman" w:cs="Times New Roman"/>
          <w:color w:val="000000" w:themeColor="text1"/>
          <w:sz w:val="24"/>
          <w:szCs w:val="24"/>
          <w:lang w:eastAsia="zh-CN"/>
        </w:rPr>
        <w:t xml:space="preserve"> it with the female on board and risk culture. The coefficient on the interaction term captures the emphasis by the regulators on board structures and risk culture</w:t>
      </w:r>
      <w:r w:rsidR="0088565C">
        <w:rPr>
          <w:rFonts w:ascii="Times New Roman" w:eastAsia="DengXian" w:hAnsi="Times New Roman" w:cs="Times New Roman"/>
          <w:color w:val="000000" w:themeColor="text1"/>
          <w:sz w:val="24"/>
          <w:szCs w:val="24"/>
          <w:lang w:eastAsia="zh-CN"/>
        </w:rPr>
        <w:t xml:space="preserve"> after the financial crisis of 2007-2009</w:t>
      </w:r>
      <w:r w:rsidRPr="00880312">
        <w:rPr>
          <w:rFonts w:ascii="Times New Roman" w:eastAsia="DengXian" w:hAnsi="Times New Roman" w:cs="Times New Roman"/>
          <w:color w:val="000000" w:themeColor="text1"/>
          <w:sz w:val="24"/>
          <w:szCs w:val="24"/>
          <w:lang w:eastAsia="zh-CN"/>
        </w:rPr>
        <w:t xml:space="preserve">. We include bank and year fixed effects to identify the within-bank and within-year changes in firm risk between treatment and benchmark firms. The result </w:t>
      </w:r>
      <w:r w:rsidR="00DB3455" w:rsidRPr="00880312">
        <w:rPr>
          <w:rFonts w:ascii="Times New Roman" w:eastAsia="DengXian" w:hAnsi="Times New Roman" w:cs="Times New Roman"/>
          <w:color w:val="000000" w:themeColor="text1"/>
          <w:sz w:val="24"/>
          <w:szCs w:val="24"/>
          <w:lang w:eastAsia="zh-CN"/>
        </w:rPr>
        <w:t>is</w:t>
      </w:r>
      <w:r w:rsidRPr="00880312">
        <w:rPr>
          <w:rFonts w:ascii="Times New Roman" w:eastAsia="DengXian" w:hAnsi="Times New Roman" w:cs="Times New Roman"/>
          <w:color w:val="000000" w:themeColor="text1"/>
          <w:sz w:val="24"/>
          <w:szCs w:val="24"/>
          <w:lang w:eastAsia="zh-CN"/>
        </w:rPr>
        <w:t xml:space="preserve"> reported in </w:t>
      </w:r>
      <w:r w:rsidRPr="009E69CE">
        <w:rPr>
          <w:rFonts w:ascii="Times New Roman" w:eastAsia="DengXian" w:hAnsi="Times New Roman" w:cs="Times New Roman"/>
          <w:i/>
          <w:iCs/>
          <w:color w:val="000000" w:themeColor="text1"/>
          <w:sz w:val="24"/>
          <w:szCs w:val="24"/>
          <w:lang w:eastAsia="zh-CN"/>
        </w:rPr>
        <w:t xml:space="preserve">Table </w:t>
      </w:r>
      <w:r w:rsidR="000A3F4A" w:rsidRPr="009E69CE">
        <w:rPr>
          <w:rFonts w:ascii="Times New Roman" w:eastAsia="DengXian" w:hAnsi="Times New Roman" w:cs="Times New Roman"/>
          <w:i/>
          <w:iCs/>
          <w:color w:val="000000" w:themeColor="text1"/>
          <w:sz w:val="24"/>
          <w:szCs w:val="24"/>
          <w:lang w:eastAsia="zh-CN"/>
        </w:rPr>
        <w:t>4.7</w:t>
      </w:r>
      <w:r w:rsidRPr="00880312">
        <w:rPr>
          <w:rFonts w:ascii="Times New Roman" w:eastAsia="DengXian" w:hAnsi="Times New Roman" w:cs="Times New Roman"/>
          <w:color w:val="000000" w:themeColor="text1"/>
          <w:sz w:val="24"/>
          <w:szCs w:val="24"/>
          <w:lang w:eastAsia="zh-CN"/>
        </w:rPr>
        <w:t xml:space="preserve">. The </w:t>
      </w:r>
      <w:r w:rsidR="00DB3455" w:rsidRPr="00880312">
        <w:rPr>
          <w:rFonts w:ascii="Times New Roman" w:eastAsia="DengXian" w:hAnsi="Times New Roman" w:cs="Times New Roman"/>
          <w:color w:val="000000" w:themeColor="text1"/>
          <w:sz w:val="24"/>
          <w:szCs w:val="24"/>
          <w:lang w:eastAsia="zh-CN"/>
        </w:rPr>
        <w:t>results</w:t>
      </w:r>
      <w:r w:rsidR="00DB3455">
        <w:rPr>
          <w:rFonts w:ascii="Times New Roman" w:eastAsia="DengXian" w:hAnsi="Times New Roman" w:cs="Times New Roman"/>
          <w:color w:val="000000" w:themeColor="text1"/>
          <w:sz w:val="24"/>
          <w:szCs w:val="24"/>
          <w:lang w:eastAsia="zh-CN"/>
        </w:rPr>
        <w:t xml:space="preserve"> of </w:t>
      </w:r>
      <w:r w:rsidR="00DB3455">
        <w:rPr>
          <w:rFonts w:ascii="Times New Roman" w:eastAsia="DengXian" w:hAnsi="Times New Roman" w:cs="Times New Roman"/>
          <w:i/>
          <w:iCs/>
          <w:color w:val="000000" w:themeColor="text1"/>
          <w:sz w:val="24"/>
          <w:szCs w:val="24"/>
          <w:lang w:eastAsia="zh-CN"/>
        </w:rPr>
        <w:t>c</w:t>
      </w:r>
      <w:r w:rsidR="00DB3455" w:rsidRPr="009E69CE">
        <w:rPr>
          <w:rFonts w:ascii="Times New Roman" w:eastAsia="DengXian" w:hAnsi="Times New Roman" w:cs="Times New Roman"/>
          <w:i/>
          <w:iCs/>
          <w:color w:val="000000" w:themeColor="text1"/>
          <w:sz w:val="24"/>
          <w:szCs w:val="24"/>
          <w:lang w:eastAsia="zh-CN"/>
        </w:rPr>
        <w:t>olumn</w:t>
      </w:r>
      <w:r w:rsidR="00E30E2D">
        <w:rPr>
          <w:rFonts w:ascii="Times New Roman" w:eastAsia="DengXian" w:hAnsi="Times New Roman" w:cs="Times New Roman"/>
          <w:i/>
          <w:iCs/>
          <w:color w:val="000000" w:themeColor="text1"/>
          <w:sz w:val="24"/>
          <w:szCs w:val="24"/>
          <w:lang w:eastAsia="zh-CN"/>
        </w:rPr>
        <w:t xml:space="preserve"> </w:t>
      </w:r>
      <w:r w:rsidR="00DB3455" w:rsidRPr="009E69CE">
        <w:rPr>
          <w:rFonts w:ascii="Times New Roman" w:eastAsia="DengXian" w:hAnsi="Times New Roman" w:cs="Times New Roman"/>
          <w:i/>
          <w:iCs/>
          <w:color w:val="000000" w:themeColor="text1"/>
          <w:sz w:val="24"/>
          <w:szCs w:val="24"/>
          <w:lang w:eastAsia="zh-CN"/>
        </w:rPr>
        <w:t>1</w:t>
      </w:r>
      <w:r w:rsidRPr="00880312">
        <w:rPr>
          <w:rFonts w:ascii="Times New Roman" w:eastAsia="DengXian" w:hAnsi="Times New Roman" w:cs="Times New Roman"/>
          <w:color w:val="000000" w:themeColor="text1"/>
          <w:sz w:val="24"/>
          <w:szCs w:val="24"/>
          <w:lang w:eastAsia="zh-CN"/>
        </w:rPr>
        <w:t xml:space="preserve"> show that risk culture has a positive significant relationship with bank risk after</w:t>
      </w:r>
      <w:r w:rsidR="000A2033">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the financial crisis. The result</w:t>
      </w:r>
      <w:r w:rsidR="00DB3455">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align with Ellul and Yeramilli (2013), suggesting that banks are rigid in changing their culture. </w:t>
      </w:r>
      <w:r w:rsidRPr="009E69CE">
        <w:rPr>
          <w:rFonts w:ascii="Times New Roman" w:eastAsia="DengXian" w:hAnsi="Times New Roman" w:cs="Times New Roman"/>
          <w:i/>
          <w:iCs/>
          <w:color w:val="000000" w:themeColor="text1"/>
          <w:sz w:val="24"/>
          <w:szCs w:val="24"/>
          <w:lang w:eastAsia="zh-CN"/>
        </w:rPr>
        <w:t xml:space="preserve">Table </w:t>
      </w:r>
      <w:r w:rsidR="000A3F4A" w:rsidRPr="009E69CE">
        <w:rPr>
          <w:rFonts w:ascii="Times New Roman" w:eastAsia="DengXian" w:hAnsi="Times New Roman" w:cs="Times New Roman"/>
          <w:i/>
          <w:iCs/>
          <w:color w:val="000000" w:themeColor="text1"/>
          <w:sz w:val="24"/>
          <w:szCs w:val="24"/>
          <w:lang w:eastAsia="zh-CN"/>
        </w:rPr>
        <w:t>4.7</w:t>
      </w:r>
      <w:r w:rsidR="000A3F4A" w:rsidRPr="00880312">
        <w:rPr>
          <w:rFonts w:ascii="Times New Roman" w:eastAsia="DengXian" w:hAnsi="Times New Roman" w:cs="Times New Roman"/>
          <w:color w:val="000000" w:themeColor="text1"/>
          <w:sz w:val="24"/>
          <w:szCs w:val="24"/>
          <w:lang w:eastAsia="zh-CN"/>
        </w:rPr>
        <w:t xml:space="preserve"> </w:t>
      </w:r>
      <w:r w:rsidR="00DB3455" w:rsidRPr="009E69CE">
        <w:rPr>
          <w:rFonts w:ascii="Times New Roman" w:eastAsia="DengXian" w:hAnsi="Times New Roman" w:cs="Times New Roman"/>
          <w:i/>
          <w:iCs/>
          <w:color w:val="000000" w:themeColor="text1"/>
          <w:sz w:val="24"/>
          <w:szCs w:val="24"/>
          <w:lang w:eastAsia="zh-CN"/>
        </w:rPr>
        <w:t>column</w:t>
      </w:r>
      <w:r w:rsidRPr="009E69CE">
        <w:rPr>
          <w:rFonts w:ascii="Times New Roman" w:eastAsia="DengXian" w:hAnsi="Times New Roman" w:cs="Times New Roman"/>
          <w:i/>
          <w:iCs/>
          <w:color w:val="000000" w:themeColor="text1"/>
          <w:sz w:val="24"/>
          <w:szCs w:val="24"/>
          <w:lang w:eastAsia="zh-CN"/>
        </w:rPr>
        <w:t xml:space="preserve"> (2)</w:t>
      </w:r>
      <w:r w:rsidRPr="00880312">
        <w:rPr>
          <w:rFonts w:ascii="Times New Roman" w:eastAsia="DengXian" w:hAnsi="Times New Roman" w:cs="Times New Roman"/>
          <w:color w:val="000000" w:themeColor="text1"/>
          <w:sz w:val="24"/>
          <w:szCs w:val="24"/>
          <w:lang w:eastAsia="zh-CN"/>
        </w:rPr>
        <w:t xml:space="preserve"> shows th</w:t>
      </w:r>
      <w:r w:rsidR="00E80C14">
        <w:rPr>
          <w:rFonts w:ascii="Times New Roman" w:eastAsia="DengXian" w:hAnsi="Times New Roman" w:cs="Times New Roman"/>
          <w:color w:val="000000" w:themeColor="text1"/>
          <w:sz w:val="24"/>
          <w:szCs w:val="24"/>
          <w:lang w:eastAsia="zh-CN"/>
        </w:rPr>
        <w:t>e negative relationship between the percentage of females on board and bank risk</w:t>
      </w:r>
      <w:r w:rsidRPr="00880312">
        <w:rPr>
          <w:rFonts w:ascii="Times New Roman" w:eastAsia="DengXian" w:hAnsi="Times New Roman" w:cs="Times New Roman"/>
          <w:color w:val="000000" w:themeColor="text1"/>
          <w:sz w:val="24"/>
          <w:szCs w:val="24"/>
          <w:lang w:eastAsia="zh-CN"/>
        </w:rPr>
        <w:t xml:space="preserve"> after the financial crisis. </w:t>
      </w:r>
      <w:r w:rsidR="000A3F4A" w:rsidRPr="00880312">
        <w:rPr>
          <w:rFonts w:ascii="Times New Roman" w:eastAsia="DengXian" w:hAnsi="Times New Roman" w:cs="Times New Roman"/>
          <w:color w:val="000000" w:themeColor="text1"/>
          <w:sz w:val="24"/>
          <w:szCs w:val="24"/>
          <w:lang w:eastAsia="zh-CN"/>
        </w:rPr>
        <w:t>Finally,</w:t>
      </w:r>
      <w:r w:rsidRPr="00880312">
        <w:rPr>
          <w:rFonts w:ascii="Times New Roman" w:eastAsia="DengXian" w:hAnsi="Times New Roman" w:cs="Times New Roman"/>
          <w:color w:val="000000" w:themeColor="text1"/>
          <w:sz w:val="24"/>
          <w:szCs w:val="24"/>
          <w:lang w:eastAsia="zh-CN"/>
        </w:rPr>
        <w:t xml:space="preserve"> </w:t>
      </w:r>
      <w:r w:rsidR="00E80C14">
        <w:rPr>
          <w:rFonts w:ascii="Times New Roman" w:eastAsia="DengXian" w:hAnsi="Times New Roman" w:cs="Times New Roman"/>
          <w:color w:val="000000" w:themeColor="text1"/>
          <w:sz w:val="24"/>
          <w:szCs w:val="24"/>
          <w:lang w:eastAsia="zh-CN"/>
        </w:rPr>
        <w:t>Table 4.7 column (3) shows</w:t>
      </w:r>
      <w:r w:rsidRPr="00880312">
        <w:rPr>
          <w:rFonts w:ascii="Times New Roman" w:eastAsia="DengXian" w:hAnsi="Times New Roman" w:cs="Times New Roman"/>
          <w:color w:val="000000" w:themeColor="text1"/>
          <w:sz w:val="24"/>
          <w:szCs w:val="24"/>
          <w:lang w:eastAsia="zh-CN"/>
        </w:rPr>
        <w:t xml:space="preserve"> that the coefficients on the interaction term, i.e. risk culture, female on board and post-2007, are significantly negative. The result indicates that primarily increased emphasis by </w:t>
      </w:r>
      <w:r w:rsidR="00E80C14">
        <w:rPr>
          <w:rFonts w:ascii="Times New Roman" w:eastAsia="DengXian" w:hAnsi="Times New Roman" w:cs="Times New Roman"/>
          <w:color w:val="000000" w:themeColor="text1"/>
          <w:sz w:val="24"/>
          <w:szCs w:val="24"/>
          <w:lang w:eastAsia="zh-CN"/>
        </w:rPr>
        <w:t xml:space="preserve">the </w:t>
      </w:r>
      <w:r w:rsidRPr="00880312">
        <w:rPr>
          <w:rFonts w:ascii="Times New Roman" w:eastAsia="DengXian" w:hAnsi="Times New Roman" w:cs="Times New Roman"/>
          <w:color w:val="000000" w:themeColor="text1"/>
          <w:sz w:val="24"/>
          <w:szCs w:val="24"/>
          <w:lang w:eastAsia="zh-CN"/>
        </w:rPr>
        <w:t>regulator</w:t>
      </w:r>
      <w:r w:rsidR="00E80C14">
        <w:rPr>
          <w:rFonts w:ascii="Times New Roman" w:eastAsia="DengXian" w:hAnsi="Times New Roman" w:cs="Times New Roman"/>
          <w:color w:val="000000" w:themeColor="text1"/>
          <w:sz w:val="24"/>
          <w:szCs w:val="24"/>
          <w:lang w:eastAsia="zh-CN"/>
        </w:rPr>
        <w:t xml:space="preserve"> on</w:t>
      </w:r>
      <w:r w:rsidRPr="00880312">
        <w:rPr>
          <w:rFonts w:ascii="Times New Roman" w:eastAsia="DengXian" w:hAnsi="Times New Roman" w:cs="Times New Roman"/>
          <w:color w:val="000000" w:themeColor="text1"/>
          <w:sz w:val="24"/>
          <w:szCs w:val="24"/>
          <w:lang w:eastAsia="zh-CN"/>
        </w:rPr>
        <w:t xml:space="preserve"> governance structures (board gender diversity) results in lower bank risk. The result also </w:t>
      </w:r>
      <w:r w:rsidR="00DB3455" w:rsidRPr="00880312">
        <w:rPr>
          <w:rFonts w:ascii="Times New Roman" w:eastAsia="DengXian" w:hAnsi="Times New Roman" w:cs="Times New Roman"/>
          <w:color w:val="000000" w:themeColor="text1"/>
          <w:sz w:val="24"/>
          <w:szCs w:val="24"/>
          <w:lang w:eastAsia="zh-CN"/>
        </w:rPr>
        <w:t>reveals</w:t>
      </w:r>
      <w:r w:rsidRPr="00880312">
        <w:rPr>
          <w:rFonts w:ascii="Times New Roman" w:eastAsia="DengXian" w:hAnsi="Times New Roman" w:cs="Times New Roman"/>
          <w:color w:val="000000" w:themeColor="text1"/>
          <w:sz w:val="24"/>
          <w:szCs w:val="24"/>
          <w:lang w:eastAsia="zh-CN"/>
        </w:rPr>
        <w:t xml:space="preserve"> that despite the regulatory </w:t>
      </w:r>
      <w:r w:rsidR="00E80C14">
        <w:rPr>
          <w:rFonts w:ascii="Times New Roman" w:eastAsia="DengXian" w:hAnsi="Times New Roman" w:cs="Times New Roman"/>
          <w:color w:val="000000" w:themeColor="text1"/>
          <w:sz w:val="24"/>
          <w:szCs w:val="24"/>
          <w:lang w:eastAsia="zh-CN"/>
        </w:rPr>
        <w:t>focu</w:t>
      </w:r>
      <w:r w:rsidR="00E80C14" w:rsidRPr="00880312">
        <w:rPr>
          <w:rFonts w:ascii="Times New Roman" w:eastAsia="DengXian" w:hAnsi="Times New Roman" w:cs="Times New Roman"/>
          <w:color w:val="000000" w:themeColor="text1"/>
          <w:sz w:val="24"/>
          <w:szCs w:val="24"/>
          <w:lang w:eastAsia="zh-CN"/>
        </w:rPr>
        <w:t xml:space="preserve">s </w:t>
      </w:r>
      <w:r w:rsidRPr="00880312">
        <w:rPr>
          <w:rFonts w:ascii="Times New Roman" w:eastAsia="DengXian" w:hAnsi="Times New Roman" w:cs="Times New Roman"/>
          <w:color w:val="000000" w:themeColor="text1"/>
          <w:sz w:val="24"/>
          <w:szCs w:val="24"/>
          <w:lang w:eastAsia="zh-CN"/>
        </w:rPr>
        <w:t xml:space="preserve">on improving the bank risk culture, bank culture is still inclined towards more </w:t>
      </w:r>
      <w:r w:rsidR="00E80C14" w:rsidRPr="00880312">
        <w:rPr>
          <w:rFonts w:ascii="Times New Roman" w:eastAsia="DengXian" w:hAnsi="Times New Roman" w:cs="Times New Roman"/>
          <w:color w:val="000000" w:themeColor="text1"/>
          <w:sz w:val="24"/>
          <w:szCs w:val="24"/>
          <w:lang w:eastAsia="zh-CN"/>
        </w:rPr>
        <w:t>risk</w:t>
      </w:r>
      <w:r w:rsidR="00E80C14">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taking. Overall, the </w:t>
      </w:r>
      <w:r w:rsidR="00E80C14">
        <w:rPr>
          <w:rFonts w:ascii="Times New Roman" w:eastAsia="DengXian" w:hAnsi="Times New Roman" w:cs="Times New Roman"/>
          <w:color w:val="000000" w:themeColor="text1"/>
          <w:sz w:val="24"/>
          <w:szCs w:val="24"/>
          <w:lang w:eastAsia="zh-CN"/>
        </w:rPr>
        <w:t xml:space="preserve">finding aligns </w:t>
      </w:r>
      <w:r w:rsidRPr="00880312">
        <w:rPr>
          <w:rFonts w:ascii="Times New Roman" w:eastAsia="DengXian" w:hAnsi="Times New Roman" w:cs="Times New Roman"/>
          <w:color w:val="000000" w:themeColor="text1"/>
          <w:sz w:val="24"/>
          <w:szCs w:val="24"/>
          <w:lang w:eastAsia="zh-CN"/>
        </w:rPr>
        <w:t xml:space="preserve">with our </w:t>
      </w:r>
      <w:r w:rsidR="00DB3455">
        <w:rPr>
          <w:rFonts w:ascii="Times New Roman" w:eastAsia="DengXian" w:hAnsi="Times New Roman" w:cs="Times New Roman"/>
          <w:color w:val="000000" w:themeColor="text1"/>
          <w:sz w:val="24"/>
          <w:szCs w:val="24"/>
          <w:lang w:eastAsia="zh-CN"/>
        </w:rPr>
        <w:t xml:space="preserve">baseline </w:t>
      </w:r>
      <w:r w:rsidRPr="00880312">
        <w:rPr>
          <w:rFonts w:ascii="Times New Roman" w:eastAsia="DengXian" w:hAnsi="Times New Roman" w:cs="Times New Roman"/>
          <w:color w:val="000000" w:themeColor="text1"/>
          <w:sz w:val="24"/>
          <w:szCs w:val="24"/>
          <w:lang w:eastAsia="zh-CN"/>
        </w:rPr>
        <w:t>results</w:t>
      </w:r>
      <w:r w:rsidR="0088565C">
        <w:rPr>
          <w:rFonts w:ascii="Times New Roman" w:eastAsia="DengXian" w:hAnsi="Times New Roman" w:cs="Times New Roman"/>
          <w:color w:val="000000" w:themeColor="text1"/>
          <w:sz w:val="24"/>
          <w:szCs w:val="24"/>
          <w:lang w:eastAsia="zh-CN"/>
        </w:rPr>
        <w:t xml:space="preserve"> (Table 4.4)</w:t>
      </w:r>
      <w:r w:rsidRPr="00880312">
        <w:rPr>
          <w:rFonts w:ascii="Times New Roman" w:eastAsia="DengXian" w:hAnsi="Times New Roman" w:cs="Times New Roman"/>
          <w:i/>
          <w:iCs/>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suggesting that board gender diversity moderates the relationship between risk culture and bank risk-taking</w:t>
      </w:r>
      <w:r w:rsidRPr="00880312">
        <w:rPr>
          <w:rFonts w:ascii="Times New Roman" w:eastAsia="DengXian" w:hAnsi="Times New Roman" w:cs="Times New Roman"/>
          <w:i/>
          <w:iCs/>
          <w:color w:val="000000" w:themeColor="text1"/>
          <w:sz w:val="24"/>
          <w:szCs w:val="24"/>
          <w:lang w:eastAsia="zh-CN"/>
        </w:rPr>
        <w:t>.</w:t>
      </w:r>
    </w:p>
    <w:p w14:paraId="6D8C1069" w14:textId="2C1D024B"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lang w:eastAsia="zh-CN"/>
        </w:rPr>
      </w:pPr>
      <w:r w:rsidRPr="00880312">
        <w:rPr>
          <w:rFonts w:ascii="Calibri" w:eastAsia="DengXian" w:hAnsi="Calibri" w:cs="Arial"/>
          <w:i/>
          <w:iCs/>
          <w:color w:val="000000" w:themeColor="text1"/>
          <w:sz w:val="24"/>
          <w:szCs w:val="24"/>
          <w:lang w:eastAsia="zh-CN"/>
        </w:rPr>
        <w:t>[</w:t>
      </w:r>
      <w:r w:rsidRPr="00880312">
        <w:rPr>
          <w:rFonts w:ascii="Times New Roman" w:eastAsia="DengXian" w:hAnsi="Times New Roman" w:cs="Times New Roman"/>
          <w:i/>
          <w:iCs/>
          <w:color w:val="000000" w:themeColor="text1"/>
          <w:sz w:val="24"/>
          <w:szCs w:val="24"/>
          <w:lang w:eastAsia="zh-CN"/>
        </w:rPr>
        <w:t xml:space="preserve">Insert Table </w:t>
      </w:r>
      <w:r w:rsidR="000A3F4A">
        <w:rPr>
          <w:rFonts w:ascii="Times New Roman" w:eastAsia="DengXian" w:hAnsi="Times New Roman" w:cs="Times New Roman"/>
          <w:i/>
          <w:iCs/>
          <w:color w:val="000000" w:themeColor="text1"/>
          <w:sz w:val="24"/>
          <w:szCs w:val="24"/>
          <w:lang w:eastAsia="zh-CN"/>
        </w:rPr>
        <w:t>4.7</w:t>
      </w:r>
      <w:r w:rsidRPr="00880312">
        <w:rPr>
          <w:rFonts w:ascii="Times New Roman" w:eastAsia="DengXian" w:hAnsi="Times New Roman" w:cs="Times New Roman"/>
          <w:i/>
          <w:iCs/>
          <w:color w:val="000000" w:themeColor="text1"/>
          <w:sz w:val="24"/>
          <w:szCs w:val="24"/>
          <w:lang w:eastAsia="zh-CN"/>
        </w:rPr>
        <w:t>]</w:t>
      </w:r>
    </w:p>
    <w:p w14:paraId="421976EA" w14:textId="73191B9D" w:rsidR="00880312" w:rsidRDefault="00480042" w:rsidP="00742375">
      <w:pPr>
        <w:pStyle w:val="Heading3"/>
        <w:rPr>
          <w:rFonts w:ascii="Times New Roman" w:hAnsi="Times New Roman" w:cs="Times New Roman"/>
          <w:b/>
          <w:bCs/>
          <w:color w:val="auto"/>
          <w:sz w:val="28"/>
          <w:szCs w:val="28"/>
          <w:lang w:eastAsia="zh-CN"/>
        </w:rPr>
      </w:pPr>
      <w:bookmarkStart w:id="112" w:name="_Toc145616207"/>
      <w:r w:rsidRPr="00742375">
        <w:rPr>
          <w:rFonts w:ascii="Times New Roman" w:hAnsi="Times New Roman" w:cs="Times New Roman"/>
          <w:b/>
          <w:bCs/>
          <w:color w:val="auto"/>
          <w:sz w:val="28"/>
          <w:szCs w:val="28"/>
          <w:lang w:eastAsia="zh-CN"/>
        </w:rPr>
        <w:t>4.</w:t>
      </w:r>
      <w:r w:rsidR="00742375" w:rsidRPr="00742375">
        <w:rPr>
          <w:rFonts w:ascii="Times New Roman" w:hAnsi="Times New Roman" w:cs="Times New Roman"/>
          <w:b/>
          <w:bCs/>
          <w:color w:val="auto"/>
          <w:sz w:val="28"/>
          <w:szCs w:val="28"/>
          <w:lang w:eastAsia="zh-CN"/>
        </w:rPr>
        <w:t>5.</w:t>
      </w:r>
      <w:r w:rsidRPr="00742375">
        <w:rPr>
          <w:rFonts w:ascii="Times New Roman" w:hAnsi="Times New Roman" w:cs="Times New Roman"/>
          <w:b/>
          <w:bCs/>
          <w:color w:val="auto"/>
          <w:sz w:val="28"/>
          <w:szCs w:val="28"/>
          <w:lang w:eastAsia="zh-CN"/>
        </w:rPr>
        <w:t>4</w:t>
      </w:r>
      <w:r w:rsidR="00880312" w:rsidRPr="00742375">
        <w:rPr>
          <w:rFonts w:ascii="Times New Roman" w:hAnsi="Times New Roman" w:cs="Times New Roman"/>
          <w:b/>
          <w:bCs/>
          <w:color w:val="auto"/>
          <w:sz w:val="28"/>
          <w:szCs w:val="28"/>
          <w:lang w:eastAsia="zh-CN"/>
        </w:rPr>
        <w:t xml:space="preserve">. </w:t>
      </w:r>
      <w:r w:rsidR="000A2033" w:rsidRPr="00742375">
        <w:rPr>
          <w:rFonts w:ascii="Times New Roman" w:hAnsi="Times New Roman" w:cs="Times New Roman"/>
          <w:b/>
          <w:bCs/>
          <w:color w:val="auto"/>
          <w:sz w:val="28"/>
          <w:szCs w:val="28"/>
          <w:lang w:eastAsia="zh-CN"/>
        </w:rPr>
        <w:t xml:space="preserve"> Propensity Score Matching</w:t>
      </w:r>
      <w:bookmarkEnd w:id="112"/>
    </w:p>
    <w:p w14:paraId="1435939A" w14:textId="77777777" w:rsidR="00742375" w:rsidRPr="00742375" w:rsidRDefault="00742375" w:rsidP="00742375">
      <w:pPr>
        <w:rPr>
          <w:lang w:eastAsia="zh-CN"/>
        </w:rPr>
      </w:pPr>
    </w:p>
    <w:p w14:paraId="65F3BEE1" w14:textId="7EE0B348" w:rsidR="00880312" w:rsidRPr="00880312" w:rsidRDefault="00880312" w:rsidP="00880312">
      <w:pPr>
        <w:spacing w:after="0" w:line="480" w:lineRule="auto"/>
        <w:jc w:val="both"/>
        <w:rPr>
          <w:rFonts w:ascii="Times New Roman" w:eastAsia="DengXian" w:hAnsi="Times New Roman" w:cs="Times New Roman"/>
          <w:b/>
          <w:bCs/>
          <w:color w:val="000000" w:themeColor="text1"/>
          <w:sz w:val="24"/>
          <w:szCs w:val="24"/>
          <w:lang w:eastAsia="zh-CN"/>
        </w:rPr>
      </w:pPr>
      <w:r w:rsidRPr="00742375">
        <w:rPr>
          <w:rFonts w:ascii="Times New Roman" w:eastAsia="DengXian" w:hAnsi="Times New Roman" w:cs="Times New Roman"/>
          <w:color w:val="000000" w:themeColor="text1"/>
          <w:sz w:val="24"/>
          <w:szCs w:val="24"/>
          <w:lang w:eastAsia="zh-CN"/>
        </w:rPr>
        <w:t xml:space="preserve">We </w:t>
      </w:r>
      <w:r w:rsidR="009E69CE" w:rsidRPr="00742375">
        <w:rPr>
          <w:rFonts w:ascii="Times New Roman" w:eastAsia="DengXian" w:hAnsi="Times New Roman" w:cs="Times New Roman"/>
          <w:color w:val="000000" w:themeColor="text1"/>
          <w:sz w:val="24"/>
          <w:szCs w:val="24"/>
          <w:lang w:eastAsia="zh-CN"/>
        </w:rPr>
        <w:t xml:space="preserve">employ </w:t>
      </w:r>
      <w:r w:rsidR="009E69CE" w:rsidRPr="00742375">
        <w:rPr>
          <w:rFonts w:ascii="Times New Roman" w:eastAsia="DengXian" w:hAnsi="Times New Roman" w:cs="Times New Roman"/>
          <w:color w:val="000000" w:themeColor="text1"/>
          <w:lang w:eastAsia="zh-CN"/>
        </w:rPr>
        <w:t>propensity</w:t>
      </w:r>
      <w:r w:rsidRPr="00742375">
        <w:rPr>
          <w:rFonts w:ascii="Times New Roman" w:eastAsia="DengXian" w:hAnsi="Times New Roman" w:cs="Times New Roman"/>
          <w:color w:val="000000" w:themeColor="text1"/>
          <w:sz w:val="24"/>
          <w:szCs w:val="24"/>
          <w:lang w:eastAsia="zh-CN"/>
        </w:rPr>
        <w:t xml:space="preserve"> score matching (PSM)</w:t>
      </w:r>
      <w:r w:rsidR="000A2033" w:rsidRPr="00742375">
        <w:rPr>
          <w:rFonts w:ascii="Times New Roman" w:eastAsia="DengXian" w:hAnsi="Times New Roman" w:cs="Times New Roman"/>
          <w:color w:val="000000" w:themeColor="text1"/>
          <w:sz w:val="24"/>
          <w:szCs w:val="24"/>
          <w:lang w:eastAsia="zh-CN"/>
        </w:rPr>
        <w:t xml:space="preserve"> approach to check whether </w:t>
      </w:r>
      <w:r w:rsidR="00DB3455" w:rsidRPr="00742375">
        <w:rPr>
          <w:rFonts w:ascii="Times New Roman" w:eastAsia="DengXian" w:hAnsi="Times New Roman" w:cs="Times New Roman"/>
          <w:color w:val="000000" w:themeColor="text1"/>
          <w:sz w:val="24"/>
          <w:szCs w:val="24"/>
          <w:lang w:eastAsia="zh-CN"/>
        </w:rPr>
        <w:t xml:space="preserve">our base line result (equation1) </w:t>
      </w:r>
      <w:r w:rsidR="000A2033" w:rsidRPr="00742375">
        <w:rPr>
          <w:rFonts w:ascii="Times New Roman" w:eastAsia="DengXian" w:hAnsi="Times New Roman" w:cs="Times New Roman"/>
          <w:color w:val="000000" w:themeColor="text1"/>
          <w:sz w:val="24"/>
          <w:szCs w:val="24"/>
          <w:lang w:eastAsia="zh-CN"/>
        </w:rPr>
        <w:t>suffer from sample selection bias or not</w:t>
      </w:r>
      <w:r w:rsidR="000A2033" w:rsidRPr="00742375">
        <w:rPr>
          <w:rStyle w:val="FootnoteReference"/>
          <w:rFonts w:ascii="Times New Roman" w:eastAsia="DengXian" w:hAnsi="Times New Roman" w:cs="Times New Roman"/>
          <w:color w:val="000000" w:themeColor="text1"/>
          <w:sz w:val="24"/>
          <w:szCs w:val="24"/>
          <w:lang w:eastAsia="zh-CN"/>
        </w:rPr>
        <w:footnoteReference w:id="11"/>
      </w:r>
      <w:r w:rsidR="000A2033" w:rsidRPr="00742375">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Although the results of our baseline regression (Table </w:t>
      </w:r>
      <w:r w:rsidR="000A3F4A">
        <w:rPr>
          <w:rFonts w:ascii="Times New Roman" w:eastAsia="DengXian" w:hAnsi="Times New Roman" w:cs="Times New Roman"/>
          <w:color w:val="000000" w:themeColor="text1"/>
          <w:sz w:val="24"/>
          <w:szCs w:val="24"/>
          <w:lang w:eastAsia="zh-CN"/>
        </w:rPr>
        <w:t>4.4</w:t>
      </w:r>
      <w:r w:rsidRPr="00880312">
        <w:rPr>
          <w:rFonts w:ascii="Times New Roman" w:eastAsia="DengXian" w:hAnsi="Times New Roman" w:cs="Times New Roman"/>
          <w:color w:val="000000" w:themeColor="text1"/>
          <w:sz w:val="24"/>
          <w:szCs w:val="24"/>
          <w:lang w:eastAsia="zh-CN"/>
        </w:rPr>
        <w:t xml:space="preserve">) are based on governance and bank-specific characteristics, there is always a chance for a sample selection bias, questioning inferences from our findings. To improve possible selection bias, we employ Rosenbaum &amp; Rubin (1983) propensity score matching (PSM) to control for observable characteristics between banks with risky culture with banks having less risky culture. This methodology permits us to find a control sample of banks with risky culture and exhibit no observable differences in characteristics relative to the banks with no risky culture. Thus, each pair of matched firms is virtually indistinguishable from one another except for one key aspect: risky culture and </w:t>
      </w:r>
      <w:r w:rsidR="00B81199">
        <w:rPr>
          <w:rFonts w:ascii="Times New Roman" w:eastAsia="DengXian" w:hAnsi="Times New Roman" w:cs="Times New Roman"/>
          <w:color w:val="000000" w:themeColor="text1"/>
          <w:sz w:val="24"/>
          <w:szCs w:val="24"/>
          <w:lang w:eastAsia="zh-CN"/>
        </w:rPr>
        <w:t xml:space="preserve">less </w:t>
      </w:r>
      <w:r w:rsidRPr="00880312">
        <w:rPr>
          <w:rFonts w:ascii="Times New Roman" w:eastAsia="DengXian" w:hAnsi="Times New Roman" w:cs="Times New Roman"/>
          <w:color w:val="000000" w:themeColor="text1"/>
          <w:sz w:val="24"/>
          <w:szCs w:val="24"/>
          <w:lang w:eastAsia="zh-CN"/>
        </w:rPr>
        <w:t>risky culture. Following this technique, i.e., matching observable governance and firm characteristics mitigates (but does not eliminate) concerns related to non-random selection (Faccio et al., 2016).</w:t>
      </w:r>
    </w:p>
    <w:p w14:paraId="52EEAFB4" w14:textId="32531C59"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We implement this methodology by first calculating the probability (i.e., the propensity score) that a firm with given characteristics has a risk culture. Thus, the calculated probability is a function of firm-level characteristics. In Panel A of </w:t>
      </w:r>
      <w:r w:rsidRPr="009E69CE">
        <w:rPr>
          <w:rFonts w:ascii="Times New Roman" w:eastAsia="DengXian" w:hAnsi="Times New Roman" w:cs="Times New Roman"/>
          <w:i/>
          <w:iCs/>
          <w:color w:val="000000" w:themeColor="text1"/>
          <w:sz w:val="24"/>
          <w:szCs w:val="24"/>
          <w:lang w:eastAsia="zh-CN"/>
        </w:rPr>
        <w:t xml:space="preserve">Table </w:t>
      </w:r>
      <w:r w:rsidR="000A3F4A" w:rsidRPr="009E69CE">
        <w:rPr>
          <w:rFonts w:ascii="Times New Roman" w:eastAsia="DengXian" w:hAnsi="Times New Roman" w:cs="Times New Roman"/>
          <w:i/>
          <w:iCs/>
          <w:color w:val="000000" w:themeColor="text1"/>
          <w:sz w:val="24"/>
          <w:szCs w:val="24"/>
          <w:lang w:eastAsia="zh-CN"/>
        </w:rPr>
        <w:t>4.8</w:t>
      </w:r>
      <w:r w:rsidRPr="00880312">
        <w:rPr>
          <w:rFonts w:ascii="Times New Roman" w:eastAsia="DengXian" w:hAnsi="Times New Roman" w:cs="Times New Roman"/>
          <w:color w:val="000000" w:themeColor="text1"/>
          <w:sz w:val="24"/>
          <w:szCs w:val="24"/>
          <w:lang w:eastAsia="zh-CN"/>
        </w:rPr>
        <w:t xml:space="preserve">, we estimate the propensity score within a firm-year category as a function of board independence, the board size, bank size, MV/BV/ leverage, ROA, CEO compensation and Tier1 capital ratio. </w:t>
      </w:r>
    </w:p>
    <w:p w14:paraId="29D770CC" w14:textId="6E1A63C7"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rPr>
      </w:pPr>
      <w:r w:rsidRPr="00880312">
        <w:rPr>
          <w:rFonts w:ascii="Times New Roman" w:eastAsia="DengXian" w:hAnsi="Times New Roman" w:cs="Times New Roman"/>
          <w:color w:val="000000" w:themeColor="text1"/>
          <w:sz w:val="24"/>
          <w:szCs w:val="24"/>
          <w:lang w:eastAsia="zh-CN"/>
        </w:rPr>
        <w:t xml:space="preserve">In Panel B of </w:t>
      </w:r>
      <w:r w:rsidRPr="009E69CE">
        <w:rPr>
          <w:rFonts w:ascii="Times New Roman" w:eastAsia="DengXian" w:hAnsi="Times New Roman" w:cs="Times New Roman"/>
          <w:i/>
          <w:iCs/>
          <w:color w:val="000000" w:themeColor="text1"/>
          <w:sz w:val="24"/>
          <w:szCs w:val="24"/>
          <w:lang w:eastAsia="zh-CN"/>
        </w:rPr>
        <w:t xml:space="preserve">Table </w:t>
      </w:r>
      <w:r w:rsidR="000A3F4A" w:rsidRPr="009E69CE">
        <w:rPr>
          <w:rFonts w:ascii="Times New Roman" w:eastAsia="DengXian" w:hAnsi="Times New Roman" w:cs="Times New Roman"/>
          <w:i/>
          <w:iCs/>
          <w:color w:val="000000" w:themeColor="text1"/>
          <w:sz w:val="24"/>
          <w:szCs w:val="24"/>
          <w:lang w:eastAsia="zh-CN"/>
        </w:rPr>
        <w:t>4.8</w:t>
      </w:r>
      <w:r w:rsidRPr="00880312">
        <w:rPr>
          <w:rFonts w:ascii="Times New Roman" w:eastAsia="DengXian" w:hAnsi="Times New Roman" w:cs="Times New Roman"/>
          <w:color w:val="000000" w:themeColor="text1"/>
          <w:sz w:val="24"/>
          <w:szCs w:val="24"/>
          <w:lang w:eastAsia="zh-CN"/>
        </w:rPr>
        <w:t>, a comparison of credit risk among the matched samples shows that board gender diversity effectively moderates the culture and risk behaviour of banks with high-risk culture</w:t>
      </w:r>
      <w:r w:rsidR="00E30E2D">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All differences in risk between the two groups are statistically significant, with p-values of less than 0.05. Thus, we can </w:t>
      </w:r>
      <w:r w:rsidR="001D52C0" w:rsidRPr="00880312">
        <w:rPr>
          <w:rFonts w:ascii="Times New Roman" w:eastAsia="DengXian" w:hAnsi="Times New Roman" w:cs="Times New Roman"/>
          <w:color w:val="000000" w:themeColor="text1"/>
          <w:sz w:val="24"/>
          <w:szCs w:val="24"/>
          <w:lang w:eastAsia="zh-CN"/>
        </w:rPr>
        <w:t>deduc</w:t>
      </w:r>
      <w:r w:rsidR="001D52C0">
        <w:rPr>
          <w:rFonts w:ascii="Times New Roman" w:eastAsia="DengXian" w:hAnsi="Times New Roman" w:cs="Times New Roman"/>
          <w:color w:val="000000" w:themeColor="text1"/>
          <w:sz w:val="24"/>
          <w:szCs w:val="24"/>
          <w:lang w:eastAsia="zh-CN"/>
        </w:rPr>
        <w:t>t</w:t>
      </w:r>
      <w:r w:rsidRPr="00880312">
        <w:rPr>
          <w:rFonts w:ascii="Times New Roman" w:eastAsia="DengXian" w:hAnsi="Times New Roman" w:cs="Times New Roman"/>
          <w:color w:val="000000" w:themeColor="text1"/>
          <w:sz w:val="24"/>
          <w:szCs w:val="24"/>
          <w:lang w:eastAsia="zh-CN"/>
        </w:rPr>
        <w:t xml:space="preserve"> from these results that gender-related differences in risk</w:t>
      </w:r>
      <w:r w:rsidR="00DB3455">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(univariate results presented in Table 4) are not due to observable differences in governance and firm characteristics</w:t>
      </w:r>
      <w:r w:rsidRPr="00880312">
        <w:rPr>
          <w:rFonts w:ascii="Times New Roman" w:eastAsia="DengXian" w:hAnsi="Times New Roman" w:cs="Times New Roman"/>
          <w:color w:val="000000" w:themeColor="text1"/>
          <w:sz w:val="24"/>
          <w:szCs w:val="24"/>
        </w:rPr>
        <w:t>.</w:t>
      </w:r>
    </w:p>
    <w:p w14:paraId="490F04DF" w14:textId="77B9B17D" w:rsidR="00880312" w:rsidRPr="00880312" w:rsidRDefault="00880312" w:rsidP="00880312">
      <w:pPr>
        <w:spacing w:after="0" w:line="480" w:lineRule="auto"/>
        <w:jc w:val="center"/>
        <w:rPr>
          <w:rFonts w:ascii="Times New Roman" w:eastAsia="DengXian" w:hAnsi="Times New Roman" w:cs="Times New Roman"/>
          <w:i/>
          <w:iCs/>
          <w:color w:val="000000" w:themeColor="text1"/>
          <w:sz w:val="24"/>
          <w:szCs w:val="24"/>
        </w:rPr>
      </w:pPr>
      <w:r w:rsidRPr="00880312">
        <w:rPr>
          <w:rFonts w:ascii="Times New Roman" w:eastAsia="DengXian" w:hAnsi="Times New Roman" w:cs="Times New Roman"/>
          <w:i/>
          <w:iCs/>
          <w:color w:val="000000" w:themeColor="text1"/>
          <w:sz w:val="24"/>
          <w:szCs w:val="24"/>
        </w:rPr>
        <w:t xml:space="preserve">[Insert Table </w:t>
      </w:r>
      <w:r w:rsidR="000A3F4A">
        <w:rPr>
          <w:rFonts w:ascii="Times New Roman" w:eastAsia="DengXian" w:hAnsi="Times New Roman" w:cs="Times New Roman"/>
          <w:i/>
          <w:iCs/>
          <w:color w:val="000000" w:themeColor="text1"/>
          <w:sz w:val="24"/>
          <w:szCs w:val="24"/>
        </w:rPr>
        <w:t>4.8</w:t>
      </w:r>
      <w:r w:rsidRPr="00880312">
        <w:rPr>
          <w:rFonts w:ascii="Times New Roman" w:eastAsia="DengXian" w:hAnsi="Times New Roman" w:cs="Times New Roman"/>
          <w:i/>
          <w:iCs/>
          <w:color w:val="000000" w:themeColor="text1"/>
          <w:sz w:val="24"/>
          <w:szCs w:val="24"/>
        </w:rPr>
        <w:t>here]</w:t>
      </w:r>
    </w:p>
    <w:p w14:paraId="7EBB7C42" w14:textId="08DF6F57" w:rsidR="000B6A19" w:rsidRPr="00742375" w:rsidRDefault="00480042" w:rsidP="00742375">
      <w:pPr>
        <w:pStyle w:val="Heading3"/>
        <w:rPr>
          <w:rFonts w:ascii="Times New Roman" w:hAnsi="Times New Roman" w:cs="Times New Roman"/>
          <w:b/>
          <w:bCs/>
          <w:color w:val="auto"/>
          <w:sz w:val="28"/>
          <w:szCs w:val="28"/>
          <w:lang w:eastAsia="zh-CN"/>
        </w:rPr>
      </w:pPr>
      <w:bookmarkStart w:id="113" w:name="_Toc145616208"/>
      <w:r w:rsidRPr="00742375">
        <w:rPr>
          <w:rFonts w:ascii="Times New Roman" w:hAnsi="Times New Roman" w:cs="Times New Roman"/>
          <w:b/>
          <w:bCs/>
          <w:color w:val="auto"/>
          <w:sz w:val="28"/>
          <w:szCs w:val="28"/>
          <w:lang w:eastAsia="zh-CN"/>
        </w:rPr>
        <w:t>4</w:t>
      </w:r>
      <w:r w:rsidR="000B6A19" w:rsidRPr="00742375">
        <w:rPr>
          <w:rFonts w:ascii="Times New Roman" w:hAnsi="Times New Roman" w:cs="Times New Roman"/>
          <w:b/>
          <w:bCs/>
          <w:color w:val="auto"/>
          <w:sz w:val="28"/>
          <w:szCs w:val="28"/>
          <w:lang w:eastAsia="zh-CN"/>
        </w:rPr>
        <w:t>.</w:t>
      </w:r>
      <w:r w:rsidRPr="00742375">
        <w:rPr>
          <w:rFonts w:ascii="Times New Roman" w:hAnsi="Times New Roman" w:cs="Times New Roman"/>
          <w:b/>
          <w:bCs/>
          <w:color w:val="auto"/>
          <w:sz w:val="28"/>
          <w:szCs w:val="28"/>
          <w:lang w:eastAsia="zh-CN"/>
        </w:rPr>
        <w:t>5</w:t>
      </w:r>
      <w:r w:rsidR="000B6A19" w:rsidRPr="00742375">
        <w:rPr>
          <w:rFonts w:ascii="Times New Roman" w:hAnsi="Times New Roman" w:cs="Times New Roman"/>
          <w:b/>
          <w:bCs/>
          <w:color w:val="auto"/>
          <w:sz w:val="28"/>
          <w:szCs w:val="28"/>
          <w:lang w:eastAsia="zh-CN"/>
        </w:rPr>
        <w:t>.</w:t>
      </w:r>
      <w:r w:rsidR="00742375" w:rsidRPr="00742375">
        <w:rPr>
          <w:rFonts w:ascii="Times New Roman" w:hAnsi="Times New Roman" w:cs="Times New Roman"/>
          <w:b/>
          <w:bCs/>
          <w:color w:val="auto"/>
          <w:sz w:val="28"/>
          <w:szCs w:val="28"/>
          <w:lang w:eastAsia="zh-CN"/>
        </w:rPr>
        <w:t>5</w:t>
      </w:r>
      <w:r w:rsidR="00742375">
        <w:rPr>
          <w:rFonts w:ascii="Times New Roman" w:hAnsi="Times New Roman" w:cs="Times New Roman"/>
          <w:b/>
          <w:bCs/>
          <w:color w:val="auto"/>
          <w:sz w:val="28"/>
          <w:szCs w:val="28"/>
          <w:lang w:eastAsia="zh-CN"/>
        </w:rPr>
        <w:t>.</w:t>
      </w:r>
      <w:r w:rsidR="000B6A19" w:rsidRPr="00742375">
        <w:rPr>
          <w:rFonts w:ascii="Times New Roman" w:hAnsi="Times New Roman" w:cs="Times New Roman"/>
          <w:b/>
          <w:bCs/>
          <w:color w:val="auto"/>
          <w:sz w:val="28"/>
          <w:szCs w:val="28"/>
          <w:lang w:eastAsia="zh-CN"/>
        </w:rPr>
        <w:t xml:space="preserve"> Robustness Checks</w:t>
      </w:r>
      <w:bookmarkEnd w:id="113"/>
    </w:p>
    <w:p w14:paraId="799AECE1" w14:textId="28923FE7" w:rsidR="000B6A19" w:rsidRPr="00880312" w:rsidRDefault="000B6A19" w:rsidP="000B6A19">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In this section, we perform various robustness checks of our baseline result</w:t>
      </w:r>
      <w:r>
        <w:rPr>
          <w:rFonts w:ascii="Times New Roman" w:eastAsia="DengXian" w:hAnsi="Times New Roman" w:cs="Times New Roman"/>
          <w:color w:val="000000" w:themeColor="text1"/>
          <w:sz w:val="24"/>
          <w:szCs w:val="24"/>
          <w:lang w:eastAsia="zh-CN"/>
        </w:rPr>
        <w:t xml:space="preserve"> (</w:t>
      </w:r>
      <w:r w:rsidR="0088565C">
        <w:rPr>
          <w:rFonts w:ascii="Times New Roman" w:eastAsia="DengXian" w:hAnsi="Times New Roman" w:cs="Times New Roman"/>
          <w:color w:val="000000" w:themeColor="text1"/>
          <w:sz w:val="24"/>
          <w:szCs w:val="24"/>
          <w:lang w:eastAsia="zh-CN"/>
        </w:rPr>
        <w:t>Table 4.4</w:t>
      </w:r>
      <w:r>
        <w:rPr>
          <w:rFonts w:ascii="Times New Roman" w:eastAsia="DengXian" w:hAnsi="Times New Roman" w:cs="Times New Roman"/>
          <w:color w:val="000000" w:themeColor="text1"/>
          <w:sz w:val="24"/>
          <w:szCs w:val="24"/>
          <w:lang w:eastAsia="zh-CN"/>
        </w:rPr>
        <w:t>)</w:t>
      </w:r>
      <w:r w:rsidR="00C814BB">
        <w:rPr>
          <w:rStyle w:val="FootnoteReference"/>
          <w:rFonts w:ascii="Times New Roman" w:eastAsia="DengXian" w:hAnsi="Times New Roman" w:cs="Times New Roman"/>
          <w:color w:val="000000" w:themeColor="text1"/>
          <w:sz w:val="24"/>
          <w:szCs w:val="24"/>
          <w:lang w:eastAsia="zh-CN"/>
        </w:rPr>
        <w:footnoteReference w:id="12"/>
      </w:r>
      <w:r w:rsidRPr="00880312">
        <w:rPr>
          <w:rFonts w:ascii="Times New Roman" w:eastAsia="DengXian" w:hAnsi="Times New Roman" w:cs="Times New Roman"/>
          <w:color w:val="000000" w:themeColor="text1"/>
          <w:sz w:val="24"/>
          <w:szCs w:val="24"/>
          <w:lang w:eastAsia="zh-CN"/>
        </w:rPr>
        <w:t xml:space="preserve">. In </w:t>
      </w:r>
      <w:r w:rsidRPr="00880312">
        <w:rPr>
          <w:rFonts w:ascii="Times New Roman" w:eastAsia="DengXian" w:hAnsi="Times New Roman" w:cs="Times New Roman"/>
          <w:i/>
          <w:iCs/>
          <w:color w:val="000000" w:themeColor="text1"/>
          <w:sz w:val="24"/>
          <w:szCs w:val="24"/>
          <w:lang w:eastAsia="zh-CN"/>
        </w:rPr>
        <w:t>Table</w:t>
      </w:r>
      <w:r w:rsidR="00E30E2D">
        <w:rPr>
          <w:rFonts w:ascii="Times New Roman" w:eastAsia="DengXian" w:hAnsi="Times New Roman" w:cs="Times New Roman"/>
          <w:i/>
          <w:iCs/>
          <w:color w:val="000000" w:themeColor="text1"/>
          <w:sz w:val="24"/>
          <w:szCs w:val="24"/>
          <w:lang w:eastAsia="zh-CN"/>
        </w:rPr>
        <w:t xml:space="preserve"> </w:t>
      </w:r>
      <w:r w:rsidR="000A3F4A">
        <w:rPr>
          <w:rFonts w:ascii="Times New Roman" w:eastAsia="DengXian" w:hAnsi="Times New Roman" w:cs="Times New Roman"/>
          <w:i/>
          <w:iCs/>
          <w:color w:val="000000" w:themeColor="text1"/>
          <w:sz w:val="24"/>
          <w:szCs w:val="24"/>
          <w:lang w:eastAsia="zh-CN"/>
        </w:rPr>
        <w:t>4.</w:t>
      </w:r>
      <w:r w:rsidRPr="00880312">
        <w:rPr>
          <w:rFonts w:ascii="Times New Roman" w:eastAsia="DengXian" w:hAnsi="Times New Roman" w:cs="Times New Roman"/>
          <w:i/>
          <w:iCs/>
          <w:color w:val="000000" w:themeColor="text1"/>
          <w:sz w:val="24"/>
          <w:szCs w:val="24"/>
          <w:lang w:eastAsia="zh-CN"/>
        </w:rPr>
        <w:t>9,</w:t>
      </w:r>
      <w:r w:rsidRPr="00880312">
        <w:rPr>
          <w:rFonts w:ascii="Times New Roman" w:eastAsia="DengXian" w:hAnsi="Times New Roman" w:cs="Times New Roman"/>
          <w:color w:val="000000" w:themeColor="text1"/>
          <w:sz w:val="24"/>
          <w:szCs w:val="24"/>
          <w:lang w:eastAsia="zh-CN"/>
        </w:rPr>
        <w:t xml:space="preserve"> we report our baseline model</w:t>
      </w:r>
      <w:r w:rsidR="0088565C">
        <w:rPr>
          <w:rFonts w:ascii="Times New Roman" w:eastAsia="DengXian" w:hAnsi="Times New Roman" w:cs="Times New Roman"/>
          <w:color w:val="000000" w:themeColor="text1"/>
          <w:sz w:val="24"/>
          <w:szCs w:val="24"/>
          <w:lang w:eastAsia="zh-CN"/>
        </w:rPr>
        <w:t xml:space="preserve"> (Equation</w:t>
      </w:r>
      <w:r w:rsidR="00E30E2D">
        <w:rPr>
          <w:rFonts w:ascii="Times New Roman" w:eastAsia="DengXian" w:hAnsi="Times New Roman" w:cs="Times New Roman"/>
          <w:color w:val="000000" w:themeColor="text1"/>
          <w:sz w:val="24"/>
          <w:szCs w:val="24"/>
          <w:lang w:eastAsia="zh-CN"/>
        </w:rPr>
        <w:t xml:space="preserve"> </w:t>
      </w:r>
      <w:r w:rsidR="0088565C">
        <w:rPr>
          <w:rFonts w:ascii="Times New Roman" w:eastAsia="DengXian" w:hAnsi="Times New Roman" w:cs="Times New Roman"/>
          <w:color w:val="000000" w:themeColor="text1"/>
          <w:sz w:val="24"/>
          <w:szCs w:val="24"/>
          <w:lang w:eastAsia="zh-CN"/>
        </w:rPr>
        <w:t>1)</w:t>
      </w:r>
      <w:r w:rsidRPr="00880312">
        <w:rPr>
          <w:rFonts w:ascii="Times New Roman" w:eastAsia="DengXian" w:hAnsi="Times New Roman" w:cs="Times New Roman"/>
          <w:color w:val="000000" w:themeColor="text1"/>
          <w:sz w:val="24"/>
          <w:szCs w:val="24"/>
          <w:lang w:eastAsia="zh-CN"/>
        </w:rPr>
        <w:t xml:space="preserve"> using alternative measures for our key variables of interest. All the models use panel regression with year and bank fixed effects and similar controls. In Model (1), we display our baseline estimation results using another measure of risk (Aggregate Risk), defined as the standard deviation in a bank's return on asset (Faccio et al., 2016, Gontarek and Belghitar, 2018). In Model (2) we re-estimate our base line results using an alternative measure of for risk culture (Risk Culture-Alternative) where the risk culture keyword count is scaled by the total number of words in the annual report (Firodelisi and Ricci, 2014; Nguyen, Nguyen and Sila, 2019). </w:t>
      </w:r>
    </w:p>
    <w:p w14:paraId="477E6C26" w14:textId="62C86B7E" w:rsidR="000B6A19" w:rsidRPr="00880312" w:rsidRDefault="000B6A19" w:rsidP="000B6A19">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Further, to address the concern that our results might be affected by large banks (i.e., banks susceptible to more risk-taking and perceived as too-big-to-fail), we </w:t>
      </w:r>
      <w:r w:rsidR="00E80C14">
        <w:rPr>
          <w:rFonts w:ascii="Times New Roman" w:eastAsia="DengXian" w:hAnsi="Times New Roman" w:cs="Times New Roman"/>
          <w:color w:val="000000" w:themeColor="text1"/>
          <w:sz w:val="24"/>
          <w:szCs w:val="24"/>
          <w:lang w:eastAsia="zh-CN"/>
        </w:rPr>
        <w:t xml:space="preserve">bring bank size </w:t>
      </w:r>
      <w:r w:rsidRPr="00880312">
        <w:rPr>
          <w:rFonts w:ascii="Times New Roman" w:eastAsia="DengXian" w:hAnsi="Times New Roman" w:cs="Times New Roman"/>
          <w:color w:val="000000" w:themeColor="text1"/>
          <w:sz w:val="24"/>
          <w:szCs w:val="24"/>
          <w:lang w:eastAsia="zh-CN"/>
        </w:rPr>
        <w:t xml:space="preserve">effects in the baseline model by </w:t>
      </w:r>
      <w:r w:rsidR="00E80C14" w:rsidRPr="00880312">
        <w:rPr>
          <w:rFonts w:ascii="Times New Roman" w:eastAsia="DengXian" w:hAnsi="Times New Roman" w:cs="Times New Roman"/>
          <w:color w:val="000000" w:themeColor="text1"/>
          <w:sz w:val="24"/>
          <w:szCs w:val="24"/>
          <w:lang w:eastAsia="zh-CN"/>
        </w:rPr>
        <w:t>classifying</w:t>
      </w:r>
      <w:r w:rsidRPr="00880312">
        <w:rPr>
          <w:rFonts w:ascii="Times New Roman" w:eastAsia="DengXian" w:hAnsi="Times New Roman" w:cs="Times New Roman"/>
          <w:color w:val="000000" w:themeColor="text1"/>
          <w:sz w:val="24"/>
          <w:szCs w:val="24"/>
          <w:lang w:eastAsia="zh-CN"/>
        </w:rPr>
        <w:t xml:space="preserve"> the banks into quartiles </w:t>
      </w:r>
      <w:r w:rsidR="00E80C14">
        <w:rPr>
          <w:rFonts w:ascii="Times New Roman" w:eastAsia="DengXian" w:hAnsi="Times New Roman" w:cs="Times New Roman"/>
          <w:color w:val="000000" w:themeColor="text1"/>
          <w:sz w:val="24"/>
          <w:szCs w:val="24"/>
          <w:lang w:eastAsia="zh-CN"/>
        </w:rPr>
        <w:t xml:space="preserve">based on </w:t>
      </w:r>
      <w:r w:rsidRPr="00880312">
        <w:rPr>
          <w:rFonts w:ascii="Times New Roman" w:eastAsia="DengXian" w:hAnsi="Times New Roman" w:cs="Times New Roman"/>
          <w:color w:val="000000" w:themeColor="text1"/>
          <w:sz w:val="24"/>
          <w:szCs w:val="24"/>
          <w:lang w:eastAsia="zh-CN"/>
        </w:rPr>
        <w:t xml:space="preserve">total value of assets. We follow Arnaboldi et al. (2021) and exclude the banks in the top quartile. We report the bank size effect in Model (3). Finally, we estimate our baseline model by taking one year lag of all independent variables. We report the results of lag variables in Model (4). The results presented in </w:t>
      </w:r>
      <w:r w:rsidRPr="00880312">
        <w:rPr>
          <w:rFonts w:ascii="Times New Roman" w:eastAsia="DengXian" w:hAnsi="Times New Roman" w:cs="Times New Roman"/>
          <w:i/>
          <w:iCs/>
          <w:color w:val="000000" w:themeColor="text1"/>
          <w:sz w:val="24"/>
          <w:szCs w:val="24"/>
          <w:lang w:eastAsia="zh-CN"/>
        </w:rPr>
        <w:t xml:space="preserve">Table </w:t>
      </w:r>
      <w:r w:rsidR="000A3F4A">
        <w:rPr>
          <w:rFonts w:ascii="Times New Roman" w:eastAsia="DengXian" w:hAnsi="Times New Roman" w:cs="Times New Roman"/>
          <w:i/>
          <w:iCs/>
          <w:color w:val="000000" w:themeColor="text1"/>
          <w:sz w:val="24"/>
          <w:szCs w:val="24"/>
          <w:lang w:eastAsia="zh-CN"/>
        </w:rPr>
        <w:t>4.</w:t>
      </w:r>
      <w:r w:rsidRPr="00880312">
        <w:rPr>
          <w:rFonts w:ascii="Times New Roman" w:eastAsia="DengXian" w:hAnsi="Times New Roman" w:cs="Times New Roman"/>
          <w:i/>
          <w:iCs/>
          <w:color w:val="000000" w:themeColor="text1"/>
          <w:sz w:val="24"/>
          <w:szCs w:val="24"/>
          <w:lang w:eastAsia="zh-CN"/>
        </w:rPr>
        <w:t xml:space="preserve">9 </w:t>
      </w:r>
      <w:r w:rsidRPr="00880312">
        <w:rPr>
          <w:rFonts w:ascii="Times New Roman" w:eastAsia="DengXian" w:hAnsi="Times New Roman" w:cs="Times New Roman"/>
          <w:color w:val="000000" w:themeColor="text1"/>
          <w:sz w:val="24"/>
          <w:szCs w:val="24"/>
          <w:lang w:eastAsia="zh-CN"/>
        </w:rPr>
        <w:t>confirm that our base line model is robust and that females on the board moderate the relationship between risk culture and bank risk-taking.</w:t>
      </w:r>
    </w:p>
    <w:p w14:paraId="5807C3BF" w14:textId="1AD72B4F" w:rsidR="000B6A19" w:rsidRPr="00880312" w:rsidRDefault="000B6A19" w:rsidP="000B6A19">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Interestingly, we also find the moderating role of female board representation on </w:t>
      </w:r>
      <w:r w:rsidR="00E80C14">
        <w:rPr>
          <w:rFonts w:ascii="Times New Roman" w:eastAsia="DengXian" w:hAnsi="Times New Roman" w:cs="Times New Roman"/>
          <w:color w:val="000000" w:themeColor="text1"/>
          <w:sz w:val="24"/>
          <w:szCs w:val="24"/>
          <w:lang w:eastAsia="zh-CN"/>
        </w:rPr>
        <w:t>small banks' risk culture and bank risk</w:t>
      </w:r>
      <w:r w:rsidRPr="00880312">
        <w:rPr>
          <w:rFonts w:ascii="Times New Roman" w:eastAsia="DengXian" w:hAnsi="Times New Roman" w:cs="Times New Roman"/>
          <w:color w:val="000000" w:themeColor="text1"/>
          <w:sz w:val="24"/>
          <w:szCs w:val="24"/>
          <w:lang w:eastAsia="zh-CN"/>
        </w:rPr>
        <w:t xml:space="preserve">. </w:t>
      </w:r>
      <w:r w:rsidR="00E80C14">
        <w:rPr>
          <w:rFonts w:ascii="Times New Roman" w:eastAsia="DengXian" w:hAnsi="Times New Roman" w:cs="Times New Roman"/>
          <w:color w:val="000000" w:themeColor="text1"/>
          <w:sz w:val="24"/>
          <w:szCs w:val="24"/>
          <w:lang w:eastAsia="zh-CN"/>
        </w:rPr>
        <w:t xml:space="preserve">This finding indicates that while demand for increasing female representation on larger bank boards is more common, benefits of gender-diverse boards can be observed for </w:t>
      </w:r>
      <w:r w:rsidRPr="00880312">
        <w:rPr>
          <w:rFonts w:ascii="Times New Roman" w:eastAsia="DengXian" w:hAnsi="Times New Roman" w:cs="Times New Roman"/>
          <w:color w:val="000000" w:themeColor="text1"/>
          <w:sz w:val="24"/>
          <w:szCs w:val="24"/>
          <w:lang w:eastAsia="zh-CN"/>
        </w:rPr>
        <w:t xml:space="preserve">medium-sized and smaller banks. </w:t>
      </w:r>
      <w:r w:rsidR="00E80C14">
        <w:rPr>
          <w:rFonts w:ascii="Times New Roman" w:eastAsia="DengXian" w:hAnsi="Times New Roman" w:cs="Times New Roman"/>
          <w:color w:val="000000" w:themeColor="text1"/>
          <w:sz w:val="24"/>
          <w:szCs w:val="24"/>
          <w:lang w:eastAsia="zh-CN"/>
        </w:rPr>
        <w:t>Although small and medium-sized banks are not too relevant for financial stability compared to large banks</w:t>
      </w:r>
      <w:r w:rsidR="00963CA8">
        <w:rPr>
          <w:rFonts w:ascii="Times New Roman" w:eastAsia="DengXian" w:hAnsi="Times New Roman" w:cs="Times New Roman"/>
          <w:color w:val="000000" w:themeColor="text1"/>
          <w:sz w:val="24"/>
          <w:szCs w:val="24"/>
          <w:lang w:eastAsia="zh-CN"/>
        </w:rPr>
        <w:t xml:space="preserve">, </w:t>
      </w:r>
      <w:r w:rsidR="00E80C14">
        <w:rPr>
          <w:rFonts w:ascii="Times New Roman" w:eastAsia="DengXian" w:hAnsi="Times New Roman" w:cs="Times New Roman"/>
          <w:color w:val="000000" w:themeColor="text1"/>
          <w:sz w:val="24"/>
          <w:szCs w:val="24"/>
          <w:lang w:eastAsia="zh-CN"/>
        </w:rPr>
        <w:t xml:space="preserve">they play an essential role </w:t>
      </w:r>
      <w:r w:rsidRPr="00880312">
        <w:rPr>
          <w:rFonts w:ascii="Times New Roman" w:eastAsia="DengXian" w:hAnsi="Times New Roman" w:cs="Times New Roman"/>
          <w:color w:val="000000" w:themeColor="text1"/>
          <w:sz w:val="24"/>
          <w:szCs w:val="24"/>
          <w:lang w:eastAsia="zh-CN"/>
        </w:rPr>
        <w:t>in maintaining trust and confidence in the financial system</w:t>
      </w:r>
      <w:r w:rsidR="00E80C14">
        <w:rPr>
          <w:rFonts w:ascii="Times New Roman" w:eastAsia="DengXian" w:hAnsi="Times New Roman" w:cs="Times New Roman"/>
          <w:color w:val="000000" w:themeColor="text1"/>
          <w:sz w:val="24"/>
          <w:szCs w:val="24"/>
          <w:lang w:eastAsia="zh-CN"/>
        </w:rPr>
        <w:t>, which</w:t>
      </w:r>
      <w:r w:rsidRPr="00880312">
        <w:rPr>
          <w:rFonts w:ascii="Times New Roman" w:eastAsia="DengXian" w:hAnsi="Times New Roman" w:cs="Times New Roman"/>
          <w:color w:val="000000" w:themeColor="text1"/>
          <w:sz w:val="24"/>
          <w:szCs w:val="24"/>
          <w:lang w:eastAsia="zh-CN"/>
        </w:rPr>
        <w:t xml:space="preserve"> cannot be ignored.</w:t>
      </w:r>
    </w:p>
    <w:p w14:paraId="3CED5D57" w14:textId="3C323D34" w:rsidR="000B6A19" w:rsidRPr="00880312" w:rsidRDefault="000B6A19" w:rsidP="000B6A19">
      <w:pPr>
        <w:spacing w:after="0" w:line="480" w:lineRule="auto"/>
        <w:jc w:val="center"/>
        <w:rPr>
          <w:rFonts w:ascii="Times New Roman" w:eastAsia="DengXian" w:hAnsi="Times New Roman" w:cs="Times New Roman"/>
          <w:b/>
          <w:bCs/>
          <w:color w:val="000000" w:themeColor="text1"/>
          <w:sz w:val="24"/>
          <w:szCs w:val="24"/>
          <w:lang w:eastAsia="zh-CN"/>
        </w:rPr>
      </w:pPr>
      <w:r w:rsidRPr="00880312">
        <w:rPr>
          <w:rFonts w:ascii="Times New Roman" w:eastAsia="DengXian" w:hAnsi="Times New Roman" w:cs="Times New Roman"/>
          <w:i/>
          <w:iCs/>
          <w:color w:val="000000" w:themeColor="text1"/>
          <w:sz w:val="24"/>
          <w:szCs w:val="24"/>
          <w:lang w:eastAsia="zh-CN"/>
        </w:rPr>
        <w:t xml:space="preserve">[Insert Table </w:t>
      </w:r>
      <w:r w:rsidR="000A3F4A">
        <w:rPr>
          <w:rFonts w:ascii="Times New Roman" w:eastAsia="DengXian" w:hAnsi="Times New Roman" w:cs="Times New Roman"/>
          <w:i/>
          <w:iCs/>
          <w:color w:val="000000" w:themeColor="text1"/>
          <w:sz w:val="24"/>
          <w:szCs w:val="24"/>
          <w:lang w:eastAsia="zh-CN"/>
        </w:rPr>
        <w:t>4.</w:t>
      </w:r>
      <w:r w:rsidRPr="00880312">
        <w:rPr>
          <w:rFonts w:ascii="Times New Roman" w:eastAsia="DengXian" w:hAnsi="Times New Roman" w:cs="Times New Roman"/>
          <w:i/>
          <w:iCs/>
          <w:color w:val="000000" w:themeColor="text1"/>
          <w:sz w:val="24"/>
          <w:szCs w:val="24"/>
          <w:lang w:eastAsia="zh-CN"/>
        </w:rPr>
        <w:t>9 here]</w:t>
      </w:r>
    </w:p>
    <w:p w14:paraId="1C978DB3" w14:textId="2DD0778A" w:rsidR="007B4328" w:rsidRDefault="007B4328" w:rsidP="000A2033">
      <w:pPr>
        <w:spacing w:after="0" w:line="480" w:lineRule="auto"/>
        <w:jc w:val="center"/>
        <w:rPr>
          <w:rFonts w:ascii="Times New Roman" w:eastAsia="DengXian" w:hAnsi="Times New Roman" w:cs="Times New Roman"/>
          <w:i/>
          <w:iCs/>
          <w:color w:val="000000" w:themeColor="text1"/>
          <w:sz w:val="24"/>
          <w:szCs w:val="24"/>
        </w:rPr>
      </w:pPr>
    </w:p>
    <w:p w14:paraId="2045C770" w14:textId="5685F945" w:rsidR="00880312" w:rsidRPr="00963CA8" w:rsidRDefault="00742375" w:rsidP="00963CA8">
      <w:pPr>
        <w:pStyle w:val="Heading2"/>
        <w:rPr>
          <w:sz w:val="32"/>
          <w:szCs w:val="32"/>
          <w:lang w:eastAsia="zh-CN"/>
        </w:rPr>
      </w:pPr>
      <w:bookmarkStart w:id="114" w:name="_Toc145616209"/>
      <w:r w:rsidRPr="00963CA8">
        <w:rPr>
          <w:sz w:val="32"/>
          <w:szCs w:val="32"/>
          <w:lang w:eastAsia="zh-CN"/>
        </w:rPr>
        <w:t>4.6</w:t>
      </w:r>
      <w:r w:rsidR="00880312" w:rsidRPr="00963CA8">
        <w:rPr>
          <w:sz w:val="32"/>
          <w:szCs w:val="32"/>
          <w:lang w:eastAsia="zh-CN"/>
        </w:rPr>
        <w:t>. Conclusion</w:t>
      </w:r>
      <w:bookmarkEnd w:id="114"/>
    </w:p>
    <w:p w14:paraId="0373BEF0" w14:textId="77777777" w:rsidR="00742375" w:rsidRPr="00742375" w:rsidRDefault="00742375" w:rsidP="00742375">
      <w:pPr>
        <w:rPr>
          <w:lang w:eastAsia="zh-CN"/>
        </w:rPr>
      </w:pPr>
    </w:p>
    <w:p w14:paraId="294A0368" w14:textId="727DCF2B"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After the financial crisis of 2007-2009, regulators (Basel 2010, 2015; Dodd-Frank Act, 2010, Financial Stability Board, 2013) have increased their focus on improving banks' risk culture. The common sentiment of regulators, practitioners, and academicians is that bank culture lies at the heart of bank risk-taking behaviour and can potentially undermine financial stability. Thus, understanding bank culture is a question of first-order importance to protect financial stability. </w:t>
      </w:r>
      <w:r w:rsidR="00B42EA7">
        <w:rPr>
          <w:rFonts w:ascii="Times New Roman" w:eastAsia="DengXian" w:hAnsi="Times New Roman" w:cs="Times New Roman"/>
          <w:color w:val="000000" w:themeColor="text1"/>
          <w:sz w:val="24"/>
          <w:szCs w:val="24"/>
          <w:lang w:eastAsia="zh-CN"/>
        </w:rPr>
        <w:t xml:space="preserve">However, the important question </w:t>
      </w:r>
      <w:r w:rsidR="00E80C14">
        <w:rPr>
          <w:rFonts w:ascii="Times New Roman" w:eastAsia="DengXian" w:hAnsi="Times New Roman" w:cs="Times New Roman"/>
          <w:color w:val="000000" w:themeColor="text1"/>
          <w:sz w:val="24"/>
          <w:szCs w:val="24"/>
          <w:lang w:eastAsia="zh-CN"/>
        </w:rPr>
        <w:t>remains:</w:t>
      </w:r>
      <w:r w:rsidRPr="00880312">
        <w:rPr>
          <w:rFonts w:ascii="Times New Roman" w:eastAsia="DengXian" w:hAnsi="Times New Roman" w:cs="Times New Roman"/>
          <w:color w:val="000000" w:themeColor="text1"/>
          <w:sz w:val="24"/>
          <w:szCs w:val="24"/>
          <w:lang w:eastAsia="zh-CN"/>
        </w:rPr>
        <w:t xml:space="preserve"> how to improve a bank's risk culture, which mitigates risk-taking</w:t>
      </w:r>
      <w:r w:rsidR="00E80C14">
        <w:rPr>
          <w:rFonts w:ascii="Times New Roman" w:eastAsia="DengXian" w:hAnsi="Times New Roman" w:cs="Times New Roman"/>
          <w:color w:val="000000" w:themeColor="text1"/>
          <w:sz w:val="24"/>
          <w:szCs w:val="24"/>
          <w:lang w:eastAsia="zh-CN"/>
        </w:rPr>
        <w:t>?</w:t>
      </w:r>
      <w:r w:rsidR="00E80C14" w:rsidRPr="00880312">
        <w:rPr>
          <w:rFonts w:ascii="Times New Roman" w:eastAsia="DengXian" w:hAnsi="Times New Roman" w:cs="Times New Roman"/>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We believe </w:t>
      </w:r>
      <w:r w:rsidR="00B42EA7">
        <w:rPr>
          <w:rFonts w:ascii="Times New Roman" w:eastAsia="DengXian" w:hAnsi="Times New Roman" w:cs="Times New Roman"/>
          <w:color w:val="000000" w:themeColor="text1"/>
          <w:sz w:val="24"/>
          <w:szCs w:val="24"/>
          <w:lang w:eastAsia="zh-CN"/>
        </w:rPr>
        <w:t xml:space="preserve">providing </w:t>
      </w:r>
      <w:r w:rsidRPr="00880312">
        <w:rPr>
          <w:rFonts w:ascii="Times New Roman" w:eastAsia="DengXian" w:hAnsi="Times New Roman" w:cs="Times New Roman"/>
          <w:color w:val="000000" w:themeColor="text1"/>
          <w:sz w:val="24"/>
          <w:szCs w:val="24"/>
          <w:lang w:eastAsia="zh-CN"/>
        </w:rPr>
        <w:t xml:space="preserve">such a solution is a step towards enhanced financial stability. To understand the mechanisms through which the risk culture can reduce </w:t>
      </w:r>
      <w:r w:rsidR="0088565C">
        <w:rPr>
          <w:rFonts w:ascii="Times New Roman" w:eastAsia="DengXian" w:hAnsi="Times New Roman" w:cs="Times New Roman"/>
          <w:color w:val="000000" w:themeColor="text1"/>
          <w:sz w:val="24"/>
          <w:szCs w:val="24"/>
          <w:lang w:eastAsia="zh-CN"/>
        </w:rPr>
        <w:t xml:space="preserve">bank </w:t>
      </w:r>
      <w:r w:rsidRPr="00880312">
        <w:rPr>
          <w:rFonts w:ascii="Times New Roman" w:eastAsia="DengXian" w:hAnsi="Times New Roman" w:cs="Times New Roman"/>
          <w:color w:val="000000" w:themeColor="text1"/>
          <w:sz w:val="24"/>
          <w:szCs w:val="24"/>
          <w:lang w:eastAsia="zh-CN"/>
        </w:rPr>
        <w:t xml:space="preserve">risk, we use the presence of females on the board based on the ethicality/ risk aversion channel. We find evidence to support the ethicality and risk aversion channel, as indicated by risk reduction when a female on board interacts with risk culture. In line with the gender socialization theory, our results suggest that women impact banks' risk culture by bringing unique skills and </w:t>
      </w:r>
      <w:r w:rsidR="00ED0E24" w:rsidRPr="00880312">
        <w:rPr>
          <w:rFonts w:ascii="Times New Roman" w:eastAsia="DengXian" w:hAnsi="Times New Roman" w:cs="Times New Roman"/>
          <w:color w:val="000000" w:themeColor="text1"/>
          <w:sz w:val="24"/>
          <w:szCs w:val="24"/>
          <w:lang w:eastAsia="zh-CN"/>
        </w:rPr>
        <w:t>experiences</w:t>
      </w:r>
      <w:r w:rsidRPr="00880312">
        <w:rPr>
          <w:rFonts w:ascii="Times New Roman" w:eastAsia="DengXian" w:hAnsi="Times New Roman" w:cs="Times New Roman"/>
          <w:color w:val="000000" w:themeColor="text1"/>
          <w:sz w:val="24"/>
          <w:szCs w:val="24"/>
          <w:lang w:eastAsia="zh-CN"/>
        </w:rPr>
        <w:t xml:space="preserve"> to corporate boards (e.g., ethical behaviour and risk aversion).</w:t>
      </w:r>
    </w:p>
    <w:p w14:paraId="17716907" w14:textId="1315ACBA"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Further, this study shows that boards with three or more females </w:t>
      </w:r>
      <w:r w:rsidR="00E80C14">
        <w:rPr>
          <w:rFonts w:ascii="Times New Roman" w:eastAsia="DengXian" w:hAnsi="Times New Roman" w:cs="Times New Roman"/>
          <w:color w:val="000000" w:themeColor="text1"/>
          <w:sz w:val="24"/>
          <w:szCs w:val="24"/>
          <w:lang w:eastAsia="zh-CN"/>
        </w:rPr>
        <w:t>substantially impact risk culture mo</w:t>
      </w:r>
      <w:r w:rsidRPr="00880312">
        <w:rPr>
          <w:rFonts w:ascii="Times New Roman" w:eastAsia="DengXian" w:hAnsi="Times New Roman" w:cs="Times New Roman"/>
          <w:color w:val="000000" w:themeColor="text1"/>
          <w:sz w:val="24"/>
          <w:szCs w:val="24"/>
          <w:lang w:eastAsia="zh-CN"/>
        </w:rPr>
        <w:t xml:space="preserve">re than those with two or fewer females, </w:t>
      </w:r>
      <w:r w:rsidR="00E80C14" w:rsidRPr="00880312">
        <w:rPr>
          <w:rFonts w:ascii="Times New Roman" w:eastAsia="DengXian" w:hAnsi="Times New Roman" w:cs="Times New Roman"/>
          <w:color w:val="000000" w:themeColor="text1"/>
          <w:sz w:val="24"/>
          <w:szCs w:val="24"/>
          <w:lang w:eastAsia="zh-CN"/>
        </w:rPr>
        <w:t>confirming</w:t>
      </w:r>
      <w:r w:rsidRPr="00880312">
        <w:rPr>
          <w:rFonts w:ascii="Times New Roman" w:eastAsia="DengXian" w:hAnsi="Times New Roman" w:cs="Times New Roman"/>
          <w:color w:val="000000" w:themeColor="text1"/>
          <w:sz w:val="24"/>
          <w:szCs w:val="24"/>
          <w:lang w:eastAsia="zh-CN"/>
        </w:rPr>
        <w:t xml:space="preserve"> the critical mass theory in board gender diversity. Our study also highlights the environment female board </w:t>
      </w:r>
      <w:r w:rsidR="00B42EA7" w:rsidRPr="00880312">
        <w:rPr>
          <w:rFonts w:ascii="Times New Roman" w:eastAsia="DengXian" w:hAnsi="Times New Roman" w:cs="Times New Roman"/>
          <w:color w:val="000000" w:themeColor="text1"/>
          <w:sz w:val="24"/>
          <w:szCs w:val="24"/>
          <w:lang w:eastAsia="zh-CN"/>
        </w:rPr>
        <w:t>members</w:t>
      </w:r>
      <w:r w:rsidRPr="00880312">
        <w:rPr>
          <w:rFonts w:ascii="Times New Roman" w:eastAsia="DengXian" w:hAnsi="Times New Roman" w:cs="Times New Roman"/>
          <w:color w:val="000000" w:themeColor="text1"/>
          <w:sz w:val="24"/>
          <w:szCs w:val="24"/>
          <w:lang w:eastAsia="zh-CN"/>
        </w:rPr>
        <w:t xml:space="preserve"> provide for effective decision-making. In this regard, we see a significant moderating impact of women on board on </w:t>
      </w:r>
      <w:r w:rsidR="00963CA8">
        <w:rPr>
          <w:rFonts w:ascii="Times New Roman" w:eastAsia="DengXian" w:hAnsi="Times New Roman" w:cs="Times New Roman"/>
          <w:color w:val="000000" w:themeColor="text1"/>
          <w:sz w:val="24"/>
          <w:szCs w:val="24"/>
          <w:lang w:eastAsia="zh-CN"/>
        </w:rPr>
        <w:t xml:space="preserve">the relationship between </w:t>
      </w:r>
      <w:r w:rsidRPr="00880312">
        <w:rPr>
          <w:rFonts w:ascii="Times New Roman" w:eastAsia="DengXian" w:hAnsi="Times New Roman" w:cs="Times New Roman"/>
          <w:color w:val="000000" w:themeColor="text1"/>
          <w:sz w:val="24"/>
          <w:szCs w:val="24"/>
          <w:lang w:eastAsia="zh-CN"/>
        </w:rPr>
        <w:t>corporate culture</w:t>
      </w:r>
      <w:r w:rsidR="00963CA8">
        <w:rPr>
          <w:rFonts w:ascii="Times New Roman" w:eastAsia="DengXian" w:hAnsi="Times New Roman" w:cs="Times New Roman"/>
          <w:color w:val="000000" w:themeColor="text1"/>
          <w:sz w:val="24"/>
          <w:szCs w:val="24"/>
          <w:lang w:eastAsia="zh-CN"/>
        </w:rPr>
        <w:t xml:space="preserve"> and </w:t>
      </w:r>
      <w:r w:rsidRPr="00880312">
        <w:rPr>
          <w:rFonts w:ascii="Times New Roman" w:eastAsia="DengXian" w:hAnsi="Times New Roman" w:cs="Times New Roman"/>
          <w:color w:val="000000" w:themeColor="text1"/>
          <w:sz w:val="24"/>
          <w:szCs w:val="24"/>
          <w:lang w:eastAsia="zh-CN"/>
        </w:rPr>
        <w:t>female leader</w:t>
      </w:r>
      <w:r w:rsidR="00963CA8">
        <w:rPr>
          <w:rFonts w:ascii="Times New Roman" w:eastAsia="DengXian" w:hAnsi="Times New Roman" w:cs="Times New Roman"/>
          <w:color w:val="000000" w:themeColor="text1"/>
          <w:sz w:val="24"/>
          <w:szCs w:val="24"/>
          <w:lang w:eastAsia="zh-CN"/>
        </w:rPr>
        <w:t>s</w:t>
      </w:r>
      <w:r w:rsidRPr="00880312">
        <w:rPr>
          <w:rFonts w:ascii="Times New Roman" w:eastAsia="DengXian" w:hAnsi="Times New Roman" w:cs="Times New Roman"/>
          <w:color w:val="000000" w:themeColor="text1"/>
          <w:sz w:val="24"/>
          <w:szCs w:val="24"/>
          <w:lang w:eastAsia="zh-CN"/>
        </w:rPr>
        <w:t xml:space="preserve"> (CEO/Chairwoman/ president). Interestingly, we also find the moderating role of female board representation on </w:t>
      </w:r>
      <w:r w:rsidR="00A30F4F">
        <w:rPr>
          <w:rFonts w:ascii="Times New Roman" w:eastAsia="DengXian" w:hAnsi="Times New Roman" w:cs="Times New Roman"/>
          <w:color w:val="000000" w:themeColor="text1"/>
          <w:sz w:val="24"/>
          <w:szCs w:val="24"/>
          <w:lang w:eastAsia="zh-CN"/>
        </w:rPr>
        <w:t>small banks' risk culture and risk-taking behaviour</w:t>
      </w:r>
      <w:r w:rsidRPr="00880312">
        <w:rPr>
          <w:rFonts w:ascii="Times New Roman" w:eastAsia="DengXian" w:hAnsi="Times New Roman" w:cs="Times New Roman"/>
          <w:color w:val="000000" w:themeColor="text1"/>
          <w:sz w:val="24"/>
          <w:szCs w:val="24"/>
          <w:lang w:eastAsia="zh-CN"/>
        </w:rPr>
        <w:t>. While</w:t>
      </w:r>
      <w:r w:rsidR="00A30F4F">
        <w:rPr>
          <w:rFonts w:ascii="Times New Roman" w:eastAsia="DengXian" w:hAnsi="Times New Roman" w:cs="Times New Roman"/>
          <w:color w:val="000000" w:themeColor="text1"/>
          <w:sz w:val="24"/>
          <w:szCs w:val="24"/>
          <w:lang w:eastAsia="zh-CN"/>
        </w:rPr>
        <w:t xml:space="preserve"> recent reforms encourage the appointment of more female directors on boards of larger banks, our results highlight the benefit of gender-diverse boards for small and medium-sized banks. Although small and medium-sized banks are not as relevant for the financial stability of the banking system, they do play an essential role in building trust and confidence in the financial system. </w:t>
      </w:r>
      <w:r w:rsidRPr="00880312">
        <w:rPr>
          <w:rFonts w:ascii="Times New Roman" w:eastAsia="DengXian" w:hAnsi="Times New Roman" w:cs="Times New Roman"/>
          <w:color w:val="000000" w:themeColor="text1"/>
          <w:sz w:val="24"/>
          <w:szCs w:val="24"/>
          <w:lang w:eastAsia="zh-CN"/>
        </w:rPr>
        <w:t xml:space="preserve"> </w:t>
      </w:r>
    </w:p>
    <w:p w14:paraId="74D6E684" w14:textId="519F8CC1" w:rsidR="00880312" w:rsidRP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Overall, our </w:t>
      </w:r>
      <w:r w:rsidR="001C5A8D" w:rsidRPr="00880312">
        <w:rPr>
          <w:rFonts w:ascii="Times New Roman" w:eastAsia="DengXian" w:hAnsi="Times New Roman" w:cs="Times New Roman"/>
          <w:color w:val="000000" w:themeColor="text1"/>
          <w:sz w:val="24"/>
          <w:szCs w:val="24"/>
          <w:lang w:eastAsia="zh-CN"/>
        </w:rPr>
        <w:t>results</w:t>
      </w:r>
      <w:r w:rsidRPr="00880312">
        <w:rPr>
          <w:rFonts w:ascii="Times New Roman" w:eastAsia="DengXian" w:hAnsi="Times New Roman" w:cs="Times New Roman"/>
          <w:color w:val="000000" w:themeColor="text1"/>
          <w:sz w:val="24"/>
          <w:szCs w:val="24"/>
          <w:lang w:eastAsia="zh-CN"/>
        </w:rPr>
        <w:t xml:space="preserve"> support the </w:t>
      </w:r>
      <w:r w:rsidR="001C5A8D" w:rsidRPr="00880312">
        <w:rPr>
          <w:rFonts w:ascii="Times New Roman" w:eastAsia="DengXian" w:hAnsi="Times New Roman" w:cs="Times New Roman"/>
          <w:color w:val="000000" w:themeColor="text1"/>
          <w:sz w:val="24"/>
          <w:szCs w:val="24"/>
          <w:lang w:eastAsia="zh-CN"/>
        </w:rPr>
        <w:t>belief</w:t>
      </w:r>
      <w:r w:rsidRPr="00880312">
        <w:rPr>
          <w:rFonts w:ascii="Times New Roman" w:eastAsia="DengXian" w:hAnsi="Times New Roman" w:cs="Times New Roman"/>
          <w:color w:val="000000" w:themeColor="text1"/>
          <w:sz w:val="24"/>
          <w:szCs w:val="24"/>
          <w:lang w:eastAsia="zh-CN"/>
        </w:rPr>
        <w:t xml:space="preserve"> that gender</w:t>
      </w:r>
      <w:r w:rsidR="001C5A8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divers</w:t>
      </w:r>
      <w:r w:rsidR="001C5A8D">
        <w:rPr>
          <w:rFonts w:ascii="Times New Roman" w:eastAsia="DengXian" w:hAnsi="Times New Roman" w:cs="Times New Roman"/>
          <w:color w:val="000000" w:themeColor="text1"/>
          <w:sz w:val="24"/>
          <w:szCs w:val="24"/>
          <w:lang w:eastAsia="zh-CN"/>
        </w:rPr>
        <w:t>e boards</w:t>
      </w:r>
      <w:r w:rsidRPr="00880312">
        <w:rPr>
          <w:rFonts w:ascii="Times New Roman" w:eastAsia="DengXian" w:hAnsi="Times New Roman" w:cs="Times New Roman"/>
          <w:color w:val="000000" w:themeColor="text1"/>
          <w:sz w:val="24"/>
          <w:szCs w:val="24"/>
          <w:lang w:eastAsia="zh-CN"/>
        </w:rPr>
        <w:t xml:space="preserve"> </w:t>
      </w:r>
      <w:r w:rsidR="00A30F4F">
        <w:rPr>
          <w:rFonts w:ascii="Times New Roman" w:eastAsia="DengXian" w:hAnsi="Times New Roman" w:cs="Times New Roman"/>
          <w:color w:val="000000" w:themeColor="text1"/>
          <w:sz w:val="24"/>
          <w:szCs w:val="24"/>
          <w:lang w:eastAsia="zh-CN"/>
        </w:rPr>
        <w:t xml:space="preserve">significantly </w:t>
      </w:r>
      <w:r w:rsidR="001C5A8D">
        <w:rPr>
          <w:rFonts w:ascii="Times New Roman" w:eastAsia="DengXian" w:hAnsi="Times New Roman" w:cs="Times New Roman"/>
          <w:color w:val="000000" w:themeColor="text1"/>
          <w:sz w:val="24"/>
          <w:szCs w:val="24"/>
          <w:lang w:eastAsia="zh-CN"/>
        </w:rPr>
        <w:t>influence</w:t>
      </w:r>
      <w:r w:rsidRPr="00880312">
        <w:rPr>
          <w:rFonts w:ascii="Times New Roman" w:eastAsia="DengXian" w:hAnsi="Times New Roman" w:cs="Times New Roman"/>
          <w:color w:val="000000" w:themeColor="text1"/>
          <w:sz w:val="24"/>
          <w:szCs w:val="24"/>
          <w:lang w:eastAsia="zh-CN"/>
        </w:rPr>
        <w:t xml:space="preserve"> business ethics</w:t>
      </w:r>
      <w:r w:rsidR="001C5A8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i.e</w:t>
      </w:r>
      <w:r w:rsidR="00A30F4F">
        <w:rPr>
          <w:rFonts w:ascii="Times New Roman" w:eastAsia="DengXian" w:hAnsi="Times New Roman" w:cs="Times New Roman"/>
          <w:color w:val="000000" w:themeColor="text1"/>
          <w:sz w:val="24"/>
          <w:szCs w:val="24"/>
          <w:lang w:eastAsia="zh-CN"/>
        </w:rPr>
        <w:t>.</w:t>
      </w:r>
      <w:r w:rsidR="001C5A8D">
        <w:rPr>
          <w:rFonts w:ascii="Times New Roman" w:eastAsia="DengXian" w:hAnsi="Times New Roman" w:cs="Times New Roman"/>
          <w:color w:val="000000" w:themeColor="text1"/>
          <w:sz w:val="24"/>
          <w:szCs w:val="24"/>
          <w:lang w:eastAsia="zh-CN"/>
        </w:rPr>
        <w:t>,</w:t>
      </w:r>
      <w:r w:rsidRPr="00880312">
        <w:rPr>
          <w:rFonts w:ascii="Times New Roman" w:eastAsia="DengXian" w:hAnsi="Times New Roman" w:cs="Times New Roman"/>
          <w:color w:val="000000" w:themeColor="text1"/>
          <w:sz w:val="24"/>
          <w:szCs w:val="24"/>
          <w:lang w:eastAsia="zh-CN"/>
        </w:rPr>
        <w:t xml:space="preserve"> </w:t>
      </w:r>
      <w:r w:rsidR="001C5A8D">
        <w:rPr>
          <w:rFonts w:ascii="Times New Roman" w:eastAsia="DengXian" w:hAnsi="Times New Roman" w:cs="Times New Roman"/>
          <w:color w:val="000000" w:themeColor="text1"/>
          <w:sz w:val="24"/>
          <w:szCs w:val="24"/>
          <w:lang w:eastAsia="zh-CN"/>
        </w:rPr>
        <w:t xml:space="preserve">female representation on boards </w:t>
      </w:r>
      <w:r w:rsidR="001C5A8D" w:rsidRPr="00880312">
        <w:rPr>
          <w:rFonts w:ascii="Times New Roman" w:eastAsia="DengXian" w:hAnsi="Times New Roman" w:cs="Times New Roman"/>
          <w:color w:val="000000" w:themeColor="text1"/>
          <w:sz w:val="24"/>
          <w:szCs w:val="24"/>
          <w:lang w:eastAsia="zh-CN"/>
        </w:rPr>
        <w:t>enhances</w:t>
      </w:r>
      <w:r w:rsidRPr="00880312">
        <w:rPr>
          <w:rFonts w:ascii="Times New Roman" w:eastAsia="DengXian" w:hAnsi="Times New Roman" w:cs="Times New Roman"/>
          <w:color w:val="000000" w:themeColor="text1"/>
          <w:sz w:val="24"/>
          <w:szCs w:val="24"/>
          <w:lang w:eastAsia="zh-CN"/>
        </w:rPr>
        <w:t xml:space="preserve"> bank </w:t>
      </w:r>
      <w:r w:rsidR="001C5A8D">
        <w:rPr>
          <w:rFonts w:ascii="Times New Roman" w:eastAsia="DengXian" w:hAnsi="Times New Roman" w:cs="Times New Roman"/>
          <w:color w:val="000000" w:themeColor="text1"/>
          <w:sz w:val="24"/>
          <w:szCs w:val="24"/>
          <w:lang w:eastAsia="zh-CN"/>
        </w:rPr>
        <w:t xml:space="preserve">risk </w:t>
      </w:r>
      <w:r w:rsidRPr="00880312">
        <w:rPr>
          <w:rFonts w:ascii="Times New Roman" w:eastAsia="DengXian" w:hAnsi="Times New Roman" w:cs="Times New Roman"/>
          <w:color w:val="000000" w:themeColor="text1"/>
          <w:sz w:val="24"/>
          <w:szCs w:val="24"/>
          <w:lang w:eastAsia="zh-CN"/>
        </w:rPr>
        <w:t>culture</w:t>
      </w:r>
      <w:r w:rsidR="001C5A8D">
        <w:rPr>
          <w:rFonts w:ascii="Times New Roman" w:eastAsia="DengXian" w:hAnsi="Times New Roman" w:cs="Times New Roman"/>
          <w:color w:val="000000" w:themeColor="text1"/>
          <w:sz w:val="24"/>
          <w:szCs w:val="24"/>
          <w:lang w:eastAsia="zh-CN"/>
        </w:rPr>
        <w:t>, resulting in lower bank risk.</w:t>
      </w:r>
      <w:r w:rsidRPr="00880312">
        <w:rPr>
          <w:rFonts w:ascii="Times New Roman" w:eastAsia="DengXian" w:hAnsi="Times New Roman" w:cs="Times New Roman"/>
          <w:b/>
          <w:bCs/>
          <w:color w:val="000000" w:themeColor="text1"/>
          <w:sz w:val="24"/>
          <w:szCs w:val="24"/>
          <w:lang w:eastAsia="zh-CN"/>
        </w:rPr>
        <w:t xml:space="preserve"> </w:t>
      </w:r>
      <w:r w:rsidRPr="00880312">
        <w:rPr>
          <w:rFonts w:ascii="Times New Roman" w:eastAsia="DengXian" w:hAnsi="Times New Roman" w:cs="Times New Roman"/>
          <w:color w:val="000000" w:themeColor="text1"/>
          <w:sz w:val="24"/>
          <w:szCs w:val="24"/>
          <w:lang w:eastAsia="zh-CN"/>
        </w:rPr>
        <w:t xml:space="preserve">These results </w:t>
      </w:r>
      <w:r w:rsidR="001C5A8D" w:rsidRPr="00880312">
        <w:rPr>
          <w:rFonts w:ascii="Times New Roman" w:eastAsia="DengXian" w:hAnsi="Times New Roman" w:cs="Times New Roman"/>
          <w:color w:val="000000" w:themeColor="text1"/>
          <w:sz w:val="24"/>
          <w:szCs w:val="24"/>
          <w:lang w:eastAsia="zh-CN"/>
        </w:rPr>
        <w:t>appear</w:t>
      </w:r>
      <w:r w:rsidRPr="00880312">
        <w:rPr>
          <w:rFonts w:ascii="Times New Roman" w:eastAsia="DengXian" w:hAnsi="Times New Roman" w:cs="Times New Roman"/>
          <w:color w:val="000000" w:themeColor="text1"/>
          <w:sz w:val="24"/>
          <w:szCs w:val="24"/>
          <w:lang w:eastAsia="zh-CN"/>
        </w:rPr>
        <w:t xml:space="preserve"> to </w:t>
      </w:r>
      <w:r w:rsidR="001C5A8D" w:rsidRPr="00880312">
        <w:rPr>
          <w:rFonts w:ascii="Times New Roman" w:eastAsia="DengXian" w:hAnsi="Times New Roman" w:cs="Times New Roman"/>
          <w:color w:val="000000" w:themeColor="text1"/>
          <w:sz w:val="24"/>
          <w:szCs w:val="24"/>
          <w:lang w:eastAsia="zh-CN"/>
        </w:rPr>
        <w:t>strengthen</w:t>
      </w:r>
      <w:r w:rsidRPr="00880312">
        <w:rPr>
          <w:rFonts w:ascii="Times New Roman" w:eastAsia="DengXian" w:hAnsi="Times New Roman" w:cs="Times New Roman"/>
          <w:color w:val="000000" w:themeColor="text1"/>
          <w:sz w:val="24"/>
          <w:szCs w:val="24"/>
          <w:lang w:eastAsia="zh-CN"/>
        </w:rPr>
        <w:t xml:space="preserve"> the </w:t>
      </w:r>
      <w:r w:rsidR="001C5A8D">
        <w:rPr>
          <w:rFonts w:ascii="Times New Roman" w:eastAsia="DengXian" w:hAnsi="Times New Roman" w:cs="Times New Roman"/>
          <w:color w:val="000000" w:themeColor="text1"/>
          <w:sz w:val="24"/>
          <w:szCs w:val="24"/>
          <w:lang w:eastAsia="zh-CN"/>
        </w:rPr>
        <w:t>view</w:t>
      </w:r>
      <w:r w:rsidRPr="00880312">
        <w:rPr>
          <w:rFonts w:ascii="Times New Roman" w:eastAsia="DengXian" w:hAnsi="Times New Roman" w:cs="Times New Roman"/>
          <w:color w:val="000000" w:themeColor="text1"/>
          <w:sz w:val="24"/>
          <w:szCs w:val="24"/>
          <w:lang w:eastAsia="zh-CN"/>
        </w:rPr>
        <w:t xml:space="preserve"> that increased gender diversity helps minimize the risk by helping to foster a better corporate culture. </w:t>
      </w:r>
    </w:p>
    <w:p w14:paraId="762AD1CF" w14:textId="19266ED4" w:rsidR="00880312" w:rsidRDefault="00880312">
      <w:pPr>
        <w:spacing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The findings of this study serve as a justification to point the attention of regulators to mak</w:t>
      </w:r>
      <w:r w:rsidR="00963CA8">
        <w:rPr>
          <w:rFonts w:ascii="Times New Roman" w:eastAsia="DengXian" w:hAnsi="Times New Roman" w:cs="Times New Roman"/>
          <w:color w:val="000000" w:themeColor="text1"/>
          <w:sz w:val="24"/>
          <w:szCs w:val="24"/>
          <w:lang w:eastAsia="zh-CN"/>
        </w:rPr>
        <w:t>ing</w:t>
      </w:r>
      <w:r w:rsidRPr="00880312">
        <w:rPr>
          <w:rFonts w:ascii="Times New Roman" w:eastAsia="DengXian" w:hAnsi="Times New Roman" w:cs="Times New Roman"/>
          <w:color w:val="000000" w:themeColor="text1"/>
          <w:sz w:val="24"/>
          <w:szCs w:val="24"/>
          <w:lang w:eastAsia="zh-CN"/>
        </w:rPr>
        <w:t xml:space="preserve"> corporate culture their regulatory priority. It is hoped that this work will lead to a better understanding of how corporate culture in the financial sector can influence </w:t>
      </w:r>
      <w:r w:rsidR="004A3473">
        <w:rPr>
          <w:rFonts w:ascii="Times New Roman" w:eastAsia="DengXian" w:hAnsi="Times New Roman" w:cs="Times New Roman"/>
          <w:color w:val="000000" w:themeColor="text1"/>
          <w:sz w:val="24"/>
          <w:szCs w:val="24"/>
          <w:lang w:eastAsia="zh-CN"/>
        </w:rPr>
        <w:t>financial institutions' risk-taking behaviour and</w:t>
      </w:r>
      <w:r w:rsidRPr="00880312">
        <w:rPr>
          <w:rFonts w:ascii="Times New Roman" w:eastAsia="DengXian" w:hAnsi="Times New Roman" w:cs="Times New Roman"/>
          <w:color w:val="000000" w:themeColor="text1"/>
          <w:sz w:val="24"/>
          <w:szCs w:val="24"/>
          <w:lang w:eastAsia="zh-CN"/>
        </w:rPr>
        <w:t xml:space="preserve"> overall financial stability. It is </w:t>
      </w:r>
      <w:r w:rsidR="004A3473">
        <w:rPr>
          <w:rFonts w:ascii="Times New Roman" w:eastAsia="DengXian" w:hAnsi="Times New Roman" w:cs="Times New Roman"/>
          <w:color w:val="000000" w:themeColor="text1"/>
          <w:sz w:val="24"/>
          <w:szCs w:val="24"/>
          <w:lang w:eastAsia="zh-CN"/>
        </w:rPr>
        <w:t>challenging</w:t>
      </w:r>
      <w:r w:rsidRPr="00880312">
        <w:rPr>
          <w:rFonts w:ascii="Times New Roman" w:eastAsia="DengXian" w:hAnsi="Times New Roman" w:cs="Times New Roman"/>
          <w:color w:val="000000" w:themeColor="text1"/>
          <w:sz w:val="24"/>
          <w:szCs w:val="24"/>
          <w:lang w:eastAsia="zh-CN"/>
        </w:rPr>
        <w:t xml:space="preserve"> for bank regulators to </w:t>
      </w:r>
      <w:r w:rsidR="00B42EA7" w:rsidRPr="00880312">
        <w:rPr>
          <w:rFonts w:ascii="Times New Roman" w:eastAsia="DengXian" w:hAnsi="Times New Roman" w:cs="Times New Roman"/>
          <w:color w:val="000000" w:themeColor="text1"/>
          <w:sz w:val="24"/>
          <w:szCs w:val="24"/>
          <w:lang w:eastAsia="zh-CN"/>
        </w:rPr>
        <w:t xml:space="preserve">make </w:t>
      </w:r>
      <w:r w:rsidRPr="00880312">
        <w:rPr>
          <w:rFonts w:ascii="Times New Roman" w:eastAsia="DengXian" w:hAnsi="Times New Roman" w:cs="Times New Roman"/>
          <w:color w:val="000000" w:themeColor="text1"/>
          <w:sz w:val="24"/>
          <w:szCs w:val="24"/>
          <w:lang w:eastAsia="zh-CN"/>
        </w:rPr>
        <w:t xml:space="preserve">risk culture </w:t>
      </w:r>
      <w:r w:rsidR="00E57EB8" w:rsidRPr="00880312">
        <w:rPr>
          <w:rFonts w:ascii="Times New Roman" w:eastAsia="DengXian" w:hAnsi="Times New Roman" w:cs="Times New Roman"/>
          <w:color w:val="000000" w:themeColor="text1"/>
          <w:sz w:val="24"/>
          <w:szCs w:val="24"/>
          <w:lang w:eastAsia="zh-CN"/>
        </w:rPr>
        <w:t>a regulatory</w:t>
      </w:r>
      <w:r w:rsidRPr="00880312">
        <w:rPr>
          <w:rFonts w:ascii="Times New Roman" w:eastAsia="DengXian" w:hAnsi="Times New Roman" w:cs="Times New Roman"/>
          <w:color w:val="000000" w:themeColor="text1"/>
          <w:sz w:val="24"/>
          <w:szCs w:val="24"/>
          <w:lang w:eastAsia="zh-CN"/>
        </w:rPr>
        <w:t xml:space="preserve"> policy because of difficulties measuring culture. This study makes </w:t>
      </w:r>
      <w:r w:rsidR="004A3473">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 xml:space="preserve">methodological contribution by providing evidence that risk culture is quantifiable and makes </w:t>
      </w:r>
      <w:r w:rsidR="004A3473">
        <w:rPr>
          <w:rFonts w:ascii="Times New Roman" w:eastAsia="DengXian" w:hAnsi="Times New Roman" w:cs="Times New Roman"/>
          <w:color w:val="000000" w:themeColor="text1"/>
          <w:sz w:val="24"/>
          <w:szCs w:val="24"/>
          <w:lang w:eastAsia="zh-CN"/>
        </w:rPr>
        <w:t xml:space="preserve">a </w:t>
      </w:r>
      <w:r w:rsidRPr="00880312">
        <w:rPr>
          <w:rFonts w:ascii="Times New Roman" w:eastAsia="DengXian" w:hAnsi="Times New Roman" w:cs="Times New Roman"/>
          <w:color w:val="000000" w:themeColor="text1"/>
          <w:sz w:val="24"/>
          <w:szCs w:val="24"/>
          <w:lang w:eastAsia="zh-CN"/>
        </w:rPr>
        <w:t xml:space="preserve">theoretical contribution by finding that governance structures like board gender diversity can </w:t>
      </w:r>
      <w:r w:rsidR="004A3473">
        <w:rPr>
          <w:rFonts w:ascii="Times New Roman" w:eastAsia="DengXian" w:hAnsi="Times New Roman" w:cs="Times New Roman"/>
          <w:color w:val="000000" w:themeColor="text1"/>
          <w:sz w:val="24"/>
          <w:szCs w:val="24"/>
          <w:lang w:eastAsia="zh-CN"/>
        </w:rPr>
        <w:t>influence bank culture that</w:t>
      </w:r>
      <w:r w:rsidRPr="00880312">
        <w:rPr>
          <w:rFonts w:ascii="Times New Roman" w:eastAsia="DengXian" w:hAnsi="Times New Roman" w:cs="Times New Roman"/>
          <w:color w:val="000000" w:themeColor="text1"/>
          <w:sz w:val="24"/>
          <w:szCs w:val="24"/>
          <w:lang w:eastAsia="zh-CN"/>
        </w:rPr>
        <w:t xml:space="preserve"> influences </w:t>
      </w:r>
      <w:r w:rsidR="004A3473">
        <w:rPr>
          <w:rFonts w:ascii="Times New Roman" w:eastAsia="DengXian" w:hAnsi="Times New Roman" w:cs="Times New Roman"/>
          <w:color w:val="000000" w:themeColor="text1"/>
          <w:sz w:val="24"/>
          <w:szCs w:val="24"/>
          <w:lang w:eastAsia="zh-CN"/>
        </w:rPr>
        <w:t>banks' risk-taking behaviour</w:t>
      </w:r>
      <w:r w:rsidRPr="00880312">
        <w:rPr>
          <w:rFonts w:ascii="Times New Roman" w:eastAsia="DengXian" w:hAnsi="Times New Roman" w:cs="Times New Roman"/>
          <w:color w:val="000000" w:themeColor="text1"/>
          <w:sz w:val="24"/>
          <w:szCs w:val="24"/>
          <w:lang w:eastAsia="zh-CN"/>
        </w:rPr>
        <w:t xml:space="preserve">. These findings imply that the disconnected regulatory responses around governance and culture may not be sufficient to curb a bank's excessive risk. This study provides evidence that policymakers should take a holistic approach to risk management in financial institutions by looking at the combined impact of governance structures (board gender diversity) and culture on risk. </w:t>
      </w:r>
    </w:p>
    <w:p w14:paraId="1B3B1F41" w14:textId="77777777" w:rsidR="00EE2013" w:rsidRPr="00EE2013" w:rsidRDefault="00EE2013" w:rsidP="00EE2013">
      <w:pPr>
        <w:spacing w:line="480" w:lineRule="auto"/>
        <w:jc w:val="both"/>
        <w:rPr>
          <w:rFonts w:ascii="Times New Roman" w:eastAsia="DengXian" w:hAnsi="Times New Roman" w:cs="Times New Roman"/>
          <w:sz w:val="24"/>
          <w:szCs w:val="24"/>
          <w:lang w:eastAsia="zh-CN"/>
        </w:rPr>
      </w:pPr>
      <w:r w:rsidRPr="00EE2013">
        <w:rPr>
          <w:rFonts w:ascii="Times New Roman" w:eastAsia="DengXian" w:hAnsi="Times New Roman" w:cs="Times New Roman"/>
          <w:sz w:val="24"/>
          <w:szCs w:val="24"/>
          <w:lang w:eastAsia="zh-CN"/>
        </w:rPr>
        <w:t xml:space="preserve">This research has some important implications for managers, supervisors, and investors. We suggest that it is essential for managers to pay attention to the risk culture prevailing in their organizations, as it can enhance the effectiveness of existing governance and risk practices in use. An interesting implication of our result is that as competition gets more challenging in the banking industry, banks will be inclined to adopt the growth-oriented culture, increasing bank risk-taking. Thus, understanding the culture channel may help supervisors and managers better identify the banks' risk-taking behaviour drivers that could lead to financial stability. For regulators and investors, this research provides evidence that board composition (gender-diverse boards) is likely to be a relevant issue for creating an ethical culture in companies.  </w:t>
      </w:r>
    </w:p>
    <w:p w14:paraId="63BFEB0F" w14:textId="277C1489" w:rsid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r w:rsidRPr="00880312">
        <w:rPr>
          <w:rFonts w:ascii="Times New Roman" w:eastAsia="DengXian" w:hAnsi="Times New Roman" w:cs="Times New Roman"/>
          <w:color w:val="000000" w:themeColor="text1"/>
          <w:sz w:val="24"/>
          <w:szCs w:val="24"/>
          <w:lang w:eastAsia="zh-CN"/>
        </w:rPr>
        <w:t xml:space="preserve">Although the current study emphasizes the importance of the relationship between bank culture and risk, the study does not link bank culture to </w:t>
      </w:r>
      <w:r w:rsidR="00963CA8">
        <w:rPr>
          <w:rFonts w:ascii="Times New Roman" w:eastAsia="DengXian" w:hAnsi="Times New Roman" w:cs="Times New Roman"/>
          <w:color w:val="000000" w:themeColor="text1"/>
          <w:sz w:val="24"/>
          <w:szCs w:val="24"/>
          <w:lang w:eastAsia="zh-CN"/>
        </w:rPr>
        <w:t>broa</w:t>
      </w:r>
      <w:r w:rsidRPr="00880312">
        <w:rPr>
          <w:rFonts w:ascii="Times New Roman" w:eastAsia="DengXian" w:hAnsi="Times New Roman" w:cs="Times New Roman"/>
          <w:color w:val="000000" w:themeColor="text1"/>
          <w:sz w:val="24"/>
          <w:szCs w:val="24"/>
          <w:lang w:eastAsia="zh-CN"/>
        </w:rPr>
        <w:t xml:space="preserve">der economic </w:t>
      </w:r>
      <w:r w:rsidR="00963CA8">
        <w:rPr>
          <w:rFonts w:ascii="Times New Roman" w:eastAsia="DengXian" w:hAnsi="Times New Roman" w:cs="Times New Roman"/>
          <w:color w:val="000000" w:themeColor="text1"/>
          <w:sz w:val="24"/>
          <w:szCs w:val="24"/>
          <w:lang w:eastAsia="zh-CN"/>
        </w:rPr>
        <w:t xml:space="preserve">and social </w:t>
      </w:r>
      <w:r w:rsidRPr="00880312">
        <w:rPr>
          <w:rFonts w:ascii="Times New Roman" w:eastAsia="DengXian" w:hAnsi="Times New Roman" w:cs="Times New Roman"/>
          <w:color w:val="000000" w:themeColor="text1"/>
          <w:sz w:val="24"/>
          <w:szCs w:val="24"/>
          <w:lang w:eastAsia="zh-CN"/>
        </w:rPr>
        <w:t xml:space="preserve">consequences. Thus, there is a potential for future researchers to investigate the impact of bank culture on </w:t>
      </w:r>
      <w:r w:rsidR="00963CA8">
        <w:rPr>
          <w:rFonts w:ascii="Times New Roman" w:eastAsia="DengXian" w:hAnsi="Times New Roman" w:cs="Times New Roman"/>
          <w:color w:val="000000" w:themeColor="text1"/>
          <w:sz w:val="24"/>
          <w:szCs w:val="24"/>
          <w:lang w:eastAsia="zh-CN"/>
        </w:rPr>
        <w:t>these broader issues</w:t>
      </w:r>
      <w:r w:rsidRPr="00880312">
        <w:rPr>
          <w:rFonts w:ascii="Times New Roman" w:eastAsia="DengXian" w:hAnsi="Times New Roman" w:cs="Times New Roman"/>
          <w:color w:val="000000" w:themeColor="text1"/>
          <w:sz w:val="24"/>
          <w:szCs w:val="24"/>
          <w:lang w:eastAsia="zh-CN"/>
        </w:rPr>
        <w:t xml:space="preserve">. Finally, although the current study has addressed the problem of endogeneity of certain variables of interest; however, there </w:t>
      </w:r>
      <w:r w:rsidR="00963CA8">
        <w:rPr>
          <w:rFonts w:ascii="Times New Roman" w:eastAsia="DengXian" w:hAnsi="Times New Roman" w:cs="Times New Roman"/>
          <w:color w:val="000000" w:themeColor="text1"/>
          <w:sz w:val="24"/>
          <w:szCs w:val="24"/>
          <w:lang w:eastAsia="zh-CN"/>
        </w:rPr>
        <w:t>could</w:t>
      </w:r>
      <w:r w:rsidRPr="00880312">
        <w:rPr>
          <w:rFonts w:ascii="Times New Roman" w:eastAsia="DengXian" w:hAnsi="Times New Roman" w:cs="Times New Roman"/>
          <w:color w:val="000000" w:themeColor="text1"/>
          <w:sz w:val="24"/>
          <w:szCs w:val="24"/>
          <w:lang w:eastAsia="zh-CN"/>
        </w:rPr>
        <w:t xml:space="preserve"> still be some potential for endogeneity due to the nature of independent variables involved in the study.   </w:t>
      </w:r>
    </w:p>
    <w:p w14:paraId="20AFE4FD" w14:textId="77777777" w:rsidR="00880312" w:rsidRDefault="00880312">
      <w:pPr>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br w:type="page"/>
      </w:r>
    </w:p>
    <w:p w14:paraId="0E1CBA24" w14:textId="02C42CA7" w:rsidR="00A450E8" w:rsidRPr="00963CA8" w:rsidRDefault="00880312" w:rsidP="00A450E8">
      <w:pPr>
        <w:spacing w:after="0" w:line="480" w:lineRule="auto"/>
        <w:jc w:val="center"/>
        <w:rPr>
          <w:rFonts w:ascii="Times New Roman" w:eastAsia="DengXian" w:hAnsi="Times New Roman" w:cs="Times New Roman"/>
          <w:b/>
          <w:bCs/>
          <w:color w:val="000000" w:themeColor="text1"/>
          <w:sz w:val="36"/>
          <w:szCs w:val="36"/>
          <w:lang w:eastAsia="zh-CN"/>
        </w:rPr>
      </w:pPr>
      <w:r w:rsidRPr="00963CA8">
        <w:rPr>
          <w:rFonts w:ascii="Times New Roman" w:eastAsia="DengXian" w:hAnsi="Times New Roman" w:cs="Times New Roman"/>
          <w:b/>
          <w:bCs/>
          <w:color w:val="000000" w:themeColor="text1"/>
          <w:sz w:val="36"/>
          <w:szCs w:val="36"/>
          <w:lang w:eastAsia="zh-CN"/>
        </w:rPr>
        <w:t>References</w:t>
      </w:r>
    </w:p>
    <w:p w14:paraId="2EE009DF" w14:textId="4119397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Adams, R. B. (2016). Women on boards: The superheroes of tomorrow? </w:t>
      </w:r>
      <w:r w:rsidRPr="00A450E8">
        <w:rPr>
          <w:rFonts w:ascii="Times New Roman" w:eastAsia="DengXian" w:hAnsi="Times New Roman" w:cs="Times New Roman"/>
          <w:i/>
          <w:iCs/>
          <w:color w:val="000000" w:themeColor="text1"/>
          <w:sz w:val="24"/>
          <w:szCs w:val="24"/>
          <w:lang w:eastAsia="zh-CN"/>
        </w:rPr>
        <w:t>Leadership Quarterly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27</w:t>
      </w:r>
      <w:r w:rsidRPr="00A450E8">
        <w:rPr>
          <w:rFonts w:ascii="Times New Roman" w:eastAsia="DengXian" w:hAnsi="Times New Roman" w:cs="Times New Roman"/>
          <w:color w:val="000000" w:themeColor="text1"/>
          <w:sz w:val="24"/>
          <w:szCs w:val="24"/>
          <w:lang w:eastAsia="zh-CN"/>
        </w:rPr>
        <w:t xml:space="preserve">(3), 371–386. </w:t>
      </w:r>
    </w:p>
    <w:p w14:paraId="63E78ECB" w14:textId="7FBD6BE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Adams, R. B., &amp; Ferreira, D. (2007). A theory of friendly boards.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62</w:t>
      </w:r>
      <w:r w:rsidRPr="00A450E8">
        <w:rPr>
          <w:rFonts w:ascii="Times New Roman" w:eastAsia="DengXian" w:hAnsi="Times New Roman" w:cs="Times New Roman"/>
          <w:color w:val="000000" w:themeColor="text1"/>
          <w:sz w:val="24"/>
          <w:szCs w:val="24"/>
          <w:lang w:eastAsia="zh-CN"/>
        </w:rPr>
        <w:t xml:space="preserve">(1), 217–250. </w:t>
      </w:r>
    </w:p>
    <w:p w14:paraId="455DF955" w14:textId="20E1848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Adams, R. B., &amp; Ferreira, D. (2009). Women in the boardroom and their impact on governance and performance.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94</w:t>
      </w:r>
      <w:r w:rsidRPr="00A450E8">
        <w:rPr>
          <w:rFonts w:ascii="Times New Roman" w:eastAsia="DengXian" w:hAnsi="Times New Roman" w:cs="Times New Roman"/>
          <w:color w:val="000000" w:themeColor="text1"/>
          <w:sz w:val="24"/>
          <w:szCs w:val="24"/>
          <w:lang w:eastAsia="zh-CN"/>
        </w:rPr>
        <w:t xml:space="preserve">(2), 291–309. </w:t>
      </w:r>
    </w:p>
    <w:p w14:paraId="413307D2" w14:textId="3AA1602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Adams, R. B., &amp; Funk, P. (2012). Beyond the glass ceiling: Does gender matter? </w:t>
      </w:r>
      <w:r w:rsidRPr="00A450E8">
        <w:rPr>
          <w:rFonts w:ascii="Times New Roman" w:eastAsia="DengXian" w:hAnsi="Times New Roman" w:cs="Times New Roman"/>
          <w:i/>
          <w:iCs/>
          <w:color w:val="000000" w:themeColor="text1"/>
          <w:sz w:val="24"/>
          <w:szCs w:val="24"/>
          <w:lang w:eastAsia="zh-CN"/>
        </w:rPr>
        <w:t>Management Science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58</w:t>
      </w:r>
      <w:r w:rsidRPr="00A450E8">
        <w:rPr>
          <w:rFonts w:ascii="Times New Roman" w:eastAsia="DengXian" w:hAnsi="Times New Roman" w:cs="Times New Roman"/>
          <w:color w:val="000000" w:themeColor="text1"/>
          <w:sz w:val="24"/>
          <w:szCs w:val="24"/>
          <w:lang w:eastAsia="zh-CN"/>
        </w:rPr>
        <w:t>(2), 219–235</w:t>
      </w:r>
      <w:r>
        <w:rPr>
          <w:rFonts w:ascii="Times New Roman" w:eastAsia="DengXian" w:hAnsi="Times New Roman" w:cs="Times New Roman"/>
          <w:color w:val="000000" w:themeColor="text1"/>
          <w:sz w:val="24"/>
          <w:szCs w:val="24"/>
          <w:lang w:eastAsia="zh-CN"/>
        </w:rPr>
        <w:t>.</w:t>
      </w:r>
    </w:p>
    <w:p w14:paraId="5DBFEA3D" w14:textId="5BF1BD0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Aebi, V., Sabato, G., &amp; Schmid, M. (2012). Risk management, corporate governance, and bank performance in the financial crisis. </w:t>
      </w:r>
      <w:r w:rsidRPr="00A450E8">
        <w:rPr>
          <w:rFonts w:ascii="Times New Roman" w:eastAsia="DengXian" w:hAnsi="Times New Roman" w:cs="Times New Roman"/>
          <w:i/>
          <w:iCs/>
          <w:color w:val="000000" w:themeColor="text1"/>
          <w:sz w:val="24"/>
          <w:szCs w:val="24"/>
          <w:lang w:eastAsia="zh-CN"/>
        </w:rPr>
        <w:t>Journal of Banking and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36</w:t>
      </w:r>
      <w:r w:rsidRPr="00A450E8">
        <w:rPr>
          <w:rFonts w:ascii="Times New Roman" w:eastAsia="DengXian" w:hAnsi="Times New Roman" w:cs="Times New Roman"/>
          <w:color w:val="000000" w:themeColor="text1"/>
          <w:sz w:val="24"/>
          <w:szCs w:val="24"/>
          <w:lang w:eastAsia="zh-CN"/>
        </w:rPr>
        <w:t xml:space="preserve">(12), 3213–3226. </w:t>
      </w:r>
    </w:p>
    <w:p w14:paraId="268A1608" w14:textId="63EED7F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Ahern, K. R., &amp; Dittmar, A. K. (2012). The changing of the boards: The impact on firm valuation of mandated female board representation. </w:t>
      </w:r>
      <w:r w:rsidRPr="00A450E8">
        <w:rPr>
          <w:rFonts w:ascii="Times New Roman" w:eastAsia="DengXian" w:hAnsi="Times New Roman" w:cs="Times New Roman"/>
          <w:i/>
          <w:iCs/>
          <w:color w:val="000000" w:themeColor="text1"/>
          <w:sz w:val="24"/>
          <w:szCs w:val="24"/>
          <w:lang w:eastAsia="zh-CN"/>
        </w:rPr>
        <w:t>Quarterly Journal of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127</w:t>
      </w:r>
      <w:r w:rsidRPr="00A450E8">
        <w:rPr>
          <w:rFonts w:ascii="Times New Roman" w:eastAsia="DengXian" w:hAnsi="Times New Roman" w:cs="Times New Roman"/>
          <w:color w:val="000000" w:themeColor="text1"/>
          <w:sz w:val="24"/>
          <w:szCs w:val="24"/>
          <w:lang w:eastAsia="zh-CN"/>
        </w:rPr>
        <w:t xml:space="preserve">(1), 137–197. </w:t>
      </w:r>
    </w:p>
    <w:p w14:paraId="1A7BEBA7" w14:textId="766F456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Algan, Y., Hémet, C., &amp; Laitin, D. D. (2016). The social effects of ethnic diversity at the local level: A natural experiment with exogenous residential allocation. </w:t>
      </w:r>
      <w:r w:rsidRPr="00A450E8">
        <w:rPr>
          <w:rFonts w:ascii="Times New Roman" w:eastAsia="DengXian" w:hAnsi="Times New Roman" w:cs="Times New Roman"/>
          <w:i/>
          <w:iCs/>
          <w:color w:val="000000" w:themeColor="text1"/>
          <w:sz w:val="24"/>
          <w:szCs w:val="24"/>
          <w:lang w:eastAsia="zh-CN"/>
        </w:rPr>
        <w:t>Journal of Political Economy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124</w:t>
      </w:r>
      <w:r w:rsidRPr="00A450E8">
        <w:rPr>
          <w:rFonts w:ascii="Times New Roman" w:eastAsia="DengXian" w:hAnsi="Times New Roman" w:cs="Times New Roman"/>
          <w:color w:val="000000" w:themeColor="text1"/>
          <w:sz w:val="24"/>
          <w:szCs w:val="24"/>
          <w:lang w:eastAsia="zh-CN"/>
        </w:rPr>
        <w:t>(3), 696–733</w:t>
      </w:r>
      <w:r>
        <w:rPr>
          <w:rFonts w:ascii="Times New Roman" w:eastAsia="DengXian" w:hAnsi="Times New Roman" w:cs="Times New Roman"/>
          <w:color w:val="000000" w:themeColor="text1"/>
          <w:sz w:val="24"/>
          <w:szCs w:val="24"/>
          <w:lang w:eastAsia="zh-CN"/>
        </w:rPr>
        <w:t>.</w:t>
      </w:r>
    </w:p>
    <w:p w14:paraId="1F0C28BB" w14:textId="22292125"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Andreou, P. C., Harris, T., Philip, D., &amp; Zhang, W. (2020). The OCAI Textual Measure of Organizational Culture: Construct Validation Documentation. </w:t>
      </w:r>
      <w:r w:rsidRPr="00A450E8">
        <w:rPr>
          <w:rFonts w:ascii="Times New Roman" w:eastAsia="DengXian" w:hAnsi="Times New Roman" w:cs="Times New Roman"/>
          <w:i/>
          <w:iCs/>
          <w:color w:val="000000" w:themeColor="text1"/>
          <w:sz w:val="24"/>
          <w:szCs w:val="24"/>
          <w:lang w:eastAsia="zh-CN"/>
        </w:rPr>
        <w:t>SSRN Electronic Journal</w:t>
      </w:r>
      <w:r w:rsidRPr="00A450E8">
        <w:rPr>
          <w:rFonts w:ascii="Times New Roman" w:eastAsia="DengXian" w:hAnsi="Times New Roman" w:cs="Times New Roman"/>
          <w:color w:val="000000" w:themeColor="text1"/>
          <w:sz w:val="24"/>
          <w:szCs w:val="24"/>
          <w:lang w:eastAsia="zh-CN"/>
        </w:rPr>
        <w:t>, 10.2139/ssrn.3625894</w:t>
      </w:r>
    </w:p>
    <w:p w14:paraId="30835737" w14:textId="13EB4EE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Arnaboldi, F., Casu, B., Gallo, A., Kalotychou, E., &amp; Sarkisyan, A. (2021). Gender diversity and bank misconduct.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71</w:t>
      </w:r>
      <w:r>
        <w:rPr>
          <w:rFonts w:ascii="Times New Roman" w:eastAsia="DengXian" w:hAnsi="Times New Roman" w:cs="Times New Roman"/>
          <w:color w:val="000000" w:themeColor="text1"/>
          <w:sz w:val="24"/>
          <w:szCs w:val="24"/>
          <w:lang w:eastAsia="zh-CN"/>
        </w:rPr>
        <w:t>, 1-28</w:t>
      </w:r>
    </w:p>
    <w:p w14:paraId="39B5A52F" w14:textId="25555A7E"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Atif, M., Hossain, M., Alam, M. S., &amp; Goergen, M. (2021). Does board gender diversity affect renewable energy consumption?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66</w:t>
      </w:r>
      <w:r w:rsidRPr="00A450E8">
        <w:rPr>
          <w:rFonts w:ascii="Times New Roman" w:eastAsia="DengXian" w:hAnsi="Times New Roman" w:cs="Times New Roman"/>
          <w:color w:val="000000" w:themeColor="text1"/>
          <w:sz w:val="24"/>
          <w:szCs w:val="24"/>
          <w:lang w:eastAsia="zh-CN"/>
        </w:rPr>
        <w:t>(May</w:t>
      </w:r>
      <w:r>
        <w:rPr>
          <w:rFonts w:ascii="Times New Roman" w:eastAsia="DengXian" w:hAnsi="Times New Roman" w:cs="Times New Roman"/>
          <w:color w:val="000000" w:themeColor="text1"/>
          <w:sz w:val="24"/>
          <w:szCs w:val="24"/>
          <w:lang w:eastAsia="zh-CN"/>
        </w:rPr>
        <w:t>),1-28.</w:t>
      </w:r>
    </w:p>
    <w:p w14:paraId="4CD4A345" w14:textId="7528127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Balasubramanyan, L., Daniel, N. D., Haubrich, J. G., &amp; Naveen, L. (2019). </w:t>
      </w:r>
      <w:r w:rsidRPr="00A450E8">
        <w:rPr>
          <w:rFonts w:ascii="Times New Roman" w:eastAsia="DengXian" w:hAnsi="Times New Roman" w:cs="Times New Roman"/>
          <w:i/>
          <w:iCs/>
          <w:color w:val="000000" w:themeColor="text1"/>
          <w:sz w:val="24"/>
          <w:szCs w:val="24"/>
          <w:lang w:eastAsia="zh-CN"/>
        </w:rPr>
        <w:t>Causal Impact of Risk Oversight Functions on Bank Risk: Evidence from a Natural Experiment</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 xml:space="preserve">SSRN electronic journal, </w:t>
      </w:r>
      <w:r w:rsidRPr="00A450E8">
        <w:rPr>
          <w:rFonts w:ascii="Times New Roman" w:eastAsia="DengXian" w:hAnsi="Times New Roman" w:cs="Times New Roman"/>
          <w:color w:val="000000" w:themeColor="text1"/>
          <w:sz w:val="24"/>
          <w:szCs w:val="24"/>
          <w:lang w:eastAsia="zh-CN"/>
        </w:rPr>
        <w:t>https://ssrn.com/abstract=3320766</w:t>
      </w:r>
    </w:p>
    <w:p w14:paraId="6921B5A7" w14:textId="79FC53F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Barth, A., &amp; Mansouri, S. (2021). Corporate culture and banking. </w:t>
      </w:r>
      <w:r w:rsidRPr="00A450E8">
        <w:rPr>
          <w:rFonts w:ascii="Times New Roman" w:eastAsia="DengXian" w:hAnsi="Times New Roman" w:cs="Times New Roman"/>
          <w:i/>
          <w:iCs/>
          <w:color w:val="000000" w:themeColor="text1"/>
          <w:sz w:val="24"/>
          <w:szCs w:val="24"/>
          <w:lang w:eastAsia="zh-CN"/>
        </w:rPr>
        <w:t>Journal of Economic Behaviour and Organization</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186</w:t>
      </w:r>
      <w:r w:rsidRPr="00A450E8">
        <w:rPr>
          <w:rFonts w:ascii="Times New Roman" w:eastAsia="DengXian" w:hAnsi="Times New Roman" w:cs="Times New Roman"/>
          <w:color w:val="000000" w:themeColor="text1"/>
          <w:sz w:val="24"/>
          <w:szCs w:val="24"/>
          <w:lang w:eastAsia="zh-CN"/>
        </w:rPr>
        <w:t xml:space="preserve">, 46–75. </w:t>
      </w:r>
    </w:p>
    <w:p w14:paraId="4D42C4CC" w14:textId="0549EBAE"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Barth, J. R., Caprio Jr, G., Levine, R., &amp; Kammel, A. J. (2006). Rethinking Bank Regulation-Till Angels Govern. </w:t>
      </w:r>
      <w:r w:rsidRPr="00A450E8">
        <w:rPr>
          <w:rFonts w:ascii="Times New Roman" w:eastAsia="DengXian" w:hAnsi="Times New Roman" w:cs="Times New Roman"/>
          <w:i/>
          <w:iCs/>
          <w:color w:val="000000" w:themeColor="text1"/>
          <w:sz w:val="24"/>
          <w:szCs w:val="24"/>
          <w:lang w:eastAsia="zh-CN"/>
        </w:rPr>
        <w:t>Banking &amp;Finance Law Review</w:t>
      </w:r>
      <w:r w:rsidRPr="00A450E8">
        <w:rPr>
          <w:rFonts w:ascii="Times New Roman" w:eastAsia="DengXian" w:hAnsi="Times New Roman" w:cs="Times New Roman"/>
          <w:color w:val="000000" w:themeColor="text1"/>
          <w:sz w:val="24"/>
          <w:szCs w:val="24"/>
          <w:lang w:eastAsia="zh-CN"/>
        </w:rPr>
        <w:t>, 138–142.</w:t>
      </w:r>
    </w:p>
    <w:p w14:paraId="1584ACFD" w14:textId="602EE98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it-IT" w:eastAsia="zh-CN"/>
        </w:rPr>
        <w:t xml:space="preserve">Beltratti, A., &amp; Stulz, R. M. (2012). </w:t>
      </w:r>
      <w:r w:rsidRPr="00A450E8">
        <w:rPr>
          <w:rFonts w:ascii="Times New Roman" w:eastAsia="DengXian" w:hAnsi="Times New Roman" w:cs="Times New Roman"/>
          <w:color w:val="000000" w:themeColor="text1"/>
          <w:sz w:val="24"/>
          <w:szCs w:val="24"/>
          <w:lang w:eastAsia="zh-CN"/>
        </w:rPr>
        <w:t xml:space="preserve">The credit crisis around the globe: Why did some banks perform better?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105</w:t>
      </w:r>
      <w:r w:rsidRPr="00A450E8">
        <w:rPr>
          <w:rFonts w:ascii="Times New Roman" w:eastAsia="DengXian" w:hAnsi="Times New Roman" w:cs="Times New Roman"/>
          <w:color w:val="000000" w:themeColor="text1"/>
          <w:sz w:val="24"/>
          <w:szCs w:val="24"/>
          <w:lang w:eastAsia="zh-CN"/>
        </w:rPr>
        <w:t xml:space="preserve">(1), 1–17. </w:t>
      </w:r>
    </w:p>
    <w:p w14:paraId="1DED2873" w14:textId="02C29B9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Bennouri, M., Chtioui, T., Nagati, H., &amp; Nekhili, M. (2018). Female board directorship and firm performance: What really matters? </w:t>
      </w:r>
      <w:r w:rsidRPr="00A450E8">
        <w:rPr>
          <w:rFonts w:ascii="Times New Roman" w:eastAsia="DengXian" w:hAnsi="Times New Roman" w:cs="Times New Roman"/>
          <w:i/>
          <w:iCs/>
          <w:color w:val="000000" w:themeColor="text1"/>
          <w:sz w:val="24"/>
          <w:szCs w:val="24"/>
          <w:lang w:eastAsia="zh-CN"/>
        </w:rPr>
        <w:t>Journal of Banking and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88</w:t>
      </w:r>
      <w:r w:rsidRPr="00A450E8">
        <w:rPr>
          <w:rFonts w:ascii="Times New Roman" w:eastAsia="DengXian" w:hAnsi="Times New Roman" w:cs="Times New Roman"/>
          <w:color w:val="000000" w:themeColor="text1"/>
          <w:sz w:val="24"/>
          <w:szCs w:val="24"/>
          <w:lang w:eastAsia="zh-CN"/>
        </w:rPr>
        <w:t xml:space="preserve">, 267–291. </w:t>
      </w:r>
    </w:p>
    <w:p w14:paraId="2E3582A5" w14:textId="1D59E0B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Berger, A. N., Kick, T., &amp; Schaeck, K. (2014). Executive board composition and bank risk taking.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28</w:t>
      </w:r>
      <w:r w:rsidRPr="00A450E8">
        <w:rPr>
          <w:rFonts w:ascii="Times New Roman" w:eastAsia="DengXian" w:hAnsi="Times New Roman" w:cs="Times New Roman"/>
          <w:color w:val="000000" w:themeColor="text1"/>
          <w:sz w:val="24"/>
          <w:szCs w:val="24"/>
          <w:lang w:eastAsia="zh-CN"/>
        </w:rPr>
        <w:t xml:space="preserve">, 48–65. </w:t>
      </w:r>
    </w:p>
    <w:p w14:paraId="55E1B6A0" w14:textId="1C0D77E9"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Bernile, G., Bhagwat, V., &amp; Yonker, S. (2018). Board diversity, firm risk, and corporate policies.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127</w:t>
      </w:r>
      <w:r w:rsidRPr="00A450E8">
        <w:rPr>
          <w:rFonts w:ascii="Times New Roman" w:eastAsia="DengXian" w:hAnsi="Times New Roman" w:cs="Times New Roman"/>
          <w:color w:val="000000" w:themeColor="text1"/>
          <w:sz w:val="24"/>
          <w:szCs w:val="24"/>
          <w:lang w:eastAsia="zh-CN"/>
        </w:rPr>
        <w:t xml:space="preserve">(3), 588–612. </w:t>
      </w:r>
    </w:p>
    <w:p w14:paraId="4F280B4A" w14:textId="4BBDF36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Bertrand, M., &amp; Schoar, A. (2003). Managing with style: The effect of managers on firm policies.</w:t>
      </w:r>
      <w:r>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Quarterly Journal of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118</w:t>
      </w:r>
      <w:r w:rsidRPr="00A450E8">
        <w:rPr>
          <w:rFonts w:ascii="Times New Roman" w:eastAsia="DengXian" w:hAnsi="Times New Roman" w:cs="Times New Roman"/>
          <w:color w:val="000000" w:themeColor="text1"/>
          <w:sz w:val="24"/>
          <w:szCs w:val="24"/>
          <w:lang w:eastAsia="zh-CN"/>
        </w:rPr>
        <w:t xml:space="preserve">(4), 1169–1208. </w:t>
      </w:r>
    </w:p>
    <w:p w14:paraId="4E45F6B1" w14:textId="51303E8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Blundell, R., &amp; Bond, S. (1998). Initial conditions and moment restrictions in dynamic panel data models. </w:t>
      </w:r>
      <w:r w:rsidRPr="00A450E8">
        <w:rPr>
          <w:rFonts w:ascii="Times New Roman" w:eastAsia="DengXian" w:hAnsi="Times New Roman" w:cs="Times New Roman"/>
          <w:i/>
          <w:iCs/>
          <w:color w:val="000000" w:themeColor="text1"/>
          <w:sz w:val="24"/>
          <w:szCs w:val="24"/>
          <w:lang w:eastAsia="zh-CN"/>
        </w:rPr>
        <w:t>Journal of Econometrics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87</w:t>
      </w:r>
      <w:r w:rsidRPr="00A450E8">
        <w:rPr>
          <w:rFonts w:ascii="Times New Roman" w:eastAsia="DengXian" w:hAnsi="Times New Roman" w:cs="Times New Roman"/>
          <w:color w:val="000000" w:themeColor="text1"/>
          <w:sz w:val="24"/>
          <w:szCs w:val="24"/>
          <w:lang w:eastAsia="zh-CN"/>
        </w:rPr>
        <w:t xml:space="preserve">(1), 115–143. </w:t>
      </w:r>
    </w:p>
    <w:p w14:paraId="6D15B1D9" w14:textId="42DC18D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Boulouta, I. (2013). Hidden Connections: The Link Between Board Gender Diversity and Corporate Social Performance. </w:t>
      </w:r>
      <w:r w:rsidRPr="00A450E8">
        <w:rPr>
          <w:rFonts w:ascii="Times New Roman" w:eastAsia="DengXian" w:hAnsi="Times New Roman" w:cs="Times New Roman"/>
          <w:i/>
          <w:iCs/>
          <w:color w:val="000000" w:themeColor="text1"/>
          <w:sz w:val="24"/>
          <w:szCs w:val="24"/>
          <w:lang w:eastAsia="zh-CN"/>
        </w:rPr>
        <w:t>Journal of Business Ethics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113</w:t>
      </w:r>
      <w:r w:rsidRPr="00A450E8">
        <w:rPr>
          <w:rFonts w:ascii="Times New Roman" w:eastAsia="DengXian" w:hAnsi="Times New Roman" w:cs="Times New Roman"/>
          <w:color w:val="000000" w:themeColor="text1"/>
          <w:sz w:val="24"/>
          <w:szCs w:val="24"/>
          <w:lang w:eastAsia="zh-CN"/>
        </w:rPr>
        <w:t xml:space="preserve">(2), 185–197. </w:t>
      </w:r>
    </w:p>
    <w:p w14:paraId="63C88BF5" w14:textId="713D8BB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Byrnes, J. P. (1999). Gender differences in risk taking : A meta-analysis. In </w:t>
      </w:r>
      <w:r w:rsidRPr="00A450E8">
        <w:rPr>
          <w:rFonts w:ascii="Times New Roman" w:eastAsia="DengXian" w:hAnsi="Times New Roman" w:cs="Times New Roman"/>
          <w:i/>
          <w:iCs/>
          <w:color w:val="000000" w:themeColor="text1"/>
          <w:sz w:val="24"/>
          <w:szCs w:val="24"/>
          <w:lang w:eastAsia="zh-CN"/>
        </w:rPr>
        <w:t>Psychological Bulletin</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125</w:t>
      </w:r>
      <w:r>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color w:val="000000" w:themeColor="text1"/>
          <w:sz w:val="24"/>
          <w:szCs w:val="24"/>
          <w:lang w:eastAsia="zh-CN"/>
        </w:rPr>
        <w:t>3</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xml:space="preserve"> 367–386.</w:t>
      </w:r>
    </w:p>
    <w:p w14:paraId="75079538" w14:textId="612524B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Byron, K., &amp; Post, C. (2016). Women on Boards of Directors and Corporate Social Performance: A Meta-Analysis. </w:t>
      </w:r>
      <w:r w:rsidRPr="00A450E8">
        <w:rPr>
          <w:rFonts w:ascii="Times New Roman" w:eastAsia="DengXian" w:hAnsi="Times New Roman" w:cs="Times New Roman"/>
          <w:i/>
          <w:iCs/>
          <w:color w:val="000000" w:themeColor="text1"/>
          <w:sz w:val="24"/>
          <w:szCs w:val="24"/>
          <w:lang w:eastAsia="zh-CN"/>
        </w:rPr>
        <w:t>Corporate Governance: An International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24</w:t>
      </w:r>
      <w:r w:rsidRPr="00A450E8">
        <w:rPr>
          <w:rFonts w:ascii="Times New Roman" w:eastAsia="DengXian" w:hAnsi="Times New Roman" w:cs="Times New Roman"/>
          <w:color w:val="000000" w:themeColor="text1"/>
          <w:sz w:val="24"/>
          <w:szCs w:val="24"/>
          <w:lang w:eastAsia="zh-CN"/>
        </w:rPr>
        <w:t xml:space="preserve">(4), 428–442. </w:t>
      </w:r>
    </w:p>
    <w:p w14:paraId="3EF470DE" w14:textId="68FFA19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Cai, J., Garner, J. L., &amp; Walking, R. A. (2009). Electing directors.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64</w:t>
      </w:r>
      <w:r w:rsidRPr="00A450E8">
        <w:rPr>
          <w:rFonts w:ascii="Times New Roman" w:eastAsia="DengXian" w:hAnsi="Times New Roman" w:cs="Times New Roman"/>
          <w:color w:val="000000" w:themeColor="text1"/>
          <w:sz w:val="24"/>
          <w:szCs w:val="24"/>
          <w:lang w:eastAsia="zh-CN"/>
        </w:rPr>
        <w:t xml:space="preserve">(5), 2389–2421. </w:t>
      </w:r>
    </w:p>
    <w:p w14:paraId="429AC14D" w14:textId="31E7989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Carnahan, S., Agarwal, R., &amp; Campbell, B. (2011). The Effect of Firm Compensation Structures on the Mobility and Entrepreneurship of Extreme Performers. </w:t>
      </w:r>
      <w:r w:rsidRPr="00A450E8">
        <w:rPr>
          <w:rFonts w:ascii="Times New Roman" w:eastAsia="DengXian" w:hAnsi="Times New Roman" w:cs="Times New Roman"/>
          <w:i/>
          <w:iCs/>
          <w:color w:val="000000" w:themeColor="text1"/>
          <w:sz w:val="24"/>
          <w:szCs w:val="24"/>
          <w:lang w:eastAsia="zh-CN"/>
        </w:rPr>
        <w:t>Strategic Management Journal</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32</w:t>
      </w:r>
      <w:r w:rsidRPr="00A450E8">
        <w:rPr>
          <w:rFonts w:ascii="Times New Roman" w:eastAsia="DengXian" w:hAnsi="Times New Roman" w:cs="Times New Roman"/>
          <w:color w:val="000000" w:themeColor="text1"/>
          <w:sz w:val="24"/>
          <w:szCs w:val="24"/>
          <w:lang w:eastAsia="zh-CN"/>
        </w:rPr>
        <w:t xml:space="preserve">(October), 1331–1355. </w:t>
      </w:r>
    </w:p>
    <w:p w14:paraId="45F679D8" w14:textId="1CD4C3A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Carter, D. A., Simkins, B. J., &amp; Simpson, W. G. (2003). Corporate governance, board diversity, and firm value. </w:t>
      </w:r>
      <w:r w:rsidRPr="00A450E8">
        <w:rPr>
          <w:rFonts w:ascii="Times New Roman" w:eastAsia="DengXian" w:hAnsi="Times New Roman" w:cs="Times New Roman"/>
          <w:i/>
          <w:iCs/>
          <w:color w:val="000000" w:themeColor="text1"/>
          <w:sz w:val="24"/>
          <w:szCs w:val="24"/>
          <w:lang w:eastAsia="zh-CN"/>
        </w:rPr>
        <w:t>Financial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38</w:t>
      </w:r>
      <w:r w:rsidRPr="00A450E8">
        <w:rPr>
          <w:rFonts w:ascii="Times New Roman" w:eastAsia="DengXian" w:hAnsi="Times New Roman" w:cs="Times New Roman"/>
          <w:color w:val="000000" w:themeColor="text1"/>
          <w:sz w:val="24"/>
          <w:szCs w:val="24"/>
          <w:lang w:eastAsia="zh-CN"/>
        </w:rPr>
        <w:t xml:space="preserve">(1), 33–53. </w:t>
      </w:r>
    </w:p>
    <w:p w14:paraId="1BAD2944" w14:textId="296384E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Cartwright, S., &amp; Cooper, C. L. (1993). The role of culture compatibility in successful organizational marriage. </w:t>
      </w:r>
      <w:r w:rsidRPr="00A450E8">
        <w:rPr>
          <w:rFonts w:ascii="Times New Roman" w:eastAsia="DengXian" w:hAnsi="Times New Roman" w:cs="Times New Roman"/>
          <w:i/>
          <w:iCs/>
          <w:color w:val="000000" w:themeColor="text1"/>
          <w:sz w:val="24"/>
          <w:szCs w:val="24"/>
          <w:lang w:eastAsia="zh-CN"/>
        </w:rPr>
        <w:t>Academy of Management Perspectives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7</w:t>
      </w:r>
      <w:r w:rsidRPr="00A450E8">
        <w:rPr>
          <w:rFonts w:ascii="Times New Roman" w:eastAsia="DengXian" w:hAnsi="Times New Roman" w:cs="Times New Roman"/>
          <w:color w:val="000000" w:themeColor="text1"/>
          <w:sz w:val="24"/>
          <w:szCs w:val="24"/>
          <w:lang w:eastAsia="zh-CN"/>
        </w:rPr>
        <w:t xml:space="preserve">(2), 57–70. </w:t>
      </w:r>
    </w:p>
    <w:p w14:paraId="5D14C85A" w14:textId="69EDC56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Chen, C. wen, Velasquez Tuliao, K., Cullen, J. B., &amp; Chang, Y. Y. (2016). Does gender influence managers’ ethics? A cross-cultural analysis. </w:t>
      </w:r>
      <w:r w:rsidRPr="00A450E8">
        <w:rPr>
          <w:rFonts w:ascii="Times New Roman" w:eastAsia="DengXian" w:hAnsi="Times New Roman" w:cs="Times New Roman"/>
          <w:i/>
          <w:iCs/>
          <w:color w:val="000000" w:themeColor="text1"/>
          <w:sz w:val="24"/>
          <w:szCs w:val="24"/>
          <w:lang w:eastAsia="zh-CN"/>
        </w:rPr>
        <w:t>Business Ethics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25</w:t>
      </w:r>
      <w:r w:rsidRPr="00A450E8">
        <w:rPr>
          <w:rFonts w:ascii="Times New Roman" w:eastAsia="DengXian" w:hAnsi="Times New Roman" w:cs="Times New Roman"/>
          <w:color w:val="000000" w:themeColor="text1"/>
          <w:sz w:val="24"/>
          <w:szCs w:val="24"/>
          <w:lang w:eastAsia="zh-CN"/>
        </w:rPr>
        <w:t xml:space="preserve">(4), 345–362. </w:t>
      </w:r>
    </w:p>
    <w:p w14:paraId="01571CCF" w14:textId="61BB624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Chizema, A., Kamuriwo, D. S., &amp; Shinozawa, Y. (2015). Women on corporate boards around the world: Triggers and barriers. </w:t>
      </w:r>
      <w:r w:rsidRPr="00A450E8">
        <w:rPr>
          <w:rFonts w:ascii="Times New Roman" w:eastAsia="DengXian" w:hAnsi="Times New Roman" w:cs="Times New Roman"/>
          <w:i/>
          <w:iCs/>
          <w:color w:val="000000" w:themeColor="text1"/>
          <w:sz w:val="24"/>
          <w:szCs w:val="24"/>
          <w:lang w:eastAsia="zh-CN"/>
        </w:rPr>
        <w:t>Leadership Quarterly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26</w:t>
      </w:r>
      <w:r w:rsidRPr="00A450E8">
        <w:rPr>
          <w:rFonts w:ascii="Times New Roman" w:eastAsia="DengXian" w:hAnsi="Times New Roman" w:cs="Times New Roman"/>
          <w:color w:val="000000" w:themeColor="text1"/>
          <w:sz w:val="24"/>
          <w:szCs w:val="24"/>
          <w:lang w:eastAsia="zh-CN"/>
        </w:rPr>
        <w:t xml:space="preserve">(6), 1051–1065. </w:t>
      </w:r>
    </w:p>
    <w:p w14:paraId="3F14D9B1" w14:textId="6CB51CE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Cohn, A., Fehr, E., &amp; Marechal, M. A. (2014). Business culture and dishonesty in the banking industry. </w:t>
      </w:r>
      <w:r w:rsidRPr="00A450E8">
        <w:rPr>
          <w:rFonts w:ascii="Times New Roman" w:eastAsia="DengXian" w:hAnsi="Times New Roman" w:cs="Times New Roman"/>
          <w:i/>
          <w:iCs/>
          <w:color w:val="000000" w:themeColor="text1"/>
          <w:sz w:val="24"/>
          <w:szCs w:val="24"/>
          <w:lang w:eastAsia="zh-CN"/>
        </w:rPr>
        <w:t>Nature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516</w:t>
      </w:r>
      <w:r w:rsidRPr="00A450E8">
        <w:rPr>
          <w:rFonts w:ascii="Times New Roman" w:eastAsia="DengXian" w:hAnsi="Times New Roman" w:cs="Times New Roman"/>
          <w:color w:val="000000" w:themeColor="text1"/>
          <w:sz w:val="24"/>
          <w:szCs w:val="24"/>
          <w:lang w:eastAsia="zh-CN"/>
        </w:rPr>
        <w:t xml:space="preserve">(729), 86–89. </w:t>
      </w:r>
    </w:p>
    <w:p w14:paraId="1DF02ACD" w14:textId="7B23643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Crémer, J. (1993). Corporate culture and shared knowledge. </w:t>
      </w:r>
      <w:r w:rsidRPr="00A450E8">
        <w:rPr>
          <w:rFonts w:ascii="Times New Roman" w:eastAsia="DengXian" w:hAnsi="Times New Roman" w:cs="Times New Roman"/>
          <w:i/>
          <w:iCs/>
          <w:color w:val="000000" w:themeColor="text1"/>
          <w:sz w:val="24"/>
          <w:szCs w:val="24"/>
          <w:lang w:eastAsia="zh-CN"/>
        </w:rPr>
        <w:t>Industrial and Corporate Change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w:t>
      </w:r>
      <w:r w:rsidRPr="00A450E8">
        <w:rPr>
          <w:rFonts w:ascii="Times New Roman" w:eastAsia="DengXian" w:hAnsi="Times New Roman" w:cs="Times New Roman"/>
          <w:color w:val="000000" w:themeColor="text1"/>
          <w:sz w:val="24"/>
          <w:szCs w:val="24"/>
          <w:lang w:eastAsia="zh-CN"/>
        </w:rPr>
        <w:t xml:space="preserve">(1), 351–386. </w:t>
      </w:r>
    </w:p>
    <w:p w14:paraId="21A6C999" w14:textId="3416ED5F" w:rsidR="00A450E8" w:rsidRPr="00A450E8" w:rsidRDefault="00A450E8" w:rsidP="00A450E8">
      <w:pPr>
        <w:pStyle w:val="NormalWeb"/>
        <w:spacing w:line="480" w:lineRule="auto"/>
        <w:jc w:val="both"/>
      </w:pPr>
      <w:r>
        <w:t xml:space="preserve">Cumming, D., Leung, T. Y., &amp; Oliver, R. (2015). Gender diversity and securities fraud. </w:t>
      </w:r>
      <w:r>
        <w:rPr>
          <w:i/>
          <w:iCs/>
        </w:rPr>
        <w:t>The Academy of Management Journal</w:t>
      </w:r>
      <w:r>
        <w:t xml:space="preserve">, </w:t>
      </w:r>
      <w:r>
        <w:rPr>
          <w:i/>
          <w:iCs/>
        </w:rPr>
        <w:t>58</w:t>
      </w:r>
      <w:r>
        <w:t>(5), 1572–1593</w:t>
      </w:r>
    </w:p>
    <w:p w14:paraId="1690C53B" w14:textId="6E9D120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Eagly, A. H. (2009). Alice H. Eagly: Award for Distinguished Scientific Contributions. </w:t>
      </w:r>
      <w:r w:rsidRPr="00A450E8">
        <w:rPr>
          <w:rFonts w:ascii="Times New Roman" w:eastAsia="DengXian" w:hAnsi="Times New Roman" w:cs="Times New Roman"/>
          <w:i/>
          <w:iCs/>
          <w:color w:val="000000" w:themeColor="text1"/>
          <w:sz w:val="24"/>
          <w:szCs w:val="24"/>
          <w:lang w:eastAsia="zh-CN"/>
        </w:rPr>
        <w:t>American Psychologist</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64</w:t>
      </w:r>
      <w:r w:rsidRPr="00A450E8">
        <w:rPr>
          <w:rFonts w:ascii="Times New Roman" w:eastAsia="DengXian" w:hAnsi="Times New Roman" w:cs="Times New Roman"/>
          <w:color w:val="000000" w:themeColor="text1"/>
          <w:sz w:val="24"/>
          <w:szCs w:val="24"/>
          <w:lang w:eastAsia="zh-CN"/>
        </w:rPr>
        <w:t xml:space="preserve">(8), 642–644. </w:t>
      </w:r>
    </w:p>
    <w:p w14:paraId="4AEB2952" w14:textId="63CE715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Egan, L. M., Matvos, G., &amp; Seru, A. (2020). When Harry Fired Sally: The Double Standard in punishing misconduct. </w:t>
      </w:r>
      <w:r w:rsidRPr="00A450E8">
        <w:rPr>
          <w:rFonts w:ascii="Times New Roman" w:eastAsia="DengXian" w:hAnsi="Times New Roman" w:cs="Times New Roman"/>
          <w:i/>
          <w:iCs/>
          <w:color w:val="000000" w:themeColor="text1"/>
          <w:sz w:val="24"/>
          <w:szCs w:val="24"/>
          <w:lang w:eastAsia="zh-CN"/>
        </w:rPr>
        <w:t>Working Paper</w:t>
      </w:r>
      <w:r w:rsidRPr="00A450E8">
        <w:rPr>
          <w:rFonts w:ascii="Times New Roman" w:eastAsia="DengXian" w:hAnsi="Times New Roman" w:cs="Times New Roman"/>
          <w:color w:val="000000" w:themeColor="text1"/>
          <w:sz w:val="24"/>
          <w:szCs w:val="24"/>
          <w:lang w:eastAsia="zh-CN"/>
        </w:rPr>
        <w:t>, 1–49</w:t>
      </w:r>
      <w:r>
        <w:rPr>
          <w:rFonts w:ascii="Times New Roman" w:eastAsia="DengXian" w:hAnsi="Times New Roman" w:cs="Times New Roman"/>
          <w:color w:val="000000" w:themeColor="text1"/>
          <w:sz w:val="24"/>
          <w:szCs w:val="24"/>
          <w:lang w:eastAsia="zh-CN"/>
        </w:rPr>
        <w:t>.</w:t>
      </w:r>
    </w:p>
    <w:p w14:paraId="3A9D142B" w14:textId="2BEF031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Ellul, A., &amp; Yeramilli, V. (2013). Stronger risk controls, lower risk: Evidence from U.S. bank holding companies.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68</w:t>
      </w:r>
      <w:r w:rsidRPr="00A450E8">
        <w:rPr>
          <w:rFonts w:ascii="Times New Roman" w:eastAsia="DengXian" w:hAnsi="Times New Roman" w:cs="Times New Roman"/>
          <w:color w:val="000000" w:themeColor="text1"/>
          <w:sz w:val="24"/>
          <w:szCs w:val="24"/>
          <w:lang w:eastAsia="zh-CN"/>
        </w:rPr>
        <w:t xml:space="preserve">(5), 1757–1803. </w:t>
      </w:r>
    </w:p>
    <w:p w14:paraId="35F9E372" w14:textId="2C59181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Erkens, D. H., Hung, M., &amp; Matos, P. (2012). Corporate governance in the 2007-2008 financial crisis: Evidence from financial institutions worldwide.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18</w:t>
      </w:r>
      <w:r w:rsidRPr="00A450E8">
        <w:rPr>
          <w:rFonts w:ascii="Times New Roman" w:eastAsia="DengXian" w:hAnsi="Times New Roman" w:cs="Times New Roman"/>
          <w:color w:val="000000" w:themeColor="text1"/>
          <w:sz w:val="24"/>
          <w:szCs w:val="24"/>
          <w:lang w:eastAsia="zh-CN"/>
        </w:rPr>
        <w:t>(2), 389–411</w:t>
      </w:r>
      <w:r>
        <w:rPr>
          <w:rFonts w:ascii="Times New Roman" w:eastAsia="DengXian" w:hAnsi="Times New Roman" w:cs="Times New Roman"/>
          <w:color w:val="000000" w:themeColor="text1"/>
          <w:sz w:val="24"/>
          <w:szCs w:val="24"/>
          <w:lang w:eastAsia="zh-CN"/>
        </w:rPr>
        <w:t>.</w:t>
      </w:r>
    </w:p>
    <w:p w14:paraId="4E976DF8" w14:textId="70FDCC6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Faccio, M., Marchica, M. T., &amp; Mura, R. (2016). CEO gender, corporate risk-taking, and the efficiency of capital allocation.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39</w:t>
      </w:r>
      <w:r w:rsidRPr="00A450E8">
        <w:rPr>
          <w:rFonts w:ascii="Times New Roman" w:eastAsia="DengXian" w:hAnsi="Times New Roman" w:cs="Times New Roman"/>
          <w:color w:val="000000" w:themeColor="text1"/>
          <w:sz w:val="24"/>
          <w:szCs w:val="24"/>
          <w:lang w:eastAsia="zh-CN"/>
        </w:rPr>
        <w:t xml:space="preserve">, 193–209. </w:t>
      </w:r>
    </w:p>
    <w:p w14:paraId="2262AFF7" w14:textId="5397B41E"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Fahlenbrach, R., Prilmeier, R., &amp; Stulz, R. M. (2012). This Time Is the Same: Using Bank Performance in 1998 to Explain Bank Performance during the Recent Financial Crisis.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67</w:t>
      </w:r>
      <w:r w:rsidRPr="00A450E8">
        <w:rPr>
          <w:rFonts w:ascii="Times New Roman" w:eastAsia="DengXian" w:hAnsi="Times New Roman" w:cs="Times New Roman"/>
          <w:color w:val="000000" w:themeColor="text1"/>
          <w:sz w:val="24"/>
          <w:szCs w:val="24"/>
          <w:lang w:eastAsia="zh-CN"/>
        </w:rPr>
        <w:t xml:space="preserve">(6), 2139–2185. </w:t>
      </w:r>
    </w:p>
    <w:p w14:paraId="3F056DA6" w14:textId="7432918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Fahlenbrach, R., Prilmeier, R., St, R. M., &amp; Stulz, R. M. (2012). This Time Is the Same: Using Bank Performance in 1998 to Explain Bank Performance during the Recent Financial Crisis.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67</w:t>
      </w:r>
      <w:r w:rsidRPr="00A450E8">
        <w:rPr>
          <w:rFonts w:ascii="Times New Roman" w:eastAsia="DengXian" w:hAnsi="Times New Roman" w:cs="Times New Roman"/>
          <w:color w:val="000000" w:themeColor="text1"/>
          <w:sz w:val="24"/>
          <w:szCs w:val="24"/>
          <w:lang w:eastAsia="zh-CN"/>
        </w:rPr>
        <w:t>(6), 2139–2185</w:t>
      </w:r>
      <w:r>
        <w:rPr>
          <w:rFonts w:ascii="Times New Roman" w:eastAsia="DengXian" w:hAnsi="Times New Roman" w:cs="Times New Roman"/>
          <w:color w:val="000000" w:themeColor="text1"/>
          <w:sz w:val="24"/>
          <w:szCs w:val="24"/>
          <w:lang w:eastAsia="zh-CN"/>
        </w:rPr>
        <w:t>.</w:t>
      </w:r>
    </w:p>
    <w:p w14:paraId="4E4C47C1" w14:textId="5306B83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Fields, M. A., &amp; Keys, P. Y. (2003). The emergence of corporate governance from wall St. to Main St.: Outside directors, board diversity, earnings management, and managerial incentives to bear risk. </w:t>
      </w:r>
      <w:r w:rsidRPr="00A450E8">
        <w:rPr>
          <w:rFonts w:ascii="Times New Roman" w:eastAsia="DengXian" w:hAnsi="Times New Roman" w:cs="Times New Roman"/>
          <w:i/>
          <w:iCs/>
          <w:color w:val="000000" w:themeColor="text1"/>
          <w:sz w:val="24"/>
          <w:szCs w:val="24"/>
          <w:lang w:eastAsia="zh-CN"/>
        </w:rPr>
        <w:t>Financial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38</w:t>
      </w:r>
      <w:r w:rsidRPr="00A450E8">
        <w:rPr>
          <w:rFonts w:ascii="Times New Roman" w:eastAsia="DengXian" w:hAnsi="Times New Roman" w:cs="Times New Roman"/>
          <w:color w:val="000000" w:themeColor="text1"/>
          <w:sz w:val="24"/>
          <w:szCs w:val="24"/>
          <w:lang w:eastAsia="zh-CN"/>
        </w:rPr>
        <w:t xml:space="preserve">(1), 1–24. </w:t>
      </w:r>
    </w:p>
    <w:p w14:paraId="5F6997C5" w14:textId="7777777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Financial Stability Board. (2014). </w:t>
      </w:r>
      <w:r w:rsidRPr="00A450E8">
        <w:rPr>
          <w:rFonts w:ascii="Times New Roman" w:eastAsia="DengXian" w:hAnsi="Times New Roman" w:cs="Times New Roman"/>
          <w:i/>
          <w:iCs/>
          <w:color w:val="000000" w:themeColor="text1"/>
          <w:sz w:val="24"/>
          <w:szCs w:val="24"/>
          <w:lang w:eastAsia="zh-CN"/>
        </w:rPr>
        <w:t>Guidance on Supervisory Interaction with Financial Institutions on Risk Culture</w:t>
      </w:r>
      <w:r w:rsidRPr="00A450E8">
        <w:rPr>
          <w:rFonts w:ascii="Times New Roman" w:eastAsia="DengXian" w:hAnsi="Times New Roman" w:cs="Times New Roman"/>
          <w:color w:val="000000" w:themeColor="text1"/>
          <w:sz w:val="24"/>
          <w:szCs w:val="24"/>
          <w:lang w:eastAsia="zh-CN"/>
        </w:rPr>
        <w:t xml:space="preserve"> (Issue April).</w:t>
      </w:r>
    </w:p>
    <w:p w14:paraId="13D66EB9" w14:textId="408C2B1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it-IT" w:eastAsia="zh-CN"/>
        </w:rPr>
        <w:t xml:space="preserve">Fiordelisi, F., &amp; Ricci, O. (2014). Corporate culture and CEO turnover.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28</w:t>
      </w:r>
      <w:r w:rsidRPr="00A450E8">
        <w:rPr>
          <w:rFonts w:ascii="Times New Roman" w:eastAsia="DengXian" w:hAnsi="Times New Roman" w:cs="Times New Roman"/>
          <w:color w:val="000000" w:themeColor="text1"/>
          <w:sz w:val="24"/>
          <w:szCs w:val="24"/>
          <w:lang w:eastAsia="zh-CN"/>
        </w:rPr>
        <w:t xml:space="preserve">, 66–82. </w:t>
      </w:r>
    </w:p>
    <w:p w14:paraId="4CCF2480" w14:textId="5C5EBBB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Fiordelisi, F., Renneboog, L., Ricci, O., &amp; Lopes, S. S. (2019). Creative corporate culture and innovation. </w:t>
      </w:r>
      <w:r w:rsidRPr="00A450E8">
        <w:rPr>
          <w:rFonts w:ascii="Times New Roman" w:eastAsia="DengXian" w:hAnsi="Times New Roman" w:cs="Times New Roman"/>
          <w:i/>
          <w:iCs/>
          <w:color w:val="000000" w:themeColor="text1"/>
          <w:sz w:val="24"/>
          <w:szCs w:val="24"/>
          <w:lang w:eastAsia="zh-CN"/>
        </w:rPr>
        <w:t>Journal of International Financial Markets, Institutions and Money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63</w:t>
      </w:r>
      <w:r w:rsidRPr="00A450E8">
        <w:rPr>
          <w:rFonts w:ascii="Times New Roman" w:eastAsia="DengXian" w:hAnsi="Times New Roman" w:cs="Times New Roman"/>
          <w:color w:val="000000" w:themeColor="text1"/>
          <w:sz w:val="24"/>
          <w:szCs w:val="24"/>
          <w:lang w:eastAsia="zh-CN"/>
        </w:rPr>
        <w:t xml:space="preserve">, 1–14. </w:t>
      </w:r>
    </w:p>
    <w:p w14:paraId="41B832D1" w14:textId="395466E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de-DE" w:eastAsia="zh-CN"/>
        </w:rPr>
        <w:t xml:space="preserve">Foos, D., Norden, L., &amp; Weber, M. (2010). </w:t>
      </w:r>
      <w:r w:rsidRPr="00A450E8">
        <w:rPr>
          <w:rFonts w:ascii="Times New Roman" w:eastAsia="DengXian" w:hAnsi="Times New Roman" w:cs="Times New Roman"/>
          <w:color w:val="000000" w:themeColor="text1"/>
          <w:sz w:val="24"/>
          <w:szCs w:val="24"/>
          <w:lang w:eastAsia="zh-CN"/>
        </w:rPr>
        <w:t xml:space="preserve">Loan growth and riskiness of banks. </w:t>
      </w:r>
      <w:r w:rsidRPr="00A450E8">
        <w:rPr>
          <w:rFonts w:ascii="Times New Roman" w:eastAsia="DengXian" w:hAnsi="Times New Roman" w:cs="Times New Roman"/>
          <w:i/>
          <w:iCs/>
          <w:color w:val="000000" w:themeColor="text1"/>
          <w:sz w:val="24"/>
          <w:szCs w:val="24"/>
          <w:lang w:eastAsia="zh-CN"/>
        </w:rPr>
        <w:t>Journal of Banking and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34</w:t>
      </w:r>
      <w:r w:rsidRPr="00A450E8">
        <w:rPr>
          <w:rFonts w:ascii="Times New Roman" w:eastAsia="DengXian" w:hAnsi="Times New Roman" w:cs="Times New Roman"/>
          <w:color w:val="000000" w:themeColor="text1"/>
          <w:sz w:val="24"/>
          <w:szCs w:val="24"/>
          <w:lang w:eastAsia="zh-CN"/>
        </w:rPr>
        <w:t xml:space="preserve">(12), 2929–2940. </w:t>
      </w:r>
    </w:p>
    <w:p w14:paraId="366E68FF" w14:textId="6B0EB64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International Monetary Fund. (2014). </w:t>
      </w:r>
      <w:r w:rsidRPr="00A450E8">
        <w:rPr>
          <w:rFonts w:ascii="Times New Roman" w:eastAsia="DengXian" w:hAnsi="Times New Roman" w:cs="Times New Roman"/>
          <w:i/>
          <w:iCs/>
          <w:color w:val="000000" w:themeColor="text1"/>
          <w:sz w:val="24"/>
          <w:szCs w:val="24"/>
          <w:lang w:eastAsia="zh-CN"/>
        </w:rPr>
        <w:t>G</w:t>
      </w:r>
      <w:r>
        <w:rPr>
          <w:rFonts w:ascii="Times New Roman" w:eastAsia="DengXian" w:hAnsi="Times New Roman" w:cs="Times New Roman"/>
          <w:i/>
          <w:iCs/>
          <w:color w:val="000000" w:themeColor="text1"/>
          <w:sz w:val="24"/>
          <w:szCs w:val="24"/>
          <w:lang w:eastAsia="zh-CN"/>
        </w:rPr>
        <w:t>lobal Financial Stability Report: Risk Taking, Liquidity and shadow banking-curbing ,</w:t>
      </w:r>
      <w:r w:rsidRPr="00A450E8">
        <w:rPr>
          <w:rFonts w:ascii="Times New Roman" w:eastAsia="DengXian" w:hAnsi="Times New Roman" w:cs="Times New Roman"/>
          <w:color w:val="000000" w:themeColor="text1"/>
          <w:sz w:val="24"/>
          <w:szCs w:val="24"/>
          <w:lang w:eastAsia="zh-CN"/>
        </w:rPr>
        <w:t>105–142.</w:t>
      </w:r>
    </w:p>
    <w:p w14:paraId="6EBC1F61" w14:textId="2E74DA3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García Lara, J. M., García Osma, B., Mora, A., &amp; Scapin, M. (2017). The monitoring role of female directors over accounting quality.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45</w:t>
      </w:r>
      <w:r w:rsidRPr="00A450E8">
        <w:rPr>
          <w:rFonts w:ascii="Times New Roman" w:eastAsia="DengXian" w:hAnsi="Times New Roman" w:cs="Times New Roman"/>
          <w:color w:val="000000" w:themeColor="text1"/>
          <w:sz w:val="24"/>
          <w:szCs w:val="24"/>
          <w:lang w:eastAsia="zh-CN"/>
        </w:rPr>
        <w:t xml:space="preserve">, 651–668. </w:t>
      </w:r>
    </w:p>
    <w:p w14:paraId="420CBE21" w14:textId="53E4C1B4"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Giannetti, M., &amp; Wang, T. Y. (2022). Public Attention to Gender Equality and Board Gender Diversity. </w:t>
      </w:r>
      <w:r w:rsidRPr="00A450E8">
        <w:rPr>
          <w:rFonts w:ascii="Times New Roman" w:eastAsia="DengXian" w:hAnsi="Times New Roman" w:cs="Times New Roman"/>
          <w:i/>
          <w:iCs/>
          <w:color w:val="000000" w:themeColor="text1"/>
          <w:sz w:val="24"/>
          <w:szCs w:val="24"/>
          <w:lang w:eastAsia="zh-CN"/>
        </w:rPr>
        <w:t>Journal of Financial and Quantitative Analysis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August</w:t>
      </w:r>
      <w:r w:rsidRPr="00A450E8">
        <w:rPr>
          <w:rFonts w:ascii="Times New Roman" w:eastAsia="DengXian" w:hAnsi="Times New Roman" w:cs="Times New Roman"/>
          <w:color w:val="000000" w:themeColor="text1"/>
          <w:sz w:val="24"/>
          <w:szCs w:val="24"/>
          <w:lang w:eastAsia="zh-CN"/>
        </w:rPr>
        <w:t xml:space="preserve">. </w:t>
      </w:r>
    </w:p>
    <w:p w14:paraId="7DE6D56C" w14:textId="09E8000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Gontarek, W., &amp; Belghitar, Y. (2018). Risk governance: Examining its impact upon bank performance and risk-taking. </w:t>
      </w:r>
      <w:r w:rsidRPr="00A450E8">
        <w:rPr>
          <w:rFonts w:ascii="Times New Roman" w:eastAsia="DengXian" w:hAnsi="Times New Roman" w:cs="Times New Roman"/>
          <w:i/>
          <w:iCs/>
          <w:color w:val="000000" w:themeColor="text1"/>
          <w:sz w:val="24"/>
          <w:szCs w:val="24"/>
          <w:lang w:eastAsia="zh-CN"/>
        </w:rPr>
        <w:t>Financial Markets, Institutions and Instruments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27</w:t>
      </w:r>
      <w:r w:rsidRPr="00A450E8">
        <w:rPr>
          <w:rFonts w:ascii="Times New Roman" w:eastAsia="DengXian" w:hAnsi="Times New Roman" w:cs="Times New Roman"/>
          <w:color w:val="000000" w:themeColor="text1"/>
          <w:sz w:val="24"/>
          <w:szCs w:val="24"/>
          <w:lang w:eastAsia="zh-CN"/>
        </w:rPr>
        <w:t xml:space="preserve">(5), 187–224. </w:t>
      </w:r>
    </w:p>
    <w:p w14:paraId="1B967D7B" w14:textId="24565DD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Graham, J. R., Harvey, C. R., &amp; Rajgopal, S. (2005). The economic implications of corporate financial reporting. </w:t>
      </w:r>
      <w:r w:rsidRPr="00A450E8">
        <w:rPr>
          <w:rFonts w:ascii="Times New Roman" w:eastAsia="DengXian" w:hAnsi="Times New Roman" w:cs="Times New Roman"/>
          <w:i/>
          <w:iCs/>
          <w:color w:val="000000" w:themeColor="text1"/>
          <w:sz w:val="24"/>
          <w:szCs w:val="24"/>
          <w:lang w:eastAsia="zh-CN"/>
        </w:rPr>
        <w:t>Journal of Accounting and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40</w:t>
      </w:r>
      <w:r w:rsidRPr="00A450E8">
        <w:rPr>
          <w:rFonts w:ascii="Times New Roman" w:eastAsia="DengXian" w:hAnsi="Times New Roman" w:cs="Times New Roman"/>
          <w:color w:val="000000" w:themeColor="text1"/>
          <w:sz w:val="24"/>
          <w:szCs w:val="24"/>
          <w:lang w:eastAsia="zh-CN"/>
        </w:rPr>
        <w:t xml:space="preserve">(1–3), 3–73. </w:t>
      </w:r>
    </w:p>
    <w:p w14:paraId="7758AB3A" w14:textId="37EA1F89"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Gregory, A., Jeanes, E., Tharyan, R., &amp; Tonks, I. (2013). Does the Stock Market Gender Stereotype Corporate Boards? Evidence from the Market’s Reaction to Directors’ Trades. </w:t>
      </w:r>
      <w:r w:rsidRPr="00A450E8">
        <w:rPr>
          <w:rFonts w:ascii="Times New Roman" w:eastAsia="DengXian" w:hAnsi="Times New Roman" w:cs="Times New Roman"/>
          <w:i/>
          <w:iCs/>
          <w:color w:val="000000" w:themeColor="text1"/>
          <w:sz w:val="24"/>
          <w:szCs w:val="24"/>
          <w:lang w:eastAsia="zh-CN"/>
        </w:rPr>
        <w:t>British Journal of Management</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24</w:t>
      </w:r>
      <w:r w:rsidRPr="00A450E8">
        <w:rPr>
          <w:rFonts w:ascii="Times New Roman" w:eastAsia="DengXian" w:hAnsi="Times New Roman" w:cs="Times New Roman"/>
          <w:color w:val="000000" w:themeColor="text1"/>
          <w:sz w:val="24"/>
          <w:szCs w:val="24"/>
          <w:lang w:eastAsia="zh-CN"/>
        </w:rPr>
        <w:t>(2), 174–190</w:t>
      </w:r>
      <w:r>
        <w:rPr>
          <w:rFonts w:ascii="Times New Roman" w:eastAsia="DengXian" w:hAnsi="Times New Roman" w:cs="Times New Roman"/>
          <w:color w:val="000000" w:themeColor="text1"/>
          <w:sz w:val="24"/>
          <w:szCs w:val="24"/>
          <w:lang w:eastAsia="zh-CN"/>
        </w:rPr>
        <w:t>.</w:t>
      </w:r>
    </w:p>
    <w:p w14:paraId="1FADBE38" w14:textId="573E9FF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it-IT" w:eastAsia="zh-CN"/>
        </w:rPr>
        <w:t xml:space="preserve">Guiso, L., Sapienza, P., &amp; Zingales, L. (2003). </w:t>
      </w:r>
      <w:r w:rsidRPr="00A450E8">
        <w:rPr>
          <w:rFonts w:ascii="Times New Roman" w:eastAsia="DengXian" w:hAnsi="Times New Roman" w:cs="Times New Roman"/>
          <w:color w:val="000000" w:themeColor="text1"/>
          <w:sz w:val="24"/>
          <w:szCs w:val="24"/>
          <w:lang w:eastAsia="zh-CN"/>
        </w:rPr>
        <w:t xml:space="preserve">People’s opium? Religion and economic attitudes. In </w:t>
      </w:r>
      <w:r w:rsidRPr="00A450E8">
        <w:rPr>
          <w:rFonts w:ascii="Times New Roman" w:eastAsia="DengXian" w:hAnsi="Times New Roman" w:cs="Times New Roman"/>
          <w:i/>
          <w:iCs/>
          <w:color w:val="000000" w:themeColor="text1"/>
          <w:sz w:val="24"/>
          <w:szCs w:val="24"/>
          <w:lang w:eastAsia="zh-CN"/>
        </w:rPr>
        <w:t>Journal of Monetary Economics</w:t>
      </w:r>
      <w:r>
        <w:rPr>
          <w:rFonts w:ascii="Times New Roman" w:eastAsia="DengXian" w:hAnsi="Times New Roman" w:cs="Times New Roman"/>
          <w:i/>
          <w:iCs/>
          <w:color w:val="000000" w:themeColor="text1"/>
          <w:sz w:val="24"/>
          <w:szCs w:val="24"/>
          <w:lang w:eastAsia="zh-CN"/>
        </w:rPr>
        <w:t>,50(1)</w:t>
      </w:r>
      <w:r>
        <w:rPr>
          <w:rFonts w:ascii="Times New Roman" w:eastAsia="DengXian" w:hAnsi="Times New Roman" w:cs="Times New Roman"/>
          <w:color w:val="000000" w:themeColor="text1"/>
          <w:sz w:val="24"/>
          <w:szCs w:val="24"/>
          <w:lang w:eastAsia="zh-CN"/>
        </w:rPr>
        <w:t>, 225-282.</w:t>
      </w:r>
    </w:p>
    <w:p w14:paraId="67671E6B" w14:textId="188C6F7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Guiso, L., Sapienza, P., &amp; Zingales, L. (2015). The value of corporate culture.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117</w:t>
      </w:r>
      <w:r w:rsidRPr="00A450E8">
        <w:rPr>
          <w:rFonts w:ascii="Times New Roman" w:eastAsia="DengXian" w:hAnsi="Times New Roman" w:cs="Times New Roman"/>
          <w:color w:val="000000" w:themeColor="text1"/>
          <w:sz w:val="24"/>
          <w:szCs w:val="24"/>
          <w:lang w:eastAsia="zh-CN"/>
        </w:rPr>
        <w:t xml:space="preserve">(1), 60–76. </w:t>
      </w:r>
    </w:p>
    <w:p w14:paraId="7A06D1EC" w14:textId="5E9C4DA4"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Gul, F. A., Srinidhi, B., &amp; Ng, A. C. (2011). Does board gender diversity improve the informativeness of stock prices? </w:t>
      </w:r>
      <w:r w:rsidRPr="00A450E8">
        <w:rPr>
          <w:rFonts w:ascii="Times New Roman" w:eastAsia="DengXian" w:hAnsi="Times New Roman" w:cs="Times New Roman"/>
          <w:i/>
          <w:iCs/>
          <w:color w:val="000000" w:themeColor="text1"/>
          <w:sz w:val="24"/>
          <w:szCs w:val="24"/>
          <w:lang w:eastAsia="zh-CN"/>
        </w:rPr>
        <w:t>Journal of Accounting and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51</w:t>
      </w:r>
      <w:r w:rsidRPr="00A450E8">
        <w:rPr>
          <w:rFonts w:ascii="Times New Roman" w:eastAsia="DengXian" w:hAnsi="Times New Roman" w:cs="Times New Roman"/>
          <w:color w:val="000000" w:themeColor="text1"/>
          <w:sz w:val="24"/>
          <w:szCs w:val="24"/>
          <w:lang w:eastAsia="zh-CN"/>
        </w:rPr>
        <w:t xml:space="preserve">(3), 314–338. </w:t>
      </w:r>
    </w:p>
    <w:p w14:paraId="72B04FE1" w14:textId="2D5B75A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Hartnell, C. A., Ou, A. Y., &amp; Kinicki, A. (2011). Organizational Culture and Organizational Effectiveness: A Meta-Analytic Investigation of the Competing Values Framework’s Theoretical Suppositions. </w:t>
      </w:r>
      <w:r w:rsidRPr="00A450E8">
        <w:rPr>
          <w:rFonts w:ascii="Times New Roman" w:eastAsia="DengXian" w:hAnsi="Times New Roman" w:cs="Times New Roman"/>
          <w:i/>
          <w:iCs/>
          <w:color w:val="000000" w:themeColor="text1"/>
          <w:sz w:val="24"/>
          <w:szCs w:val="24"/>
          <w:lang w:eastAsia="zh-CN"/>
        </w:rPr>
        <w:t>Journal of Applied Psychology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96</w:t>
      </w:r>
      <w:r w:rsidRPr="00A450E8">
        <w:rPr>
          <w:rFonts w:ascii="Times New Roman" w:eastAsia="DengXian" w:hAnsi="Times New Roman" w:cs="Times New Roman"/>
          <w:color w:val="000000" w:themeColor="text1"/>
          <w:sz w:val="24"/>
          <w:szCs w:val="24"/>
          <w:lang w:eastAsia="zh-CN"/>
        </w:rPr>
        <w:t xml:space="preserve">(4), 677–694. </w:t>
      </w:r>
    </w:p>
    <w:p w14:paraId="70F56265" w14:textId="7777777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Hermalin, B. E., &amp; Weisbach, M. S. (1998). Endogenously Chosen Boards of Directors and Their Monitoring of the CEO. </w:t>
      </w:r>
      <w:r w:rsidRPr="00A450E8">
        <w:rPr>
          <w:rFonts w:ascii="Times New Roman" w:eastAsia="DengXian" w:hAnsi="Times New Roman" w:cs="Times New Roman"/>
          <w:i/>
          <w:iCs/>
          <w:color w:val="000000" w:themeColor="text1"/>
          <w:sz w:val="24"/>
          <w:szCs w:val="24"/>
          <w:lang w:eastAsia="zh-CN"/>
        </w:rPr>
        <w:t>American Economic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88</w:t>
      </w:r>
      <w:r w:rsidRPr="00A450E8">
        <w:rPr>
          <w:rFonts w:ascii="Times New Roman" w:eastAsia="DengXian" w:hAnsi="Times New Roman" w:cs="Times New Roman"/>
          <w:color w:val="000000" w:themeColor="text1"/>
          <w:sz w:val="24"/>
          <w:szCs w:val="24"/>
          <w:lang w:eastAsia="zh-CN"/>
        </w:rPr>
        <w:t>(1), 96–118.</w:t>
      </w:r>
    </w:p>
    <w:p w14:paraId="10CCC00B" w14:textId="5FDFEDB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Hermalin, B. E., &amp; Weisbach, M. S. (2012). Information disclosure and corporate governance. </w:t>
      </w:r>
      <w:r w:rsidRPr="00A450E8">
        <w:rPr>
          <w:rFonts w:ascii="Times New Roman" w:eastAsia="DengXian" w:hAnsi="Times New Roman" w:cs="Times New Roman"/>
          <w:i/>
          <w:iCs/>
          <w:color w:val="000000" w:themeColor="text1"/>
          <w:sz w:val="24"/>
          <w:szCs w:val="24"/>
          <w:lang w:eastAsia="zh-CN"/>
        </w:rPr>
        <w:t>Journal of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67</w:t>
      </w:r>
      <w:r w:rsidRPr="00A450E8">
        <w:rPr>
          <w:rFonts w:ascii="Times New Roman" w:eastAsia="DengXian" w:hAnsi="Times New Roman" w:cs="Times New Roman"/>
          <w:color w:val="000000" w:themeColor="text1"/>
          <w:sz w:val="24"/>
          <w:szCs w:val="24"/>
          <w:lang w:eastAsia="zh-CN"/>
        </w:rPr>
        <w:t>(1), 195–233</w:t>
      </w:r>
      <w:r>
        <w:rPr>
          <w:rFonts w:ascii="Times New Roman" w:eastAsia="DengXian" w:hAnsi="Times New Roman" w:cs="Times New Roman"/>
          <w:color w:val="000000" w:themeColor="text1"/>
          <w:sz w:val="24"/>
          <w:szCs w:val="24"/>
          <w:lang w:eastAsia="zh-CN"/>
        </w:rPr>
        <w:t>.</w:t>
      </w:r>
    </w:p>
    <w:p w14:paraId="19F02982" w14:textId="1B521DE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Higgs, D. (2003). Review of the role and effectiveness of non-executive directors. </w:t>
      </w:r>
      <w:r>
        <w:rPr>
          <w:rFonts w:ascii="Times New Roman" w:eastAsia="DengXian" w:hAnsi="Times New Roman" w:cs="Times New Roman"/>
          <w:i/>
          <w:iCs/>
          <w:color w:val="000000" w:themeColor="text1"/>
          <w:sz w:val="24"/>
          <w:szCs w:val="24"/>
          <w:lang w:eastAsia="zh-CN"/>
        </w:rPr>
        <w:t>www</w:t>
      </w:r>
      <w:r w:rsidRPr="00A450E8">
        <w:rPr>
          <w:rFonts w:ascii="Times New Roman" w:eastAsia="DengXian" w:hAnsi="Times New Roman" w:cs="Times New Roman"/>
          <w:i/>
          <w:iCs/>
          <w:color w:val="000000" w:themeColor="text1"/>
          <w:sz w:val="24"/>
          <w:szCs w:val="24"/>
          <w:lang w:eastAsia="zh-CN"/>
        </w:rPr>
        <w:t>.</w:t>
      </w:r>
      <w:r>
        <w:rPr>
          <w:rFonts w:ascii="Times New Roman" w:eastAsia="DengXian" w:hAnsi="Times New Roman" w:cs="Times New Roman"/>
          <w:i/>
          <w:iCs/>
          <w:color w:val="000000" w:themeColor="text1"/>
          <w:sz w:val="24"/>
          <w:szCs w:val="24"/>
          <w:lang w:eastAsia="zh-CN"/>
        </w:rPr>
        <w:t>d</w:t>
      </w:r>
      <w:r w:rsidRPr="00A450E8">
        <w:rPr>
          <w:rFonts w:ascii="Times New Roman" w:eastAsia="DengXian" w:hAnsi="Times New Roman" w:cs="Times New Roman"/>
          <w:i/>
          <w:iCs/>
          <w:color w:val="000000" w:themeColor="text1"/>
          <w:sz w:val="24"/>
          <w:szCs w:val="24"/>
          <w:lang w:eastAsia="zh-CN"/>
        </w:rPr>
        <w:t>ti.</w:t>
      </w:r>
      <w:r>
        <w:rPr>
          <w:rFonts w:ascii="Times New Roman" w:eastAsia="DengXian" w:hAnsi="Times New Roman" w:cs="Times New Roman"/>
          <w:i/>
          <w:iCs/>
          <w:color w:val="000000" w:themeColor="text1"/>
          <w:sz w:val="24"/>
          <w:szCs w:val="24"/>
          <w:lang w:eastAsia="zh-CN"/>
        </w:rPr>
        <w:t>g</w:t>
      </w:r>
      <w:r w:rsidRPr="00A450E8">
        <w:rPr>
          <w:rFonts w:ascii="Times New Roman" w:eastAsia="DengXian" w:hAnsi="Times New Roman" w:cs="Times New Roman"/>
          <w:i/>
          <w:iCs/>
          <w:color w:val="000000" w:themeColor="text1"/>
          <w:sz w:val="24"/>
          <w:szCs w:val="24"/>
          <w:lang w:eastAsia="zh-CN"/>
        </w:rPr>
        <w:t>ov.</w:t>
      </w:r>
      <w:r>
        <w:rPr>
          <w:rFonts w:ascii="Times New Roman" w:eastAsia="DengXian" w:hAnsi="Times New Roman" w:cs="Times New Roman"/>
          <w:i/>
          <w:iCs/>
          <w:color w:val="000000" w:themeColor="text1"/>
          <w:sz w:val="24"/>
          <w:szCs w:val="24"/>
          <w:lang w:eastAsia="zh-CN"/>
        </w:rPr>
        <w:t>u</w:t>
      </w:r>
      <w:r w:rsidRPr="00A450E8">
        <w:rPr>
          <w:rFonts w:ascii="Times New Roman" w:eastAsia="DengXian" w:hAnsi="Times New Roman" w:cs="Times New Roman"/>
          <w:i/>
          <w:iCs/>
          <w:color w:val="000000" w:themeColor="text1"/>
          <w:sz w:val="24"/>
          <w:szCs w:val="24"/>
          <w:lang w:eastAsia="zh-CN"/>
        </w:rPr>
        <w:t>k/</w:t>
      </w:r>
      <w:r>
        <w:rPr>
          <w:rFonts w:ascii="Times New Roman" w:eastAsia="DengXian" w:hAnsi="Times New Roman" w:cs="Times New Roman"/>
          <w:i/>
          <w:iCs/>
          <w:color w:val="000000" w:themeColor="text1"/>
          <w:sz w:val="24"/>
          <w:szCs w:val="24"/>
          <w:lang w:eastAsia="zh-CN"/>
        </w:rPr>
        <w:t>c</w:t>
      </w:r>
      <w:r w:rsidRPr="00A450E8">
        <w:rPr>
          <w:rFonts w:ascii="Times New Roman" w:eastAsia="DengXian" w:hAnsi="Times New Roman" w:cs="Times New Roman"/>
          <w:i/>
          <w:iCs/>
          <w:color w:val="000000" w:themeColor="text1"/>
          <w:sz w:val="24"/>
          <w:szCs w:val="24"/>
          <w:lang w:eastAsia="zh-CN"/>
        </w:rPr>
        <w:t>ld/</w:t>
      </w:r>
      <w:r>
        <w:rPr>
          <w:rFonts w:ascii="Times New Roman" w:eastAsia="DengXian" w:hAnsi="Times New Roman" w:cs="Times New Roman"/>
          <w:i/>
          <w:iCs/>
          <w:color w:val="000000" w:themeColor="text1"/>
          <w:sz w:val="24"/>
          <w:szCs w:val="24"/>
          <w:lang w:eastAsia="zh-CN"/>
        </w:rPr>
        <w:t>n</w:t>
      </w:r>
      <w:r w:rsidRPr="00A450E8">
        <w:rPr>
          <w:rFonts w:ascii="Times New Roman" w:eastAsia="DengXian" w:hAnsi="Times New Roman" w:cs="Times New Roman"/>
          <w:i/>
          <w:iCs/>
          <w:color w:val="000000" w:themeColor="text1"/>
          <w:sz w:val="24"/>
          <w:szCs w:val="24"/>
          <w:lang w:eastAsia="zh-CN"/>
        </w:rPr>
        <w:t>on_exec_review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January</w:t>
      </w:r>
      <w:r w:rsidRPr="00A450E8">
        <w:rPr>
          <w:rFonts w:ascii="Times New Roman" w:eastAsia="DengXian" w:hAnsi="Times New Roman" w:cs="Times New Roman"/>
          <w:color w:val="000000" w:themeColor="text1"/>
          <w:sz w:val="24"/>
          <w:szCs w:val="24"/>
          <w:lang w:eastAsia="zh-CN"/>
        </w:rPr>
        <w:t>, 3–73.</w:t>
      </w:r>
    </w:p>
    <w:p w14:paraId="2D752CF4" w14:textId="3850DDB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de-DE" w:eastAsia="zh-CN"/>
        </w:rPr>
        <w:t xml:space="preserve">Hines, C. S., &amp; Peters, G. F. (2015). </w:t>
      </w:r>
      <w:r w:rsidRPr="00A450E8">
        <w:rPr>
          <w:rFonts w:ascii="Times New Roman" w:eastAsia="DengXian" w:hAnsi="Times New Roman" w:cs="Times New Roman"/>
          <w:color w:val="000000" w:themeColor="text1"/>
          <w:sz w:val="24"/>
          <w:szCs w:val="24"/>
          <w:lang w:eastAsia="zh-CN"/>
        </w:rPr>
        <w:t xml:space="preserve">Voluntary risk management committee formation: Determinants and short-term outcomes. </w:t>
      </w:r>
      <w:r w:rsidRPr="00A450E8">
        <w:rPr>
          <w:rFonts w:ascii="Times New Roman" w:eastAsia="DengXian" w:hAnsi="Times New Roman" w:cs="Times New Roman"/>
          <w:i/>
          <w:iCs/>
          <w:color w:val="000000" w:themeColor="text1"/>
          <w:sz w:val="24"/>
          <w:szCs w:val="24"/>
          <w:lang w:eastAsia="zh-CN"/>
        </w:rPr>
        <w:t>Journal of Accounting and Public Policy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34</w:t>
      </w:r>
      <w:r w:rsidRPr="00A450E8">
        <w:rPr>
          <w:rFonts w:ascii="Times New Roman" w:eastAsia="DengXian" w:hAnsi="Times New Roman" w:cs="Times New Roman"/>
          <w:color w:val="000000" w:themeColor="text1"/>
          <w:sz w:val="24"/>
          <w:szCs w:val="24"/>
          <w:lang w:eastAsia="zh-CN"/>
        </w:rPr>
        <w:t xml:space="preserve">(3), 267–290. </w:t>
      </w:r>
    </w:p>
    <w:p w14:paraId="034A667C" w14:textId="71D66B7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Holmstrom, B</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w:t>
      </w:r>
      <w:r>
        <w:rPr>
          <w:rFonts w:ascii="Times New Roman" w:eastAsia="DengXian" w:hAnsi="Times New Roman" w:cs="Times New Roman"/>
          <w:color w:val="000000" w:themeColor="text1"/>
          <w:sz w:val="24"/>
          <w:szCs w:val="24"/>
          <w:lang w:eastAsia="zh-CN"/>
        </w:rPr>
        <w:t xml:space="preserve">&amp; </w:t>
      </w:r>
      <w:r w:rsidRPr="00A450E8">
        <w:rPr>
          <w:rFonts w:ascii="Times New Roman" w:eastAsia="DengXian" w:hAnsi="Times New Roman" w:cs="Times New Roman"/>
          <w:color w:val="000000" w:themeColor="text1"/>
          <w:sz w:val="24"/>
          <w:szCs w:val="24"/>
          <w:lang w:eastAsia="zh-CN"/>
        </w:rPr>
        <w:t xml:space="preserve">Milgrom, P. (2557). Multitask Principal-Agent Analyses: Incentive Contracts, Asset Ownership, and Job Design. </w:t>
      </w:r>
      <w:r w:rsidRPr="00A450E8">
        <w:rPr>
          <w:rFonts w:ascii="Times New Roman" w:eastAsia="DengXian" w:hAnsi="Times New Roman" w:cs="Times New Roman"/>
          <w:i/>
          <w:iCs/>
          <w:color w:val="000000" w:themeColor="text1"/>
          <w:sz w:val="24"/>
          <w:szCs w:val="24"/>
          <w:lang w:eastAsia="zh-CN"/>
        </w:rPr>
        <w:t xml:space="preserve">The Journal of Law, Economics &amp; </w:t>
      </w:r>
      <w:r>
        <w:rPr>
          <w:rFonts w:ascii="Times New Roman" w:eastAsia="DengXian" w:hAnsi="Times New Roman" w:cs="Times New Roman"/>
          <w:i/>
          <w:iCs/>
          <w:color w:val="000000" w:themeColor="text1"/>
          <w:sz w:val="24"/>
          <w:szCs w:val="24"/>
          <w:lang w:eastAsia="zh-CN"/>
        </w:rPr>
        <w:t>Or</w:t>
      </w:r>
      <w:r w:rsidRPr="00A450E8">
        <w:rPr>
          <w:rFonts w:ascii="Times New Roman" w:eastAsia="DengXian" w:hAnsi="Times New Roman" w:cs="Times New Roman"/>
          <w:i/>
          <w:iCs/>
          <w:color w:val="000000" w:themeColor="text1"/>
          <w:sz w:val="24"/>
          <w:szCs w:val="24"/>
          <w:lang w:eastAsia="zh-CN"/>
        </w:rPr>
        <w:t>ganization</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7</w:t>
      </w:r>
      <w:r w:rsidRPr="00A450E8">
        <w:rPr>
          <w:rFonts w:ascii="Times New Roman" w:eastAsia="DengXian" w:hAnsi="Times New Roman" w:cs="Times New Roman"/>
          <w:color w:val="000000" w:themeColor="text1"/>
          <w:sz w:val="24"/>
          <w:szCs w:val="24"/>
          <w:lang w:eastAsia="zh-CN"/>
        </w:rPr>
        <w:t>, 24–52.</w:t>
      </w:r>
    </w:p>
    <w:p w14:paraId="584A4E5B" w14:textId="49E5D56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Huang, J., &amp; Kisgen, D. J. (2013). Gender and corporate finance: Are male executives overconfident relative to female executives?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108</w:t>
      </w:r>
      <w:r w:rsidRPr="00A450E8">
        <w:rPr>
          <w:rFonts w:ascii="Times New Roman" w:eastAsia="DengXian" w:hAnsi="Times New Roman" w:cs="Times New Roman"/>
          <w:color w:val="000000" w:themeColor="text1"/>
          <w:sz w:val="24"/>
          <w:szCs w:val="24"/>
          <w:lang w:eastAsia="zh-CN"/>
        </w:rPr>
        <w:t xml:space="preserve">(3), 822–839. </w:t>
      </w:r>
    </w:p>
    <w:p w14:paraId="35ACD274" w14:textId="7777777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IFC. (2015). Guidance for the Directors of Banks. </w:t>
      </w:r>
      <w:r w:rsidRPr="00A450E8">
        <w:rPr>
          <w:rFonts w:ascii="Times New Roman" w:eastAsia="DengXian" w:hAnsi="Times New Roman" w:cs="Times New Roman"/>
          <w:i/>
          <w:iCs/>
          <w:color w:val="000000" w:themeColor="text1"/>
          <w:sz w:val="24"/>
          <w:szCs w:val="24"/>
          <w:lang w:eastAsia="zh-CN"/>
        </w:rPr>
        <w:t>Guidance for the Director of Banks</w:t>
      </w:r>
      <w:r w:rsidRPr="00A450E8">
        <w:rPr>
          <w:rFonts w:ascii="Times New Roman" w:eastAsia="DengXian" w:hAnsi="Times New Roman" w:cs="Times New Roman"/>
          <w:color w:val="000000" w:themeColor="text1"/>
          <w:sz w:val="24"/>
          <w:szCs w:val="24"/>
          <w:lang w:eastAsia="zh-CN"/>
        </w:rPr>
        <w:t>, 1–52.</w:t>
      </w:r>
    </w:p>
    <w:p w14:paraId="42126B01" w14:textId="11389F2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sv-SE" w:eastAsia="zh-CN"/>
        </w:rPr>
        <w:t xml:space="preserve">Joecks, J., Pull, K., &amp; Vetter, K. (2013). </w:t>
      </w:r>
      <w:r w:rsidRPr="00A450E8">
        <w:rPr>
          <w:rFonts w:ascii="Times New Roman" w:eastAsia="DengXian" w:hAnsi="Times New Roman" w:cs="Times New Roman"/>
          <w:color w:val="000000" w:themeColor="text1"/>
          <w:sz w:val="24"/>
          <w:szCs w:val="24"/>
          <w:lang w:eastAsia="zh-CN"/>
        </w:rPr>
        <w:t xml:space="preserve">Gender Diversity in the Boardroom and Firm Performance: What Exactly Constitutes a “Critical Mass?” </w:t>
      </w:r>
      <w:r w:rsidRPr="00A450E8">
        <w:rPr>
          <w:rFonts w:ascii="Times New Roman" w:eastAsia="DengXian" w:hAnsi="Times New Roman" w:cs="Times New Roman"/>
          <w:i/>
          <w:iCs/>
          <w:color w:val="000000" w:themeColor="text1"/>
          <w:sz w:val="24"/>
          <w:szCs w:val="24"/>
          <w:lang w:eastAsia="zh-CN"/>
        </w:rPr>
        <w:t>Journal of Business Ethics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118</w:t>
      </w:r>
      <w:r w:rsidRPr="00A450E8">
        <w:rPr>
          <w:rFonts w:ascii="Times New Roman" w:eastAsia="DengXian" w:hAnsi="Times New Roman" w:cs="Times New Roman"/>
          <w:color w:val="000000" w:themeColor="text1"/>
          <w:sz w:val="24"/>
          <w:szCs w:val="24"/>
          <w:lang w:eastAsia="zh-CN"/>
        </w:rPr>
        <w:t xml:space="preserve">(1), 61–72. </w:t>
      </w:r>
    </w:p>
    <w:p w14:paraId="579FEE69" w14:textId="443F0AC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Johnson, S. G., Schnatterly, K., &amp; Hill, A. D. (2013). Board Composition Beyond Independence: Social Capital, Human Capital, and Demographics. </w:t>
      </w:r>
      <w:r w:rsidRPr="00A450E8">
        <w:rPr>
          <w:rFonts w:ascii="Times New Roman" w:eastAsia="DengXian" w:hAnsi="Times New Roman" w:cs="Times New Roman"/>
          <w:i/>
          <w:iCs/>
          <w:color w:val="000000" w:themeColor="text1"/>
          <w:sz w:val="24"/>
          <w:szCs w:val="24"/>
          <w:lang w:eastAsia="zh-CN"/>
        </w:rPr>
        <w:t>Journal of Management</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39</w:t>
      </w:r>
      <w:r w:rsidRPr="00A450E8">
        <w:rPr>
          <w:rFonts w:ascii="Times New Roman" w:eastAsia="DengXian" w:hAnsi="Times New Roman" w:cs="Times New Roman"/>
          <w:color w:val="000000" w:themeColor="text1"/>
          <w:sz w:val="24"/>
          <w:szCs w:val="24"/>
          <w:lang w:eastAsia="zh-CN"/>
        </w:rPr>
        <w:t xml:space="preserve">(1), 232–262. </w:t>
      </w:r>
    </w:p>
    <w:p w14:paraId="2D8A2550" w14:textId="75E58B4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Jr, L. E. S. (2006). Toward a True Corporate Republic: A Traditionalist Response to Bebchuk’ s Solution for Improving Corporate America </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i/>
          <w:iCs/>
          <w:color w:val="000000" w:themeColor="text1"/>
          <w:sz w:val="24"/>
          <w:szCs w:val="24"/>
          <w:lang w:eastAsia="zh-CN"/>
        </w:rPr>
        <w:t>Harvard Law Review</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 119(6),</w:t>
      </w:r>
      <w:r w:rsidRPr="00A450E8">
        <w:rPr>
          <w:rFonts w:ascii="Times New Roman" w:eastAsia="DengXian" w:hAnsi="Times New Roman" w:cs="Times New Roman"/>
          <w:color w:val="000000" w:themeColor="text1"/>
          <w:sz w:val="24"/>
          <w:szCs w:val="24"/>
          <w:lang w:eastAsia="zh-CN"/>
        </w:rPr>
        <w:t xml:space="preserve"> 1759-1783</w:t>
      </w:r>
      <w:r>
        <w:rPr>
          <w:rFonts w:ascii="Times New Roman" w:eastAsia="DengXian" w:hAnsi="Times New Roman" w:cs="Times New Roman"/>
          <w:color w:val="000000" w:themeColor="text1"/>
          <w:sz w:val="24"/>
          <w:szCs w:val="24"/>
          <w:lang w:eastAsia="zh-CN"/>
        </w:rPr>
        <w:t>.</w:t>
      </w:r>
    </w:p>
    <w:p w14:paraId="27C62882" w14:textId="106613D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Khlif, H., &amp; Achek, I. (2017). Gender in accounting research: a review. In </w:t>
      </w:r>
      <w:r w:rsidRPr="00A450E8">
        <w:rPr>
          <w:rFonts w:ascii="Times New Roman" w:eastAsia="DengXian" w:hAnsi="Times New Roman" w:cs="Times New Roman"/>
          <w:i/>
          <w:iCs/>
          <w:color w:val="000000" w:themeColor="text1"/>
          <w:sz w:val="24"/>
          <w:szCs w:val="24"/>
          <w:lang w:eastAsia="zh-CN"/>
        </w:rPr>
        <w:t>Managerial Auditing Journal</w:t>
      </w:r>
      <w:r>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color w:val="000000" w:themeColor="text1"/>
          <w:sz w:val="24"/>
          <w:szCs w:val="24"/>
          <w:lang w:eastAsia="zh-CN"/>
        </w:rPr>
        <w:t>32</w:t>
      </w:r>
      <w:r>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color w:val="000000" w:themeColor="text1"/>
          <w:sz w:val="24"/>
          <w:szCs w:val="24"/>
          <w:lang w:eastAsia="zh-CN"/>
        </w:rPr>
        <w:t>6</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xml:space="preserve"> 627–655. </w:t>
      </w:r>
    </w:p>
    <w:p w14:paraId="780CD0C6" w14:textId="021D348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Kirsch, A. (2018). The gender composition of corporate boards: A review and research agenda. </w:t>
      </w:r>
      <w:r w:rsidRPr="00A450E8">
        <w:rPr>
          <w:rFonts w:ascii="Times New Roman" w:eastAsia="DengXian" w:hAnsi="Times New Roman" w:cs="Times New Roman"/>
          <w:i/>
          <w:iCs/>
          <w:color w:val="000000" w:themeColor="text1"/>
          <w:sz w:val="24"/>
          <w:szCs w:val="24"/>
          <w:lang w:eastAsia="zh-CN"/>
        </w:rPr>
        <w:t>Leadership Quarterly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29</w:t>
      </w:r>
      <w:r w:rsidRPr="00A450E8">
        <w:rPr>
          <w:rFonts w:ascii="Times New Roman" w:eastAsia="DengXian" w:hAnsi="Times New Roman" w:cs="Times New Roman"/>
          <w:color w:val="000000" w:themeColor="text1"/>
          <w:sz w:val="24"/>
          <w:szCs w:val="24"/>
          <w:lang w:eastAsia="zh-CN"/>
        </w:rPr>
        <w:t xml:space="preserve">(2), 346–364. </w:t>
      </w:r>
    </w:p>
    <w:p w14:paraId="1EB23C0F" w14:textId="2D77B87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Laura, M. (2018). </w:t>
      </w:r>
      <w:r w:rsidRPr="00A450E8">
        <w:rPr>
          <w:rFonts w:ascii="Times New Roman" w:eastAsia="DengXian" w:hAnsi="Times New Roman" w:cs="Times New Roman"/>
          <w:i/>
          <w:iCs/>
          <w:color w:val="000000" w:themeColor="text1"/>
          <w:sz w:val="24"/>
          <w:szCs w:val="24"/>
          <w:lang w:eastAsia="zh-CN"/>
        </w:rPr>
        <w:t>Bank Culture and Risk- Taking: Evidence from the European Banking Sector</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w:t>
      </w:r>
      <w:r w:rsidRPr="00A450E8">
        <w:rPr>
          <w:rFonts w:ascii="Times New Roman" w:eastAsia="DengXian" w:hAnsi="Times New Roman" w:cs="Times New Roman"/>
          <w:color w:val="000000" w:themeColor="text1"/>
          <w:sz w:val="24"/>
          <w:szCs w:val="24"/>
          <w:lang w:eastAsia="zh-CN"/>
        </w:rPr>
        <w:t xml:space="preserve">(1), 1–13. </w:t>
      </w:r>
    </w:p>
    <w:p w14:paraId="36B6D64E" w14:textId="64EBD3C4"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Levi, M., Li, K., &amp; Zhang, F. (2014). Director gender and mergers and acquisitions.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28</w:t>
      </w:r>
      <w:r w:rsidRPr="00A450E8">
        <w:rPr>
          <w:rFonts w:ascii="Times New Roman" w:eastAsia="DengXian" w:hAnsi="Times New Roman" w:cs="Times New Roman"/>
          <w:color w:val="000000" w:themeColor="text1"/>
          <w:sz w:val="24"/>
          <w:szCs w:val="24"/>
          <w:lang w:eastAsia="zh-CN"/>
        </w:rPr>
        <w:t xml:space="preserve">, 185–200. </w:t>
      </w:r>
    </w:p>
    <w:p w14:paraId="1F48336C" w14:textId="5EBC498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Lingel, A., &amp; Sheedy, E. (2012). The Influence of Risk Governance on Risk Outcomes-International Evidence 1. </w:t>
      </w:r>
      <w:r w:rsidRPr="00A450E8">
        <w:rPr>
          <w:rFonts w:ascii="Times New Roman" w:eastAsia="DengXian" w:hAnsi="Times New Roman" w:cs="Times New Roman"/>
          <w:i/>
          <w:iCs/>
          <w:color w:val="000000" w:themeColor="text1"/>
          <w:sz w:val="24"/>
          <w:szCs w:val="24"/>
          <w:lang w:eastAsia="zh-CN"/>
        </w:rPr>
        <w:t>Macquarie Applied Finance Centre Research Paper</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w:t>
      </w:r>
      <w:r w:rsidRPr="00A450E8">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i/>
          <w:iCs/>
          <w:color w:val="000000" w:themeColor="text1"/>
          <w:sz w:val="24"/>
          <w:szCs w:val="24"/>
          <w:lang w:eastAsia="zh-CN"/>
        </w:rPr>
        <w:t>53</w:t>
      </w:r>
      <w:r w:rsidRPr="00A450E8">
        <w:rPr>
          <w:rFonts w:ascii="Times New Roman" w:eastAsia="DengXian" w:hAnsi="Times New Roman" w:cs="Times New Roman"/>
          <w:color w:val="000000" w:themeColor="text1"/>
          <w:sz w:val="24"/>
          <w:szCs w:val="24"/>
          <w:lang w:eastAsia="zh-CN"/>
        </w:rPr>
        <w:t>. http://ssrn.com/abstract=2187116</w:t>
      </w:r>
      <w:r>
        <w:rPr>
          <w:rFonts w:ascii="Times New Roman" w:eastAsia="DengXian" w:hAnsi="Times New Roman" w:cs="Times New Roman"/>
          <w:color w:val="000000" w:themeColor="text1"/>
          <w:sz w:val="24"/>
          <w:szCs w:val="24"/>
          <w:lang w:eastAsia="zh-CN"/>
        </w:rPr>
        <w:t>.</w:t>
      </w:r>
    </w:p>
    <w:p w14:paraId="2FE97BD8" w14:textId="5589A06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Liu, C. (2018). Are women greener? Corporate gender diversity and environmental violations.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52</w:t>
      </w:r>
      <w:r w:rsidRPr="00A450E8">
        <w:rPr>
          <w:rFonts w:ascii="Times New Roman" w:eastAsia="DengXian" w:hAnsi="Times New Roman" w:cs="Times New Roman"/>
          <w:color w:val="000000" w:themeColor="text1"/>
          <w:sz w:val="24"/>
          <w:szCs w:val="24"/>
          <w:lang w:eastAsia="zh-CN"/>
        </w:rPr>
        <w:t xml:space="preserve">(February), 118–142. </w:t>
      </w:r>
    </w:p>
    <w:p w14:paraId="2B40DD7E" w14:textId="785E4D55"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Liu, Y., Wei, Z., &amp; Xie, F. (2014). Do women directors improve firm performance in China?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28</w:t>
      </w:r>
      <w:r w:rsidRPr="00A450E8">
        <w:rPr>
          <w:rFonts w:ascii="Times New Roman" w:eastAsia="DengXian" w:hAnsi="Times New Roman" w:cs="Times New Roman"/>
          <w:color w:val="000000" w:themeColor="text1"/>
          <w:sz w:val="24"/>
          <w:szCs w:val="24"/>
          <w:lang w:eastAsia="zh-CN"/>
        </w:rPr>
        <w:t xml:space="preserve">, 169–184. </w:t>
      </w:r>
    </w:p>
    <w:p w14:paraId="727E044F" w14:textId="062B389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Luu, H. N., Nguyen, L. H., &amp; Wilson, J. O. S. (2022). Organizational culture, competition and bank loan loss provisioning. </w:t>
      </w:r>
      <w:r w:rsidRPr="00A450E8">
        <w:rPr>
          <w:rFonts w:ascii="Times New Roman" w:eastAsia="DengXian" w:hAnsi="Times New Roman" w:cs="Times New Roman"/>
          <w:i/>
          <w:iCs/>
          <w:color w:val="000000" w:themeColor="text1"/>
          <w:sz w:val="24"/>
          <w:szCs w:val="24"/>
          <w:lang w:eastAsia="zh-CN"/>
        </w:rPr>
        <w:t>European Journal of Finance</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1-26.</w:t>
      </w:r>
    </w:p>
    <w:p w14:paraId="67784D39" w14:textId="432794AF"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Malik, M. F., Nowland, J., &amp; Buckby, S. (2021). Voluntary adoption of board risk committees and financial constraints risk. </w:t>
      </w:r>
      <w:r w:rsidRPr="00A450E8">
        <w:rPr>
          <w:rFonts w:ascii="Times New Roman" w:eastAsia="DengXian" w:hAnsi="Times New Roman" w:cs="Times New Roman"/>
          <w:i/>
          <w:iCs/>
          <w:color w:val="000000" w:themeColor="text1"/>
          <w:sz w:val="24"/>
          <w:szCs w:val="24"/>
          <w:lang w:eastAsia="zh-CN"/>
        </w:rPr>
        <w:t>International Review of Financial Analysis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73</w:t>
      </w:r>
      <w:r w:rsidRPr="00A450E8">
        <w:rPr>
          <w:rFonts w:ascii="Times New Roman" w:eastAsia="DengXian" w:hAnsi="Times New Roman" w:cs="Times New Roman"/>
          <w:color w:val="000000" w:themeColor="text1"/>
          <w:sz w:val="24"/>
          <w:szCs w:val="24"/>
          <w:lang w:eastAsia="zh-CN"/>
        </w:rPr>
        <w:t xml:space="preserve">. </w:t>
      </w:r>
    </w:p>
    <w:p w14:paraId="0D376DBC" w14:textId="607FD98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Mason, E. S., &amp; Mudrack, P. E. (1996). Gender and ethical orientation: A test of gender and occupational socialization theories. </w:t>
      </w:r>
      <w:r w:rsidRPr="00A450E8">
        <w:rPr>
          <w:rFonts w:ascii="Times New Roman" w:eastAsia="DengXian" w:hAnsi="Times New Roman" w:cs="Times New Roman"/>
          <w:i/>
          <w:iCs/>
          <w:color w:val="000000" w:themeColor="text1"/>
          <w:sz w:val="24"/>
          <w:szCs w:val="24"/>
          <w:lang w:eastAsia="zh-CN"/>
        </w:rPr>
        <w:t>Journal of Business Ethics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15</w:t>
      </w:r>
      <w:r w:rsidRPr="00A450E8">
        <w:rPr>
          <w:rFonts w:ascii="Times New Roman" w:eastAsia="DengXian" w:hAnsi="Times New Roman" w:cs="Times New Roman"/>
          <w:color w:val="000000" w:themeColor="text1"/>
          <w:sz w:val="24"/>
          <w:szCs w:val="24"/>
          <w:lang w:eastAsia="zh-CN"/>
        </w:rPr>
        <w:t xml:space="preserve">(6), 599–604. </w:t>
      </w:r>
    </w:p>
    <w:p w14:paraId="22797999" w14:textId="23C84B9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Matsa, D. A., &amp; Miller, A. R. (2013). A female style in corporate leadership? Evidence from quotas. </w:t>
      </w:r>
      <w:r w:rsidRPr="00A450E8">
        <w:rPr>
          <w:rFonts w:ascii="Times New Roman" w:eastAsia="DengXian" w:hAnsi="Times New Roman" w:cs="Times New Roman"/>
          <w:i/>
          <w:iCs/>
          <w:color w:val="000000" w:themeColor="text1"/>
          <w:sz w:val="24"/>
          <w:szCs w:val="24"/>
          <w:lang w:eastAsia="zh-CN"/>
        </w:rPr>
        <w:t>American Economic Journal: Applied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w:t>
      </w:r>
      <w:r w:rsidRPr="00A450E8">
        <w:rPr>
          <w:rFonts w:ascii="Times New Roman" w:eastAsia="DengXian" w:hAnsi="Times New Roman" w:cs="Times New Roman"/>
          <w:color w:val="000000" w:themeColor="text1"/>
          <w:sz w:val="24"/>
          <w:szCs w:val="24"/>
          <w:lang w:eastAsia="zh-CN"/>
        </w:rPr>
        <w:t xml:space="preserve">(3), 136–169. </w:t>
      </w:r>
    </w:p>
    <w:p w14:paraId="293AB42E" w14:textId="5607860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McGuinness, P. B., Vieito, J. P., &amp; Wang, M. (2017). The role of board gender and foreign ownership in the CSR performance of Chinese listed firms.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42</w:t>
      </w:r>
      <w:r w:rsidRPr="00A450E8">
        <w:rPr>
          <w:rFonts w:ascii="Times New Roman" w:eastAsia="DengXian" w:hAnsi="Times New Roman" w:cs="Times New Roman"/>
          <w:color w:val="000000" w:themeColor="text1"/>
          <w:sz w:val="24"/>
          <w:szCs w:val="24"/>
          <w:lang w:eastAsia="zh-CN"/>
        </w:rPr>
        <w:t xml:space="preserve">, 75–99. </w:t>
      </w:r>
    </w:p>
    <w:p w14:paraId="4C1F1B22" w14:textId="2436609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Mehran, H., Morrison, A., &amp; Shapiro, J. (2011). Federal Reserve Bank of New York Staff Reports Corporate Governance and Banks : What Have We Learned from the Financial Crisis ? </w:t>
      </w:r>
      <w:r w:rsidRPr="00A450E8">
        <w:rPr>
          <w:rFonts w:ascii="Times New Roman" w:eastAsia="DengXian" w:hAnsi="Times New Roman" w:cs="Times New Roman"/>
          <w:i/>
          <w:iCs/>
          <w:color w:val="000000" w:themeColor="text1"/>
          <w:sz w:val="24"/>
          <w:szCs w:val="24"/>
          <w:lang w:eastAsia="zh-CN"/>
        </w:rPr>
        <w:t>Federal Reserve Bank of New York Staff Reports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w:t>
      </w:r>
      <w:r w:rsidRPr="00A450E8">
        <w:rPr>
          <w:rFonts w:ascii="Times New Roman" w:eastAsia="DengXian" w:hAnsi="Times New Roman" w:cs="Times New Roman"/>
          <w:color w:val="000000" w:themeColor="text1"/>
          <w:sz w:val="24"/>
          <w:szCs w:val="24"/>
          <w:lang w:eastAsia="zh-CN"/>
        </w:rPr>
        <w:t xml:space="preserve">(502), </w:t>
      </w:r>
      <w:r>
        <w:rPr>
          <w:rFonts w:ascii="Times New Roman" w:eastAsia="DengXian" w:hAnsi="Times New Roman" w:cs="Times New Roman"/>
          <w:color w:val="000000" w:themeColor="text1"/>
          <w:sz w:val="24"/>
          <w:szCs w:val="24"/>
          <w:lang w:eastAsia="zh-CN"/>
        </w:rPr>
        <w:t>1-</w:t>
      </w:r>
      <w:r w:rsidRPr="00A450E8">
        <w:rPr>
          <w:rFonts w:ascii="Times New Roman" w:eastAsia="DengXian" w:hAnsi="Times New Roman" w:cs="Times New Roman"/>
          <w:color w:val="000000" w:themeColor="text1"/>
          <w:sz w:val="24"/>
          <w:szCs w:val="24"/>
          <w:lang w:eastAsia="zh-CN"/>
        </w:rPr>
        <w:t>44.</w:t>
      </w:r>
    </w:p>
    <w:p w14:paraId="79C0D367" w14:textId="55238B9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Minton, B. A., Taillard, J. P., &amp; Williamson, R. (2014). Financial expertise of the board, risk taking, and performance: Evidence from bank holding companies. </w:t>
      </w:r>
      <w:r w:rsidRPr="00A450E8">
        <w:rPr>
          <w:rFonts w:ascii="Times New Roman" w:eastAsia="DengXian" w:hAnsi="Times New Roman" w:cs="Times New Roman"/>
          <w:i/>
          <w:iCs/>
          <w:color w:val="000000" w:themeColor="text1"/>
          <w:sz w:val="24"/>
          <w:szCs w:val="24"/>
          <w:lang w:eastAsia="zh-CN"/>
        </w:rPr>
        <w:t>Journal of Financial and Quantitative Analysis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49</w:t>
      </w:r>
      <w:r w:rsidRPr="00A450E8">
        <w:rPr>
          <w:rFonts w:ascii="Times New Roman" w:eastAsia="DengXian" w:hAnsi="Times New Roman" w:cs="Times New Roman"/>
          <w:color w:val="000000" w:themeColor="text1"/>
          <w:sz w:val="24"/>
          <w:szCs w:val="24"/>
          <w:lang w:eastAsia="zh-CN"/>
        </w:rPr>
        <w:t xml:space="preserve">(2), 351–380. </w:t>
      </w:r>
    </w:p>
    <w:p w14:paraId="757B0C47" w14:textId="4FAF15C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Mitra, A., Post, C., &amp; Sauerwald, S. (2021). Evaluating board candidates: A threat-contingency model of shareholder dissent against female director candidates. </w:t>
      </w:r>
      <w:r w:rsidRPr="00A450E8">
        <w:rPr>
          <w:rFonts w:ascii="Times New Roman" w:eastAsia="DengXian" w:hAnsi="Times New Roman" w:cs="Times New Roman"/>
          <w:i/>
          <w:iCs/>
          <w:color w:val="000000" w:themeColor="text1"/>
          <w:sz w:val="24"/>
          <w:szCs w:val="24"/>
          <w:lang w:eastAsia="zh-CN"/>
        </w:rPr>
        <w:t>Organization Science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32</w:t>
      </w:r>
      <w:r w:rsidRPr="00A450E8">
        <w:rPr>
          <w:rFonts w:ascii="Times New Roman" w:eastAsia="DengXian" w:hAnsi="Times New Roman" w:cs="Times New Roman"/>
          <w:color w:val="000000" w:themeColor="text1"/>
          <w:sz w:val="24"/>
          <w:szCs w:val="24"/>
          <w:lang w:eastAsia="zh-CN"/>
        </w:rPr>
        <w:t xml:space="preserve">(1), 86–110. </w:t>
      </w:r>
    </w:p>
    <w:p w14:paraId="0C92F55C" w14:textId="09804265"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Mollah, S., Liljeblom, E., &amp; Mobarek, A. (2021). Heterogeneity in Independent Non- Executive Directors’ Attributes and Risk - Taking in Large Banks</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xml:space="preserve"> Forthcoming.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1–59.</w:t>
      </w:r>
    </w:p>
    <w:p w14:paraId="7CDB7DBF" w14:textId="521DCD19"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Nguyen, D. D., Nguyen, L., &amp; Sila, V. (2019). Does Corporate Culture Affect Bank Risk-Taking? Evidence from Loan-Level Data. </w:t>
      </w:r>
      <w:r w:rsidRPr="00A450E8">
        <w:rPr>
          <w:rFonts w:ascii="Times New Roman" w:eastAsia="DengXian" w:hAnsi="Times New Roman" w:cs="Times New Roman"/>
          <w:i/>
          <w:iCs/>
          <w:color w:val="000000" w:themeColor="text1"/>
          <w:sz w:val="24"/>
          <w:szCs w:val="24"/>
          <w:lang w:eastAsia="zh-CN"/>
        </w:rPr>
        <w:t>British Journal of Management</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30</w:t>
      </w:r>
      <w:r w:rsidRPr="00A450E8">
        <w:rPr>
          <w:rFonts w:ascii="Times New Roman" w:eastAsia="DengXian" w:hAnsi="Times New Roman" w:cs="Times New Roman"/>
          <w:color w:val="000000" w:themeColor="text1"/>
          <w:sz w:val="24"/>
          <w:szCs w:val="24"/>
          <w:lang w:eastAsia="zh-CN"/>
        </w:rPr>
        <w:t>(1)</w:t>
      </w:r>
      <w:r>
        <w:rPr>
          <w:rFonts w:ascii="Times New Roman" w:eastAsia="DengXian" w:hAnsi="Times New Roman" w:cs="Times New Roman"/>
          <w:color w:val="000000" w:themeColor="text1"/>
          <w:sz w:val="24"/>
          <w:szCs w:val="24"/>
          <w:lang w:eastAsia="zh-CN"/>
        </w:rPr>
        <w:t>.106-133</w:t>
      </w:r>
    </w:p>
    <w:p w14:paraId="7A2A60AD" w14:textId="51D1701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Pathan, S., &amp; Faff, R. (2013). Does board structure in banks really affect their performance? </w:t>
      </w:r>
      <w:r w:rsidRPr="00A450E8">
        <w:rPr>
          <w:rFonts w:ascii="Times New Roman" w:eastAsia="DengXian" w:hAnsi="Times New Roman" w:cs="Times New Roman"/>
          <w:i/>
          <w:iCs/>
          <w:color w:val="000000" w:themeColor="text1"/>
          <w:sz w:val="24"/>
          <w:szCs w:val="24"/>
          <w:lang w:eastAsia="zh-CN"/>
        </w:rPr>
        <w:t>Journal of Banking and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37</w:t>
      </w:r>
      <w:r w:rsidRPr="00A450E8">
        <w:rPr>
          <w:rFonts w:ascii="Times New Roman" w:eastAsia="DengXian" w:hAnsi="Times New Roman" w:cs="Times New Roman"/>
          <w:color w:val="000000" w:themeColor="text1"/>
          <w:sz w:val="24"/>
          <w:szCs w:val="24"/>
          <w:lang w:eastAsia="zh-CN"/>
        </w:rPr>
        <w:t xml:space="preserve">(5), 1573–1589. </w:t>
      </w:r>
    </w:p>
    <w:p w14:paraId="46CBC0B0" w14:textId="6AC4FBC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Pathan, S., &amp; Skully, M. (2010). Endogenously structured boards of directors in banks. </w:t>
      </w:r>
      <w:r w:rsidRPr="00A450E8">
        <w:rPr>
          <w:rFonts w:ascii="Times New Roman" w:eastAsia="DengXian" w:hAnsi="Times New Roman" w:cs="Times New Roman"/>
          <w:i/>
          <w:iCs/>
          <w:color w:val="000000" w:themeColor="text1"/>
          <w:sz w:val="24"/>
          <w:szCs w:val="24"/>
          <w:lang w:eastAsia="zh-CN"/>
        </w:rPr>
        <w:t>Journal of Banking and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34</w:t>
      </w:r>
      <w:r w:rsidRPr="00A450E8">
        <w:rPr>
          <w:rFonts w:ascii="Times New Roman" w:eastAsia="DengXian" w:hAnsi="Times New Roman" w:cs="Times New Roman"/>
          <w:color w:val="000000" w:themeColor="text1"/>
          <w:sz w:val="24"/>
          <w:szCs w:val="24"/>
          <w:lang w:eastAsia="zh-CN"/>
        </w:rPr>
        <w:t xml:space="preserve">(7), 1590–1606. </w:t>
      </w:r>
    </w:p>
    <w:p w14:paraId="11ABF2E3" w14:textId="21FC5664"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Popadak, J. A. (2013). A Corporate Culture Channel: How Increased Shareholder Governance Reduces Firm Value. </w:t>
      </w:r>
      <w:r w:rsidRPr="00A450E8">
        <w:rPr>
          <w:rFonts w:ascii="Times New Roman" w:eastAsia="DengXian" w:hAnsi="Times New Roman" w:cs="Times New Roman"/>
          <w:i/>
          <w:iCs/>
          <w:color w:val="000000" w:themeColor="text1"/>
          <w:sz w:val="24"/>
          <w:szCs w:val="24"/>
          <w:lang w:eastAsia="zh-CN"/>
        </w:rPr>
        <w:t>SSRN Electronic Journal</w:t>
      </w:r>
      <w:r w:rsidRPr="00A450E8">
        <w:rPr>
          <w:rFonts w:ascii="Times New Roman" w:eastAsia="DengXian" w:hAnsi="Times New Roman" w:cs="Times New Roman"/>
          <w:color w:val="000000" w:themeColor="text1"/>
          <w:sz w:val="24"/>
          <w:szCs w:val="24"/>
          <w:lang w:eastAsia="zh-CN"/>
        </w:rPr>
        <w:t xml:space="preserve">. </w:t>
      </w:r>
    </w:p>
    <w:p w14:paraId="0C91A4DE" w14:textId="383022B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Power, M., Ashby, S., &amp; Palermo, T. (2013). Risk Culture in Financial Organisations. </w:t>
      </w:r>
      <w:r w:rsidRPr="00A450E8">
        <w:rPr>
          <w:rFonts w:ascii="Times New Roman" w:eastAsia="DengXian" w:hAnsi="Times New Roman" w:cs="Times New Roman"/>
          <w:i/>
          <w:iCs/>
          <w:color w:val="000000" w:themeColor="text1"/>
          <w:sz w:val="24"/>
          <w:szCs w:val="24"/>
          <w:lang w:eastAsia="zh-CN"/>
        </w:rPr>
        <w:t>A Research Report. CARR-Analysis of Risk and Regulation</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November</w:t>
      </w:r>
      <w:r w:rsidRPr="00A450E8">
        <w:rPr>
          <w:rFonts w:ascii="Times New Roman" w:eastAsia="DengXian" w:hAnsi="Times New Roman" w:cs="Times New Roman"/>
          <w:color w:val="000000" w:themeColor="text1"/>
          <w:sz w:val="24"/>
          <w:szCs w:val="24"/>
          <w:lang w:eastAsia="zh-CN"/>
        </w:rPr>
        <w:t xml:space="preserve"> 1–107.</w:t>
      </w:r>
    </w:p>
    <w:p w14:paraId="4A6E872E" w14:textId="29B070D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Richardson, G., Taylor, G., &amp; Lanis, R. (2016). Women on the board of directors and corporate tax aggressiveness in Australia An empirical analysis. </w:t>
      </w:r>
      <w:r w:rsidRPr="00A450E8">
        <w:rPr>
          <w:rFonts w:ascii="Times New Roman" w:eastAsia="DengXian" w:hAnsi="Times New Roman" w:cs="Times New Roman"/>
          <w:i/>
          <w:iCs/>
          <w:color w:val="000000" w:themeColor="text1"/>
          <w:sz w:val="24"/>
          <w:szCs w:val="24"/>
          <w:lang w:eastAsia="zh-CN"/>
        </w:rPr>
        <w:t>Accounting Research Journal</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29</w:t>
      </w:r>
      <w:r w:rsidRPr="00A450E8">
        <w:rPr>
          <w:rFonts w:ascii="Times New Roman" w:eastAsia="DengXian" w:hAnsi="Times New Roman" w:cs="Times New Roman"/>
          <w:color w:val="000000" w:themeColor="text1"/>
          <w:sz w:val="24"/>
          <w:szCs w:val="24"/>
          <w:lang w:eastAsia="zh-CN"/>
        </w:rPr>
        <w:t xml:space="preserve">(3), 313–331. </w:t>
      </w:r>
    </w:p>
    <w:p w14:paraId="0D44C1D6" w14:textId="70E4CD7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Rosenbaum, P. R., &amp; Rubin, D. B. (2006). The central role of the propensity score in observational studies for causal effects. </w:t>
      </w:r>
      <w:r w:rsidRPr="00A450E8">
        <w:rPr>
          <w:rFonts w:ascii="Times New Roman" w:eastAsia="DengXian" w:hAnsi="Times New Roman" w:cs="Times New Roman"/>
          <w:i/>
          <w:iCs/>
          <w:color w:val="000000" w:themeColor="text1"/>
          <w:sz w:val="24"/>
          <w:szCs w:val="24"/>
          <w:lang w:eastAsia="zh-CN"/>
        </w:rPr>
        <w:t>Matched Sampling for Causal Effects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1083</w:t>
      </w:r>
      <w:r w:rsidRPr="00A450E8">
        <w:rPr>
          <w:rFonts w:ascii="Times New Roman" w:eastAsia="DengXian" w:hAnsi="Times New Roman" w:cs="Times New Roman"/>
          <w:color w:val="000000" w:themeColor="text1"/>
          <w:sz w:val="24"/>
          <w:szCs w:val="24"/>
          <w:lang w:eastAsia="zh-CN"/>
        </w:rPr>
        <w:t xml:space="preserve">, 170–184. </w:t>
      </w:r>
    </w:p>
    <w:p w14:paraId="21CCE538" w14:textId="24D914B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Sarin, R., &amp; Wieland, A. (2016). Risk aversion for decisions under uncertainty: Are there gender differences? </w:t>
      </w:r>
      <w:r w:rsidRPr="00A450E8">
        <w:rPr>
          <w:rFonts w:ascii="Times New Roman" w:eastAsia="DengXian" w:hAnsi="Times New Roman" w:cs="Times New Roman"/>
          <w:i/>
          <w:iCs/>
          <w:color w:val="000000" w:themeColor="text1"/>
          <w:sz w:val="24"/>
          <w:szCs w:val="24"/>
          <w:lang w:eastAsia="zh-CN"/>
        </w:rPr>
        <w:t>Journal of Behavioural and Experimental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60</w:t>
      </w:r>
      <w:r w:rsidRPr="00A450E8">
        <w:rPr>
          <w:rFonts w:ascii="Times New Roman" w:eastAsia="DengXian" w:hAnsi="Times New Roman" w:cs="Times New Roman"/>
          <w:color w:val="000000" w:themeColor="text1"/>
          <w:sz w:val="24"/>
          <w:szCs w:val="24"/>
          <w:lang w:eastAsia="zh-CN"/>
        </w:rPr>
        <w:t xml:space="preserve">, 1–8. </w:t>
      </w:r>
    </w:p>
    <w:p w14:paraId="4C824AD8" w14:textId="3F922FF1" w:rsidR="00A450E8" w:rsidRPr="009E69CE" w:rsidRDefault="00A450E8" w:rsidP="00A450E8">
      <w:pPr>
        <w:spacing w:line="480" w:lineRule="auto"/>
        <w:jc w:val="both"/>
        <w:rPr>
          <w:rFonts w:ascii="Times New Roman" w:eastAsia="DengXian" w:hAnsi="Times New Roman" w:cs="Times New Roman"/>
          <w:color w:val="000000" w:themeColor="text1"/>
          <w:sz w:val="24"/>
          <w:szCs w:val="24"/>
          <w:lang w:val="de-DE" w:eastAsia="zh-CN"/>
        </w:rPr>
      </w:pPr>
      <w:r w:rsidRPr="00A450E8">
        <w:rPr>
          <w:rFonts w:ascii="Times New Roman" w:eastAsia="DengXian" w:hAnsi="Times New Roman" w:cs="Times New Roman"/>
          <w:color w:val="000000" w:themeColor="text1"/>
          <w:sz w:val="24"/>
          <w:szCs w:val="24"/>
          <w:lang w:eastAsia="zh-CN"/>
        </w:rPr>
        <w:t xml:space="preserve">Sheedy, E. A., &amp; Griffin, B. (2014). Empirical Analysis of Risk Culture in Financial Institutions: Interim Report. </w:t>
      </w:r>
      <w:r w:rsidRPr="009E69CE">
        <w:rPr>
          <w:rFonts w:ascii="Times New Roman" w:eastAsia="DengXian" w:hAnsi="Times New Roman" w:cs="Times New Roman"/>
          <w:i/>
          <w:iCs/>
          <w:color w:val="000000" w:themeColor="text1"/>
          <w:sz w:val="24"/>
          <w:szCs w:val="24"/>
          <w:lang w:val="de-DE" w:eastAsia="zh-CN"/>
        </w:rPr>
        <w:t>SSRN Electronic,</w:t>
      </w:r>
      <w:r w:rsidRPr="009E69CE">
        <w:rPr>
          <w:rFonts w:ascii="Times New Roman" w:eastAsia="DengXian" w:hAnsi="Times New Roman" w:cs="Times New Roman"/>
          <w:color w:val="000000" w:themeColor="text1"/>
          <w:sz w:val="24"/>
          <w:szCs w:val="24"/>
          <w:lang w:val="de-DE" w:eastAsia="zh-CN"/>
        </w:rPr>
        <w:t>https://doi.org/10.2139/ssrn.2529803</w:t>
      </w:r>
    </w:p>
    <w:p w14:paraId="27FDEECE" w14:textId="50D48F7C"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de-DE" w:eastAsia="zh-CN"/>
        </w:rPr>
        <w:t xml:space="preserve">Sheedy, E., &amp; Griffin, B. (2018). </w:t>
      </w:r>
      <w:r w:rsidRPr="00A450E8">
        <w:rPr>
          <w:rFonts w:ascii="Times New Roman" w:eastAsia="DengXian" w:hAnsi="Times New Roman" w:cs="Times New Roman"/>
          <w:color w:val="000000" w:themeColor="text1"/>
          <w:sz w:val="24"/>
          <w:szCs w:val="24"/>
          <w:lang w:eastAsia="zh-CN"/>
        </w:rPr>
        <w:t xml:space="preserve">Risk governance, structures, culture, and behavior: A view from the inside. </w:t>
      </w:r>
      <w:r w:rsidRPr="00A450E8">
        <w:rPr>
          <w:rFonts w:ascii="Times New Roman" w:eastAsia="DengXian" w:hAnsi="Times New Roman" w:cs="Times New Roman"/>
          <w:i/>
          <w:iCs/>
          <w:color w:val="000000" w:themeColor="text1"/>
          <w:sz w:val="24"/>
          <w:szCs w:val="24"/>
          <w:lang w:eastAsia="zh-CN"/>
        </w:rPr>
        <w:t>Corporate Governance: An International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26</w:t>
      </w:r>
      <w:r w:rsidRPr="00A450E8">
        <w:rPr>
          <w:rFonts w:ascii="Times New Roman" w:eastAsia="DengXian" w:hAnsi="Times New Roman" w:cs="Times New Roman"/>
          <w:color w:val="000000" w:themeColor="text1"/>
          <w:sz w:val="24"/>
          <w:szCs w:val="24"/>
          <w:lang w:eastAsia="zh-CN"/>
        </w:rPr>
        <w:t xml:space="preserve">(1), 4–22. </w:t>
      </w:r>
    </w:p>
    <w:p w14:paraId="53BF2D2D" w14:textId="05915633"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Song, F., &amp; Thakor, A. V. (2019). Bank culture. </w:t>
      </w:r>
      <w:r w:rsidRPr="00A450E8">
        <w:rPr>
          <w:rFonts w:ascii="Times New Roman" w:eastAsia="DengXian" w:hAnsi="Times New Roman" w:cs="Times New Roman"/>
          <w:i/>
          <w:iCs/>
          <w:color w:val="000000" w:themeColor="text1"/>
          <w:sz w:val="24"/>
          <w:szCs w:val="24"/>
          <w:lang w:eastAsia="zh-CN"/>
        </w:rPr>
        <w:t>Journal of Financial Intermediation</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39</w:t>
      </w:r>
      <w:r w:rsidRPr="00A450E8">
        <w:rPr>
          <w:rFonts w:ascii="Times New Roman" w:eastAsia="DengXian" w:hAnsi="Times New Roman" w:cs="Times New Roman"/>
          <w:color w:val="000000" w:themeColor="text1"/>
          <w:sz w:val="24"/>
          <w:szCs w:val="24"/>
          <w:lang w:eastAsia="zh-CN"/>
        </w:rPr>
        <w:t xml:space="preserve">(June 2018), 59–79. </w:t>
      </w:r>
    </w:p>
    <w:p w14:paraId="6834F71B" w14:textId="33A4A75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Srivastav, A., &amp; Hagendorff, J. (2016). Corporate Governance and Bank Risk-taking. </w:t>
      </w:r>
      <w:r w:rsidRPr="00A450E8">
        <w:rPr>
          <w:rFonts w:ascii="Times New Roman" w:eastAsia="DengXian" w:hAnsi="Times New Roman" w:cs="Times New Roman"/>
          <w:i/>
          <w:iCs/>
          <w:color w:val="000000" w:themeColor="text1"/>
          <w:sz w:val="24"/>
          <w:szCs w:val="24"/>
          <w:lang w:eastAsia="zh-CN"/>
        </w:rPr>
        <w:t>Corporate Governance: An International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24</w:t>
      </w:r>
      <w:r w:rsidRPr="00A450E8">
        <w:rPr>
          <w:rFonts w:ascii="Times New Roman" w:eastAsia="DengXian" w:hAnsi="Times New Roman" w:cs="Times New Roman"/>
          <w:color w:val="000000" w:themeColor="text1"/>
          <w:sz w:val="24"/>
          <w:szCs w:val="24"/>
          <w:lang w:eastAsia="zh-CN"/>
        </w:rPr>
        <w:t xml:space="preserve">(3), 334–345. </w:t>
      </w:r>
    </w:p>
    <w:p w14:paraId="280108ED" w14:textId="1644507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Stulz, R. M. (2015). Risk-Taking and Risk Management by Banks. </w:t>
      </w:r>
      <w:r w:rsidRPr="00A450E8">
        <w:rPr>
          <w:rFonts w:ascii="Times New Roman" w:eastAsia="DengXian" w:hAnsi="Times New Roman" w:cs="Times New Roman"/>
          <w:i/>
          <w:iCs/>
          <w:color w:val="000000" w:themeColor="text1"/>
          <w:sz w:val="24"/>
          <w:szCs w:val="24"/>
          <w:lang w:eastAsia="zh-CN"/>
        </w:rPr>
        <w:t>Journal of Applied Corporate Finance</w:t>
      </w:r>
      <w:r w:rsidRPr="00A450E8">
        <w:rPr>
          <w:rFonts w:ascii="Times New Roman" w:eastAsia="DengXian" w:hAnsi="Times New Roman" w:cs="Times New Roman"/>
          <w:color w:val="000000" w:themeColor="text1"/>
          <w:sz w:val="24"/>
          <w:szCs w:val="24"/>
          <w:lang w:eastAsia="zh-CN"/>
        </w:rPr>
        <w:t>, 7–19.</w:t>
      </w:r>
    </w:p>
    <w:p w14:paraId="4AC0318E" w14:textId="7777777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Stulz, R. M. (2016). Risk Management, Governance, Culture, and Risk Taking in Banks. </w:t>
      </w:r>
      <w:r w:rsidRPr="00A450E8">
        <w:rPr>
          <w:rFonts w:ascii="Times New Roman" w:eastAsia="DengXian" w:hAnsi="Times New Roman" w:cs="Times New Roman"/>
          <w:i/>
          <w:iCs/>
          <w:color w:val="000000" w:themeColor="text1"/>
          <w:sz w:val="24"/>
          <w:szCs w:val="24"/>
          <w:lang w:eastAsia="zh-CN"/>
        </w:rPr>
        <w:t>Economic Policy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August</w:t>
      </w:r>
      <w:r w:rsidRPr="00A450E8">
        <w:rPr>
          <w:rFonts w:ascii="Times New Roman" w:eastAsia="DengXian" w:hAnsi="Times New Roman" w:cs="Times New Roman"/>
          <w:color w:val="000000" w:themeColor="text1"/>
          <w:sz w:val="24"/>
          <w:szCs w:val="24"/>
          <w:lang w:eastAsia="zh-CN"/>
        </w:rPr>
        <w:t>, 43–59.</w:t>
      </w:r>
    </w:p>
    <w:p w14:paraId="4A39FD09" w14:textId="55CF82C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Terjesen, S., Couto, E. B., &amp; Francisco, P. M. (2016). Does the presence of independent and female directors impact firm performance? A multi-country study of board diversity. </w:t>
      </w:r>
      <w:r w:rsidRPr="00A450E8">
        <w:rPr>
          <w:rFonts w:ascii="Times New Roman" w:eastAsia="DengXian" w:hAnsi="Times New Roman" w:cs="Times New Roman"/>
          <w:i/>
          <w:iCs/>
          <w:color w:val="000000" w:themeColor="text1"/>
          <w:sz w:val="24"/>
          <w:szCs w:val="24"/>
          <w:lang w:eastAsia="zh-CN"/>
        </w:rPr>
        <w:t>Journal of Management and Governance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20</w:t>
      </w:r>
      <w:r w:rsidRPr="00A450E8">
        <w:rPr>
          <w:rFonts w:ascii="Times New Roman" w:eastAsia="DengXian" w:hAnsi="Times New Roman" w:cs="Times New Roman"/>
          <w:color w:val="000000" w:themeColor="text1"/>
          <w:sz w:val="24"/>
          <w:szCs w:val="24"/>
          <w:lang w:eastAsia="zh-CN"/>
        </w:rPr>
        <w:t xml:space="preserve">(3), 447–483. </w:t>
      </w:r>
    </w:p>
    <w:p w14:paraId="2DAD240D" w14:textId="455FD3B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Thakor, A. (2015). Risk Management in the Financial Services Industry The Role of Culture, Governance, and Financial Reporting. </w:t>
      </w:r>
      <w:r w:rsidRPr="00A450E8">
        <w:rPr>
          <w:rFonts w:ascii="Times New Roman" w:eastAsia="DengXian" w:hAnsi="Times New Roman" w:cs="Times New Roman"/>
          <w:i/>
          <w:iCs/>
          <w:color w:val="000000" w:themeColor="text1"/>
          <w:sz w:val="24"/>
          <w:szCs w:val="24"/>
          <w:lang w:eastAsia="zh-CN"/>
        </w:rPr>
        <w:t>Economic Policy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June</w:t>
      </w:r>
      <w:r>
        <w:rPr>
          <w:rFonts w:ascii="Times New Roman" w:eastAsia="DengXian" w:hAnsi="Times New Roman" w:cs="Times New Roman"/>
          <w:i/>
          <w:iCs/>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xml:space="preserve"> 1–10.</w:t>
      </w:r>
    </w:p>
    <w:p w14:paraId="664CE222" w14:textId="62A6A4C8"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Thakor, A. V. (2015). Corporate Culture in Banking. </w:t>
      </w:r>
      <w:r w:rsidRPr="00A450E8">
        <w:rPr>
          <w:rFonts w:ascii="Times New Roman" w:eastAsia="DengXian" w:hAnsi="Times New Roman" w:cs="Times New Roman"/>
          <w:i/>
          <w:iCs/>
          <w:color w:val="000000" w:themeColor="text1"/>
          <w:sz w:val="24"/>
          <w:szCs w:val="24"/>
          <w:lang w:eastAsia="zh-CN"/>
        </w:rPr>
        <w:t>SSRN Electronic Journal</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August</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5–16. https://doi.org/10.2139/ssrn.2565514</w:t>
      </w:r>
    </w:p>
    <w:p w14:paraId="2E8C2345" w14:textId="2E0C839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9E69CE">
        <w:rPr>
          <w:rFonts w:ascii="Times New Roman" w:eastAsia="DengXian" w:hAnsi="Times New Roman" w:cs="Times New Roman"/>
          <w:color w:val="000000" w:themeColor="text1"/>
          <w:sz w:val="24"/>
          <w:szCs w:val="24"/>
          <w:lang w:val="it-IT" w:eastAsia="zh-CN"/>
        </w:rPr>
        <w:t xml:space="preserve">Triana, M. del C., Miller, T. L., &amp; Trzebiatowski, T. M. (2014). </w:t>
      </w:r>
      <w:r w:rsidRPr="00A450E8">
        <w:rPr>
          <w:rFonts w:ascii="Times New Roman" w:eastAsia="DengXian" w:hAnsi="Times New Roman" w:cs="Times New Roman"/>
          <w:color w:val="000000" w:themeColor="text1"/>
          <w:sz w:val="24"/>
          <w:szCs w:val="24"/>
          <w:lang w:eastAsia="zh-CN"/>
        </w:rPr>
        <w:t xml:space="preserve">The double-edged nature of board gender diversity: Diversity, firm performance, and the power of women directors as predictors of strategic change. </w:t>
      </w:r>
      <w:r w:rsidRPr="00A450E8">
        <w:rPr>
          <w:rFonts w:ascii="Times New Roman" w:eastAsia="DengXian" w:hAnsi="Times New Roman" w:cs="Times New Roman"/>
          <w:i/>
          <w:iCs/>
          <w:color w:val="000000" w:themeColor="text1"/>
          <w:sz w:val="24"/>
          <w:szCs w:val="24"/>
          <w:lang w:eastAsia="zh-CN"/>
        </w:rPr>
        <w:t>Organization Science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25</w:t>
      </w:r>
      <w:r w:rsidRPr="00A450E8">
        <w:rPr>
          <w:rFonts w:ascii="Times New Roman" w:eastAsia="DengXian" w:hAnsi="Times New Roman" w:cs="Times New Roman"/>
          <w:color w:val="000000" w:themeColor="text1"/>
          <w:sz w:val="24"/>
          <w:szCs w:val="24"/>
          <w:lang w:eastAsia="zh-CN"/>
        </w:rPr>
        <w:t xml:space="preserve">(2), 609–632. </w:t>
      </w:r>
    </w:p>
    <w:p w14:paraId="5131DDA4" w14:textId="312035A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Tuggle, C. S., Sirmon, D. G., Borgholthaus, C. J., Bierman, L., &amp; Bass, A. E. (2022). From Seats at the Table to Voices in the Discussion: Antecedents of Underrepresented Director Participation in Board Meetings. </w:t>
      </w:r>
      <w:r w:rsidRPr="00A450E8">
        <w:rPr>
          <w:rFonts w:ascii="Times New Roman" w:eastAsia="DengXian" w:hAnsi="Times New Roman" w:cs="Times New Roman"/>
          <w:i/>
          <w:iCs/>
          <w:color w:val="000000" w:themeColor="text1"/>
          <w:sz w:val="24"/>
          <w:szCs w:val="24"/>
          <w:lang w:eastAsia="zh-CN"/>
        </w:rPr>
        <w:t>Journal of Management Studies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59</w:t>
      </w:r>
      <w:r w:rsidRPr="00A450E8">
        <w:rPr>
          <w:rFonts w:ascii="Times New Roman" w:eastAsia="DengXian" w:hAnsi="Times New Roman" w:cs="Times New Roman"/>
          <w:color w:val="000000" w:themeColor="text1"/>
          <w:sz w:val="24"/>
          <w:szCs w:val="24"/>
          <w:lang w:eastAsia="zh-CN"/>
        </w:rPr>
        <w:t xml:space="preserve">(5), 1253–1283. </w:t>
      </w:r>
    </w:p>
    <w:p w14:paraId="0110B2AD" w14:textId="4ED7DCFD"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Vallascas, F., Mollah, S., &amp; Keasey, K. (2017). Does the impact of board independence on large bank risks change after the global financial crisis? </w:t>
      </w:r>
      <w:r w:rsidRPr="00A450E8">
        <w:rPr>
          <w:rFonts w:ascii="Times New Roman" w:eastAsia="DengXian" w:hAnsi="Times New Roman" w:cs="Times New Roman"/>
          <w:i/>
          <w:iCs/>
          <w:color w:val="000000" w:themeColor="text1"/>
          <w:sz w:val="24"/>
          <w:szCs w:val="24"/>
          <w:lang w:eastAsia="zh-CN"/>
        </w:rPr>
        <w:t>Journal of Corporate Finance</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44</w:t>
      </w:r>
      <w:r w:rsidRPr="00A450E8">
        <w:rPr>
          <w:rFonts w:ascii="Times New Roman" w:eastAsia="DengXian" w:hAnsi="Times New Roman" w:cs="Times New Roman"/>
          <w:color w:val="000000" w:themeColor="text1"/>
          <w:sz w:val="24"/>
          <w:szCs w:val="24"/>
          <w:lang w:eastAsia="zh-CN"/>
        </w:rPr>
        <w:t>(June 2014), 149–166</w:t>
      </w:r>
      <w:r>
        <w:rPr>
          <w:rFonts w:ascii="Times New Roman" w:eastAsia="DengXian" w:hAnsi="Times New Roman" w:cs="Times New Roman"/>
          <w:color w:val="000000" w:themeColor="text1"/>
          <w:sz w:val="24"/>
          <w:szCs w:val="24"/>
          <w:lang w:eastAsia="zh-CN"/>
        </w:rPr>
        <w:t>.</w:t>
      </w:r>
    </w:p>
    <w:p w14:paraId="78A33F02" w14:textId="4A45ABDA"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Wang, Y., &amp; Clift, B. (2009). Is there a “business case” for board diversity? </w:t>
      </w:r>
      <w:r w:rsidRPr="00A450E8">
        <w:rPr>
          <w:rFonts w:ascii="Times New Roman" w:eastAsia="DengXian" w:hAnsi="Times New Roman" w:cs="Times New Roman"/>
          <w:i/>
          <w:iCs/>
          <w:color w:val="000000" w:themeColor="text1"/>
          <w:sz w:val="24"/>
          <w:szCs w:val="24"/>
          <w:lang w:eastAsia="zh-CN"/>
        </w:rPr>
        <w:t>Pacific Accounting Review</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21</w:t>
      </w:r>
      <w:r w:rsidRPr="00A450E8">
        <w:rPr>
          <w:rFonts w:ascii="Times New Roman" w:eastAsia="DengXian" w:hAnsi="Times New Roman" w:cs="Times New Roman"/>
          <w:color w:val="000000" w:themeColor="text1"/>
          <w:sz w:val="24"/>
          <w:szCs w:val="24"/>
          <w:lang w:eastAsia="zh-CN"/>
        </w:rPr>
        <w:t xml:space="preserve">(2), 88–103. </w:t>
      </w:r>
    </w:p>
    <w:p w14:paraId="29B5175B" w14:textId="6DDEB125"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Wang, Y., Farag, H., &amp; Ahmad, W. (2021). Corporate Culture and Innovation: A Tale from an Emerging Market. </w:t>
      </w:r>
      <w:r w:rsidRPr="00A450E8">
        <w:rPr>
          <w:rFonts w:ascii="Times New Roman" w:eastAsia="DengXian" w:hAnsi="Times New Roman" w:cs="Times New Roman"/>
          <w:i/>
          <w:iCs/>
          <w:color w:val="000000" w:themeColor="text1"/>
          <w:sz w:val="24"/>
          <w:szCs w:val="24"/>
          <w:lang w:eastAsia="zh-CN"/>
        </w:rPr>
        <w:t>British Journal of Management</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32</w:t>
      </w:r>
      <w:r w:rsidRPr="00A450E8">
        <w:rPr>
          <w:rFonts w:ascii="Times New Roman" w:eastAsia="DengXian" w:hAnsi="Times New Roman" w:cs="Times New Roman"/>
          <w:color w:val="000000" w:themeColor="text1"/>
          <w:sz w:val="24"/>
          <w:szCs w:val="24"/>
          <w:lang w:eastAsia="zh-CN"/>
        </w:rPr>
        <w:t xml:space="preserve">(4), 1121–1140. </w:t>
      </w:r>
    </w:p>
    <w:p w14:paraId="3768B9A0" w14:textId="59908311"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Lo, A. W. (2015). T</w:t>
      </w:r>
      <w:r>
        <w:rPr>
          <w:rFonts w:ascii="Times New Roman" w:eastAsia="DengXian" w:hAnsi="Times New Roman" w:cs="Times New Roman"/>
          <w:color w:val="000000" w:themeColor="text1"/>
          <w:sz w:val="24"/>
          <w:szCs w:val="24"/>
          <w:lang w:eastAsia="zh-CN"/>
        </w:rPr>
        <w:t>he Gordon Gekko effect: The role of culture in the financial industry.</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i/>
          <w:iCs/>
          <w:color w:val="000000" w:themeColor="text1"/>
          <w:sz w:val="24"/>
          <w:szCs w:val="24"/>
          <w:lang w:eastAsia="zh-CN"/>
        </w:rPr>
        <w:t>NBER WORKING PAPER SERIES THE</w:t>
      </w:r>
      <w:r w:rsidRPr="00A450E8">
        <w:rPr>
          <w:rFonts w:ascii="Times New Roman" w:eastAsia="DengXian" w:hAnsi="Times New Roman" w:cs="Times New Roman"/>
          <w:color w:val="000000" w:themeColor="text1"/>
          <w:sz w:val="24"/>
          <w:szCs w:val="24"/>
          <w:lang w:eastAsia="zh-CN"/>
        </w:rPr>
        <w:t>,</w:t>
      </w:r>
      <w:r w:rsidRPr="00A450E8">
        <w:t xml:space="preserve"> </w:t>
      </w:r>
      <w:r w:rsidRPr="00A450E8">
        <w:rPr>
          <w:rFonts w:ascii="Times New Roman" w:eastAsia="DengXian" w:hAnsi="Times New Roman" w:cs="Times New Roman"/>
          <w:color w:val="000000" w:themeColor="text1"/>
          <w:sz w:val="24"/>
          <w:szCs w:val="24"/>
          <w:lang w:eastAsia="zh-CN"/>
        </w:rPr>
        <w:t>http://www.nber.org/papers/w21267</w:t>
      </w:r>
      <w:r>
        <w:rPr>
          <w:rFonts w:ascii="Times New Roman" w:eastAsia="DengXian" w:hAnsi="Times New Roman" w:cs="Times New Roman"/>
          <w:color w:val="000000" w:themeColor="text1"/>
          <w:sz w:val="24"/>
          <w:szCs w:val="24"/>
          <w:lang w:eastAsia="zh-CN"/>
        </w:rPr>
        <w:t>,</w:t>
      </w:r>
      <w:r w:rsidRPr="00A450E8">
        <w:rPr>
          <w:rFonts w:ascii="Times New Roman" w:eastAsia="DengXian" w:hAnsi="Times New Roman" w:cs="Times New Roman"/>
          <w:color w:val="000000" w:themeColor="text1"/>
          <w:sz w:val="24"/>
          <w:szCs w:val="24"/>
          <w:lang w:eastAsia="zh-CN"/>
        </w:rPr>
        <w:t xml:space="preserve"> 1–39.</w:t>
      </w:r>
    </w:p>
    <w:p w14:paraId="7991C48E" w14:textId="1800FEF7"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Wintoki, M. B., Linck, J. S., &amp; Netter, J. M. (2012). Endogeneity and the dynamics of internal corporate governance.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105</w:t>
      </w:r>
      <w:r w:rsidRPr="00A450E8">
        <w:rPr>
          <w:rFonts w:ascii="Times New Roman" w:eastAsia="DengXian" w:hAnsi="Times New Roman" w:cs="Times New Roman"/>
          <w:color w:val="000000" w:themeColor="text1"/>
          <w:sz w:val="24"/>
          <w:szCs w:val="24"/>
          <w:lang w:eastAsia="zh-CN"/>
        </w:rPr>
        <w:t xml:space="preserve">(3), 581–606. </w:t>
      </w:r>
    </w:p>
    <w:p w14:paraId="682E75CB" w14:textId="794210C2"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Zalata, A. M., Ntim, C. G., Choudhry, T., Hassanein, A., &amp; Elzahar, H. (2019). Female directors and managerial opportunism: Monitoring versus advisory female directors. </w:t>
      </w:r>
      <w:r w:rsidRPr="00A450E8">
        <w:rPr>
          <w:rFonts w:ascii="Times New Roman" w:eastAsia="DengXian" w:hAnsi="Times New Roman" w:cs="Times New Roman"/>
          <w:i/>
          <w:iCs/>
          <w:color w:val="000000" w:themeColor="text1"/>
          <w:sz w:val="24"/>
          <w:szCs w:val="24"/>
          <w:lang w:eastAsia="zh-CN"/>
        </w:rPr>
        <w:t>Leadership Quarterly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30</w:t>
      </w:r>
      <w:r w:rsidRPr="00A450E8">
        <w:rPr>
          <w:rFonts w:ascii="Times New Roman" w:eastAsia="DengXian" w:hAnsi="Times New Roman" w:cs="Times New Roman"/>
          <w:color w:val="000000" w:themeColor="text1"/>
          <w:sz w:val="24"/>
          <w:szCs w:val="24"/>
          <w:lang w:eastAsia="zh-CN"/>
        </w:rPr>
        <w:t xml:space="preserve">(5). </w:t>
      </w:r>
    </w:p>
    <w:p w14:paraId="5969D079" w14:textId="7689EA2B"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Zalata, A. M., Ntim, C., Aboud, A., &amp; Gyapong, E. (2019). Female CEOs and Core Earnings Quality: New Evidence on the Ethics Versus Risk-Aversion Puzzle. </w:t>
      </w:r>
      <w:r w:rsidRPr="00A450E8">
        <w:rPr>
          <w:rFonts w:ascii="Times New Roman" w:eastAsia="DengXian" w:hAnsi="Times New Roman" w:cs="Times New Roman"/>
          <w:i/>
          <w:iCs/>
          <w:color w:val="000000" w:themeColor="text1"/>
          <w:sz w:val="24"/>
          <w:szCs w:val="24"/>
          <w:lang w:eastAsia="zh-CN"/>
        </w:rPr>
        <w:t>Journal of Business Ethics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160</w:t>
      </w:r>
      <w:r w:rsidRPr="00A450E8">
        <w:rPr>
          <w:rFonts w:ascii="Times New Roman" w:eastAsia="DengXian" w:hAnsi="Times New Roman" w:cs="Times New Roman"/>
          <w:color w:val="000000" w:themeColor="text1"/>
          <w:sz w:val="24"/>
          <w:szCs w:val="24"/>
          <w:lang w:eastAsia="zh-CN"/>
        </w:rPr>
        <w:t xml:space="preserve">(2), 515–534. </w:t>
      </w:r>
    </w:p>
    <w:p w14:paraId="4B6FA918" w14:textId="16FFB4F6"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Zattoni, A., Leventis, S., Van Ees, H., &amp; De Masi, S. (2022). Board diversity’s antecedents and consequences: A review and research agenda. </w:t>
      </w:r>
      <w:r w:rsidRPr="00A450E8">
        <w:rPr>
          <w:rFonts w:ascii="Times New Roman" w:eastAsia="DengXian" w:hAnsi="Times New Roman" w:cs="Times New Roman"/>
          <w:i/>
          <w:iCs/>
          <w:color w:val="000000" w:themeColor="text1"/>
          <w:sz w:val="24"/>
          <w:szCs w:val="24"/>
          <w:lang w:eastAsia="zh-CN"/>
        </w:rPr>
        <w:t>Leadership Quarterly</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October 2021</w:t>
      </w:r>
      <w:r w:rsidRPr="00A450E8">
        <w:rPr>
          <w:rFonts w:ascii="Times New Roman" w:eastAsia="DengXian" w:hAnsi="Times New Roman" w:cs="Times New Roman"/>
          <w:color w:val="000000" w:themeColor="text1"/>
          <w:sz w:val="24"/>
          <w:szCs w:val="24"/>
          <w:lang w:eastAsia="zh-CN"/>
        </w:rPr>
        <w:t xml:space="preserve">, </w:t>
      </w:r>
      <w:r>
        <w:rPr>
          <w:rFonts w:ascii="Times New Roman" w:eastAsia="DengXian" w:hAnsi="Times New Roman" w:cs="Times New Roman"/>
          <w:color w:val="000000" w:themeColor="text1"/>
          <w:sz w:val="24"/>
          <w:szCs w:val="24"/>
          <w:lang w:eastAsia="zh-CN"/>
        </w:rPr>
        <w:t>1-14</w:t>
      </w:r>
      <w:r w:rsidRPr="00A450E8">
        <w:rPr>
          <w:rFonts w:ascii="Times New Roman" w:eastAsia="DengXian" w:hAnsi="Times New Roman" w:cs="Times New Roman"/>
          <w:color w:val="000000" w:themeColor="text1"/>
          <w:sz w:val="24"/>
          <w:szCs w:val="24"/>
          <w:lang w:eastAsia="zh-CN"/>
        </w:rPr>
        <w:t xml:space="preserve">. </w:t>
      </w:r>
    </w:p>
    <w:p w14:paraId="15B6D038" w14:textId="6ACE0720" w:rsidR="00A450E8" w:rsidRPr="00A450E8" w:rsidRDefault="00A450E8"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t xml:space="preserve">Zingales, L. (2015). The “cultural revolution” in finance. </w:t>
      </w:r>
      <w:r w:rsidRPr="00A450E8">
        <w:rPr>
          <w:rFonts w:ascii="Times New Roman" w:eastAsia="DengXian" w:hAnsi="Times New Roman" w:cs="Times New Roman"/>
          <w:i/>
          <w:iCs/>
          <w:color w:val="000000" w:themeColor="text1"/>
          <w:sz w:val="24"/>
          <w:szCs w:val="24"/>
          <w:lang w:eastAsia="zh-CN"/>
        </w:rPr>
        <w:t>Journal of Financial Economics</w:t>
      </w:r>
      <w:r w:rsidRPr="00A450E8">
        <w:rPr>
          <w:rFonts w:ascii="Times New Roman" w:eastAsia="DengXian" w:hAnsi="Times New Roman" w:cs="Times New Roman"/>
          <w:color w:val="000000" w:themeColor="text1"/>
          <w:sz w:val="24"/>
          <w:szCs w:val="24"/>
          <w:lang w:eastAsia="zh-CN"/>
        </w:rPr>
        <w:t xml:space="preserve">, </w:t>
      </w:r>
      <w:r w:rsidRPr="00A450E8">
        <w:rPr>
          <w:rFonts w:ascii="Times New Roman" w:eastAsia="DengXian" w:hAnsi="Times New Roman" w:cs="Times New Roman"/>
          <w:i/>
          <w:iCs/>
          <w:color w:val="000000" w:themeColor="text1"/>
          <w:sz w:val="24"/>
          <w:szCs w:val="24"/>
          <w:lang w:eastAsia="zh-CN"/>
        </w:rPr>
        <w:t>117</w:t>
      </w:r>
      <w:r w:rsidRPr="00A450E8">
        <w:rPr>
          <w:rFonts w:ascii="Times New Roman" w:eastAsia="DengXian" w:hAnsi="Times New Roman" w:cs="Times New Roman"/>
          <w:color w:val="000000" w:themeColor="text1"/>
          <w:sz w:val="24"/>
          <w:szCs w:val="24"/>
          <w:lang w:eastAsia="zh-CN"/>
        </w:rPr>
        <w:t xml:space="preserve">(1), 1–4. </w:t>
      </w:r>
    </w:p>
    <w:p w14:paraId="52CC3005" w14:textId="77777777" w:rsidR="00880312" w:rsidRPr="00A450E8" w:rsidRDefault="00880312" w:rsidP="00A450E8">
      <w:pPr>
        <w:spacing w:line="480" w:lineRule="auto"/>
        <w:jc w:val="both"/>
        <w:rPr>
          <w:rFonts w:ascii="Times New Roman" w:eastAsia="DengXian" w:hAnsi="Times New Roman" w:cs="Times New Roman"/>
          <w:color w:val="000000" w:themeColor="text1"/>
          <w:sz w:val="24"/>
          <w:szCs w:val="24"/>
          <w:lang w:eastAsia="zh-CN"/>
        </w:rPr>
      </w:pPr>
      <w:r w:rsidRPr="00A450E8">
        <w:rPr>
          <w:rFonts w:ascii="Times New Roman" w:eastAsia="DengXian" w:hAnsi="Times New Roman" w:cs="Times New Roman"/>
          <w:color w:val="000000" w:themeColor="text1"/>
          <w:sz w:val="24"/>
          <w:szCs w:val="24"/>
          <w:lang w:eastAsia="zh-CN"/>
        </w:rPr>
        <w:br w:type="page"/>
      </w:r>
    </w:p>
    <w:p w14:paraId="6F981D98" w14:textId="7E5B07C7" w:rsidR="00880312" w:rsidRDefault="00880312" w:rsidP="00880312">
      <w:pPr>
        <w:spacing w:after="0" w:line="480" w:lineRule="auto"/>
        <w:jc w:val="both"/>
        <w:rPr>
          <w:rFonts w:ascii="Times New Roman" w:eastAsia="DengXian" w:hAnsi="Times New Roman" w:cs="Times New Roman"/>
          <w:color w:val="000000" w:themeColor="text1"/>
          <w:sz w:val="24"/>
          <w:szCs w:val="24"/>
          <w:lang w:eastAsia="zh-CN"/>
        </w:rPr>
      </w:pPr>
    </w:p>
    <w:p w14:paraId="7B4479DA" w14:textId="77777777" w:rsidR="00880312" w:rsidRPr="009E69CE" w:rsidRDefault="00880312" w:rsidP="00880312">
      <w:pPr>
        <w:spacing w:after="0" w:line="360" w:lineRule="auto"/>
        <w:rPr>
          <w:rFonts w:ascii="Calibri" w:eastAsia="DengXian" w:hAnsi="Calibri" w:cs="Arial"/>
          <w:color w:val="000000" w:themeColor="text1"/>
          <w:sz w:val="24"/>
          <w:szCs w:val="24"/>
          <w:lang w:val="fr-FR" w:eastAsia="zh-CN"/>
        </w:rPr>
      </w:pPr>
    </w:p>
    <w:p w14:paraId="7B77921D" w14:textId="1C5BC4E8" w:rsidR="000329D3" w:rsidRPr="00E30E2D" w:rsidRDefault="000329D3" w:rsidP="00E30E2D">
      <w:pPr>
        <w:pStyle w:val="Caption"/>
        <w:keepNext/>
        <w:jc w:val="center"/>
        <w:rPr>
          <w:rFonts w:ascii="Times New Roman" w:hAnsi="Times New Roman" w:cs="Times New Roman"/>
          <w:b/>
          <w:bCs/>
          <w:i w:val="0"/>
          <w:iCs w:val="0"/>
          <w:color w:val="auto"/>
          <w:sz w:val="28"/>
          <w:szCs w:val="28"/>
          <w:u w:val="single"/>
        </w:rPr>
      </w:pPr>
      <w:bookmarkStart w:id="115" w:name="_Toc132391462"/>
      <w:r w:rsidRPr="00E30E2D">
        <w:rPr>
          <w:rFonts w:ascii="Times New Roman" w:hAnsi="Times New Roman" w:cs="Times New Roman"/>
          <w:b/>
          <w:bCs/>
          <w:i w:val="0"/>
          <w:iCs w:val="0"/>
          <w:color w:val="auto"/>
          <w:sz w:val="28"/>
          <w:szCs w:val="28"/>
          <w:u w:val="single"/>
        </w:rPr>
        <w:t>Figure</w:t>
      </w:r>
      <w:r w:rsidR="00E30E2D" w:rsidRPr="00E30E2D">
        <w:rPr>
          <w:rFonts w:ascii="Times New Roman" w:hAnsi="Times New Roman" w:cs="Times New Roman"/>
          <w:b/>
          <w:bCs/>
          <w:i w:val="0"/>
          <w:iCs w:val="0"/>
          <w:color w:val="auto"/>
          <w:sz w:val="28"/>
          <w:szCs w:val="28"/>
          <w:u w:val="single"/>
        </w:rPr>
        <w:t>.</w:t>
      </w:r>
      <w:r w:rsidR="001D52C0">
        <w:rPr>
          <w:rFonts w:ascii="Times New Roman" w:hAnsi="Times New Roman" w:cs="Times New Roman"/>
          <w:b/>
          <w:bCs/>
          <w:i w:val="0"/>
          <w:iCs w:val="0"/>
          <w:color w:val="auto"/>
          <w:sz w:val="28"/>
          <w:szCs w:val="28"/>
          <w:u w:val="single"/>
        </w:rPr>
        <w:t>6</w:t>
      </w:r>
      <w:r w:rsidRPr="00E30E2D">
        <w:rPr>
          <w:rFonts w:ascii="Times New Roman" w:hAnsi="Times New Roman" w:cs="Times New Roman"/>
          <w:b/>
          <w:bCs/>
          <w:i w:val="0"/>
          <w:iCs w:val="0"/>
          <w:color w:val="auto"/>
          <w:sz w:val="28"/>
          <w:szCs w:val="28"/>
          <w:u w:val="single"/>
        </w:rPr>
        <w:t>: Four Cultural Dimensions (Cameron et al., 2006)</w:t>
      </w:r>
      <w:bookmarkEnd w:id="115"/>
    </w:p>
    <w:tbl>
      <w:tblPr>
        <w:tblpPr w:leftFromText="180" w:rightFromText="180" w:vertAnchor="text" w:horzAnchor="margin" w:tblpY="236"/>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5247"/>
      </w:tblGrid>
      <w:tr w:rsidR="00880312" w:rsidRPr="00880312" w14:paraId="5DF9A890" w14:textId="77777777" w:rsidTr="009E69CE">
        <w:trPr>
          <w:trHeight w:val="363"/>
        </w:trPr>
        <w:tc>
          <w:tcPr>
            <w:tcW w:w="9798" w:type="dxa"/>
            <w:gridSpan w:val="2"/>
            <w:tcBorders>
              <w:top w:val="single" w:sz="4" w:space="0" w:color="auto"/>
              <w:left w:val="single" w:sz="4" w:space="0" w:color="auto"/>
              <w:bottom w:val="nil"/>
              <w:right w:val="single" w:sz="4" w:space="0" w:color="auto"/>
            </w:tcBorders>
          </w:tcPr>
          <w:p w14:paraId="0D039862" w14:textId="77777777" w:rsidR="00880312" w:rsidRPr="00880312" w:rsidRDefault="00880312" w:rsidP="00880312">
            <w:pPr>
              <w:jc w:val="center"/>
              <w:rPr>
                <w:rFonts w:ascii="Times New Roman" w:eastAsia="Times New Roman" w:hAnsi="Times New Roman" w:cs="Times New Roman"/>
                <w:b/>
                <w:bCs/>
                <w:color w:val="000000" w:themeColor="text1"/>
                <w:sz w:val="20"/>
                <w:szCs w:val="20"/>
                <w:lang w:eastAsia="zh-CN"/>
              </w:rPr>
            </w:pPr>
            <w:r w:rsidRPr="00880312">
              <w:rPr>
                <w:rFonts w:ascii="Times New Roman" w:eastAsia="Times New Roman" w:hAnsi="Times New Roman" w:cs="Times New Roman"/>
                <w:b/>
                <w:bCs/>
                <w:color w:val="000000" w:themeColor="text1"/>
                <w:sz w:val="20"/>
                <w:szCs w:val="20"/>
                <w:lang w:eastAsia="zh-CN"/>
              </w:rPr>
              <w:t>Flexibility and Discretion</w:t>
            </w:r>
          </w:p>
        </w:tc>
      </w:tr>
      <w:tr w:rsidR="00880312" w:rsidRPr="00880312" w14:paraId="4059477D" w14:textId="77777777" w:rsidTr="009E69CE">
        <w:trPr>
          <w:trHeight w:val="371"/>
        </w:trPr>
        <w:tc>
          <w:tcPr>
            <w:tcW w:w="4551" w:type="dxa"/>
            <w:tcBorders>
              <w:top w:val="nil"/>
              <w:left w:val="single" w:sz="4" w:space="0" w:color="auto"/>
              <w:bottom w:val="nil"/>
            </w:tcBorders>
          </w:tcPr>
          <w:p w14:paraId="4DC488A9" w14:textId="77777777" w:rsidR="00880312" w:rsidRPr="00880312" w:rsidRDefault="00880312" w:rsidP="00880312">
            <w:pPr>
              <w:rPr>
                <w:rFonts w:ascii="Times New Roman" w:eastAsia="Times New Roman" w:hAnsi="Times New Roman" w:cs="Times New Roman"/>
                <w:b/>
                <w:bCs/>
                <w:color w:val="000000" w:themeColor="text1"/>
                <w:sz w:val="18"/>
                <w:szCs w:val="18"/>
                <w:lang w:eastAsia="zh-CN"/>
              </w:rPr>
            </w:pPr>
            <w:r w:rsidRPr="00880312">
              <w:rPr>
                <w:rFonts w:ascii="Times New Roman" w:eastAsia="Times New Roman" w:hAnsi="Times New Roman" w:cs="Times New Roman"/>
                <w:b/>
                <w:bCs/>
                <w:color w:val="000000" w:themeColor="text1"/>
                <w:sz w:val="18"/>
                <w:szCs w:val="18"/>
                <w:lang w:eastAsia="zh-CN"/>
              </w:rPr>
              <w:t>Culture Type: CLAN</w:t>
            </w:r>
          </w:p>
        </w:tc>
        <w:tc>
          <w:tcPr>
            <w:tcW w:w="5247" w:type="dxa"/>
            <w:tcBorders>
              <w:top w:val="nil"/>
              <w:bottom w:val="nil"/>
              <w:right w:val="single" w:sz="4" w:space="0" w:color="auto"/>
            </w:tcBorders>
          </w:tcPr>
          <w:p w14:paraId="07BB87E6" w14:textId="77777777" w:rsidR="00880312" w:rsidRPr="00880312" w:rsidRDefault="00880312" w:rsidP="00880312">
            <w:pPr>
              <w:rPr>
                <w:rFonts w:ascii="Times New Roman" w:eastAsia="Times New Roman" w:hAnsi="Times New Roman" w:cs="Times New Roman"/>
                <w:b/>
                <w:bCs/>
                <w:color w:val="000000" w:themeColor="text1"/>
                <w:sz w:val="18"/>
                <w:szCs w:val="18"/>
                <w:lang w:eastAsia="zh-CN"/>
              </w:rPr>
            </w:pPr>
            <w:r w:rsidRPr="00880312">
              <w:rPr>
                <w:rFonts w:ascii="Times New Roman" w:eastAsia="Times New Roman" w:hAnsi="Times New Roman" w:cs="Times New Roman"/>
                <w:b/>
                <w:bCs/>
                <w:color w:val="000000" w:themeColor="text1"/>
                <w:sz w:val="18"/>
                <w:szCs w:val="18"/>
                <w:lang w:eastAsia="zh-CN"/>
              </w:rPr>
              <w:t>Culture Type: Adhocracy</w:t>
            </w:r>
          </w:p>
        </w:tc>
      </w:tr>
      <w:tr w:rsidR="00880312" w:rsidRPr="00880312" w14:paraId="332E8901" w14:textId="77777777" w:rsidTr="009E69CE">
        <w:trPr>
          <w:trHeight w:val="363"/>
        </w:trPr>
        <w:tc>
          <w:tcPr>
            <w:tcW w:w="4551" w:type="dxa"/>
            <w:tcBorders>
              <w:top w:val="nil"/>
              <w:left w:val="single" w:sz="4" w:space="0" w:color="auto"/>
              <w:bottom w:val="nil"/>
            </w:tcBorders>
          </w:tcPr>
          <w:p w14:paraId="3C186472"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Focus:  Collaborate</w:t>
            </w:r>
          </w:p>
        </w:tc>
        <w:tc>
          <w:tcPr>
            <w:tcW w:w="5247" w:type="dxa"/>
            <w:tcBorders>
              <w:top w:val="nil"/>
              <w:bottom w:val="nil"/>
              <w:right w:val="single" w:sz="4" w:space="0" w:color="auto"/>
            </w:tcBorders>
          </w:tcPr>
          <w:p w14:paraId="0ED241AF"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Focus: Create</w:t>
            </w:r>
          </w:p>
        </w:tc>
      </w:tr>
      <w:tr w:rsidR="00880312" w:rsidRPr="00880312" w14:paraId="687AB303" w14:textId="77777777" w:rsidTr="009E69CE">
        <w:trPr>
          <w:trHeight w:val="600"/>
        </w:trPr>
        <w:tc>
          <w:tcPr>
            <w:tcW w:w="4551" w:type="dxa"/>
            <w:tcBorders>
              <w:top w:val="nil"/>
              <w:left w:val="single" w:sz="4" w:space="0" w:color="auto"/>
              <w:bottom w:val="nil"/>
            </w:tcBorders>
          </w:tcPr>
          <w:p w14:paraId="1B4AA835"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Purpose:  Cohesion, participation, communication, empowerment</w:t>
            </w:r>
          </w:p>
        </w:tc>
        <w:tc>
          <w:tcPr>
            <w:tcW w:w="5247" w:type="dxa"/>
            <w:tcBorders>
              <w:top w:val="nil"/>
              <w:bottom w:val="nil"/>
              <w:right w:val="single" w:sz="4" w:space="0" w:color="auto"/>
            </w:tcBorders>
          </w:tcPr>
          <w:p w14:paraId="1A23BF9D"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Purpose: adaptability, creativity, agility</w:t>
            </w:r>
          </w:p>
        </w:tc>
      </w:tr>
      <w:tr w:rsidR="00880312" w:rsidRPr="00880312" w14:paraId="5527915A" w14:textId="77777777" w:rsidTr="009E69CE">
        <w:trPr>
          <w:trHeight w:val="600"/>
        </w:trPr>
        <w:tc>
          <w:tcPr>
            <w:tcW w:w="4551" w:type="dxa"/>
            <w:tcBorders>
              <w:top w:val="nil"/>
              <w:left w:val="single" w:sz="4" w:space="0" w:color="auto"/>
            </w:tcBorders>
          </w:tcPr>
          <w:p w14:paraId="46327725"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End Result:  Morale, people development, commitment</w:t>
            </w:r>
          </w:p>
        </w:tc>
        <w:tc>
          <w:tcPr>
            <w:tcW w:w="5247" w:type="dxa"/>
            <w:tcBorders>
              <w:top w:val="nil"/>
              <w:right w:val="single" w:sz="4" w:space="0" w:color="auto"/>
            </w:tcBorders>
          </w:tcPr>
          <w:p w14:paraId="1911A65A"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End- Result: Innovation and cutting edge, output</w:t>
            </w:r>
          </w:p>
        </w:tc>
      </w:tr>
      <w:tr w:rsidR="00880312" w:rsidRPr="00880312" w14:paraId="3519465E" w14:textId="77777777" w:rsidTr="009E69CE">
        <w:trPr>
          <w:trHeight w:val="371"/>
        </w:trPr>
        <w:tc>
          <w:tcPr>
            <w:tcW w:w="4551" w:type="dxa"/>
            <w:tcBorders>
              <w:left w:val="single" w:sz="4" w:space="0" w:color="auto"/>
              <w:bottom w:val="nil"/>
            </w:tcBorders>
          </w:tcPr>
          <w:p w14:paraId="6A000E8C" w14:textId="77777777" w:rsidR="00880312" w:rsidRPr="00880312" w:rsidRDefault="00880312" w:rsidP="00880312">
            <w:pPr>
              <w:rPr>
                <w:rFonts w:ascii="Times New Roman" w:eastAsia="Times New Roman" w:hAnsi="Times New Roman" w:cs="Times New Roman"/>
                <w:b/>
                <w:bCs/>
                <w:color w:val="000000" w:themeColor="text1"/>
                <w:sz w:val="18"/>
                <w:szCs w:val="18"/>
                <w:lang w:eastAsia="zh-CN"/>
              </w:rPr>
            </w:pPr>
            <w:r w:rsidRPr="00880312">
              <w:rPr>
                <w:rFonts w:ascii="Times New Roman" w:eastAsia="Times New Roman" w:hAnsi="Times New Roman" w:cs="Times New Roman"/>
                <w:b/>
                <w:bCs/>
                <w:color w:val="000000" w:themeColor="text1"/>
                <w:sz w:val="18"/>
                <w:szCs w:val="18"/>
                <w:lang w:eastAsia="zh-CN"/>
              </w:rPr>
              <w:t>Culture Type: Hierarchy</w:t>
            </w:r>
          </w:p>
        </w:tc>
        <w:tc>
          <w:tcPr>
            <w:tcW w:w="5247" w:type="dxa"/>
            <w:tcBorders>
              <w:bottom w:val="nil"/>
              <w:right w:val="single" w:sz="4" w:space="0" w:color="auto"/>
            </w:tcBorders>
          </w:tcPr>
          <w:p w14:paraId="1F3AFD6F" w14:textId="77777777" w:rsidR="00880312" w:rsidRPr="00880312" w:rsidRDefault="00880312" w:rsidP="00880312">
            <w:pPr>
              <w:rPr>
                <w:rFonts w:ascii="Times New Roman" w:eastAsia="Times New Roman" w:hAnsi="Times New Roman" w:cs="Times New Roman"/>
                <w:b/>
                <w:bCs/>
                <w:color w:val="000000" w:themeColor="text1"/>
                <w:sz w:val="18"/>
                <w:szCs w:val="18"/>
                <w:lang w:eastAsia="zh-CN"/>
              </w:rPr>
            </w:pPr>
            <w:r w:rsidRPr="00880312">
              <w:rPr>
                <w:rFonts w:ascii="Times New Roman" w:eastAsia="Times New Roman" w:hAnsi="Times New Roman" w:cs="Times New Roman"/>
                <w:b/>
                <w:bCs/>
                <w:color w:val="000000" w:themeColor="text1"/>
                <w:sz w:val="18"/>
                <w:szCs w:val="18"/>
                <w:lang w:eastAsia="zh-CN"/>
              </w:rPr>
              <w:t>Culture Type: Market</w:t>
            </w:r>
          </w:p>
        </w:tc>
      </w:tr>
      <w:tr w:rsidR="00880312" w:rsidRPr="00880312" w14:paraId="44CE4215" w14:textId="77777777" w:rsidTr="009E69CE">
        <w:trPr>
          <w:trHeight w:val="363"/>
        </w:trPr>
        <w:tc>
          <w:tcPr>
            <w:tcW w:w="4551" w:type="dxa"/>
            <w:tcBorders>
              <w:top w:val="nil"/>
              <w:left w:val="single" w:sz="4" w:space="0" w:color="auto"/>
              <w:bottom w:val="nil"/>
            </w:tcBorders>
          </w:tcPr>
          <w:p w14:paraId="25AD6316"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Focus: Control</w:t>
            </w:r>
          </w:p>
        </w:tc>
        <w:tc>
          <w:tcPr>
            <w:tcW w:w="5247" w:type="dxa"/>
            <w:tcBorders>
              <w:top w:val="nil"/>
              <w:bottom w:val="nil"/>
              <w:right w:val="single" w:sz="4" w:space="0" w:color="auto"/>
            </w:tcBorders>
          </w:tcPr>
          <w:p w14:paraId="07BEFBCB"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Focus: Compete</w:t>
            </w:r>
          </w:p>
        </w:tc>
      </w:tr>
      <w:tr w:rsidR="00880312" w:rsidRPr="00880312" w14:paraId="6A0189DD" w14:textId="77777777" w:rsidTr="009E69CE">
        <w:trPr>
          <w:trHeight w:val="600"/>
        </w:trPr>
        <w:tc>
          <w:tcPr>
            <w:tcW w:w="4551" w:type="dxa"/>
            <w:tcBorders>
              <w:top w:val="nil"/>
              <w:left w:val="single" w:sz="4" w:space="0" w:color="auto"/>
              <w:bottom w:val="nil"/>
            </w:tcBorders>
          </w:tcPr>
          <w:p w14:paraId="37CA0755"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Purpose: Capable processes, consistency, process control, measurement</w:t>
            </w:r>
          </w:p>
        </w:tc>
        <w:tc>
          <w:tcPr>
            <w:tcW w:w="5247" w:type="dxa"/>
            <w:tcBorders>
              <w:top w:val="nil"/>
              <w:bottom w:val="nil"/>
              <w:right w:val="single" w:sz="4" w:space="0" w:color="auto"/>
            </w:tcBorders>
          </w:tcPr>
          <w:p w14:paraId="5C880A57"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Purpose: customer focus, productivity, enhancing competitiveness</w:t>
            </w:r>
          </w:p>
        </w:tc>
      </w:tr>
      <w:tr w:rsidR="00880312" w:rsidRPr="00880312" w14:paraId="300262CB" w14:textId="77777777" w:rsidTr="009E69CE">
        <w:trPr>
          <w:trHeight w:val="600"/>
        </w:trPr>
        <w:tc>
          <w:tcPr>
            <w:tcW w:w="4551" w:type="dxa"/>
            <w:tcBorders>
              <w:top w:val="nil"/>
              <w:left w:val="single" w:sz="4" w:space="0" w:color="auto"/>
              <w:bottom w:val="nil"/>
            </w:tcBorders>
          </w:tcPr>
          <w:p w14:paraId="5812D074"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End Result: Efficiency, timeliness, smooth functioning</w:t>
            </w:r>
          </w:p>
        </w:tc>
        <w:tc>
          <w:tcPr>
            <w:tcW w:w="5247" w:type="dxa"/>
            <w:tcBorders>
              <w:top w:val="nil"/>
              <w:bottom w:val="nil"/>
              <w:right w:val="single" w:sz="4" w:space="0" w:color="auto"/>
            </w:tcBorders>
          </w:tcPr>
          <w:p w14:paraId="64D3E4EE"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End Result: market share, profitability, goal achievement</w:t>
            </w:r>
          </w:p>
        </w:tc>
      </w:tr>
      <w:tr w:rsidR="00880312" w:rsidRPr="00880312" w14:paraId="73D1A305" w14:textId="77777777" w:rsidTr="009E69CE">
        <w:trPr>
          <w:trHeight w:val="363"/>
        </w:trPr>
        <w:tc>
          <w:tcPr>
            <w:tcW w:w="9798" w:type="dxa"/>
            <w:gridSpan w:val="2"/>
            <w:tcBorders>
              <w:top w:val="nil"/>
              <w:left w:val="single" w:sz="4" w:space="0" w:color="auto"/>
              <w:bottom w:val="single" w:sz="4" w:space="0" w:color="auto"/>
              <w:right w:val="single" w:sz="4" w:space="0" w:color="auto"/>
            </w:tcBorders>
          </w:tcPr>
          <w:p w14:paraId="6694C189" w14:textId="77777777" w:rsidR="00880312" w:rsidRPr="00880312" w:rsidRDefault="00880312" w:rsidP="00880312">
            <w:pPr>
              <w:jc w:val="center"/>
              <w:rPr>
                <w:rFonts w:ascii="Times New Roman" w:eastAsia="Times New Roman" w:hAnsi="Times New Roman" w:cs="Times New Roman"/>
                <w:b/>
                <w:bCs/>
                <w:color w:val="000000" w:themeColor="text1"/>
                <w:sz w:val="20"/>
                <w:szCs w:val="20"/>
                <w:lang w:eastAsia="zh-CN"/>
              </w:rPr>
            </w:pPr>
            <w:r w:rsidRPr="00880312">
              <w:rPr>
                <w:rFonts w:ascii="Times New Roman" w:eastAsia="Times New Roman" w:hAnsi="Times New Roman" w:cs="Times New Roman"/>
                <w:b/>
                <w:bCs/>
                <w:color w:val="000000" w:themeColor="text1"/>
                <w:sz w:val="20"/>
                <w:szCs w:val="20"/>
                <w:lang w:eastAsia="zh-CN"/>
              </w:rPr>
              <w:t>Stability and control</w:t>
            </w:r>
          </w:p>
        </w:tc>
      </w:tr>
    </w:tbl>
    <w:p w14:paraId="1EEA13AC" w14:textId="77777777" w:rsidR="000329D3" w:rsidRDefault="000329D3" w:rsidP="000329D3">
      <w:pPr>
        <w:pStyle w:val="Caption"/>
      </w:pPr>
    </w:p>
    <w:p w14:paraId="72FF975F" w14:textId="77777777" w:rsidR="000329D3" w:rsidRDefault="000329D3" w:rsidP="000329D3">
      <w:pPr>
        <w:pStyle w:val="Caption"/>
      </w:pPr>
    </w:p>
    <w:p w14:paraId="0B73BFF6" w14:textId="4B25B15C" w:rsidR="00880312" w:rsidRPr="00E30E2D" w:rsidRDefault="000329D3" w:rsidP="00E30E2D">
      <w:pPr>
        <w:pStyle w:val="Caption"/>
        <w:jc w:val="center"/>
        <w:rPr>
          <w:rFonts w:ascii="Times New Roman" w:eastAsia="DengXian" w:hAnsi="Times New Roman" w:cs="Times New Roman"/>
          <w:b/>
          <w:bCs/>
          <w:i w:val="0"/>
          <w:iCs w:val="0"/>
          <w:color w:val="auto"/>
          <w:sz w:val="28"/>
          <w:szCs w:val="28"/>
          <w:lang w:eastAsia="zh-CN"/>
        </w:rPr>
      </w:pPr>
      <w:bookmarkStart w:id="116" w:name="_Toc132391463"/>
      <w:r w:rsidRPr="00E30E2D">
        <w:rPr>
          <w:rFonts w:ascii="Times New Roman" w:hAnsi="Times New Roman" w:cs="Times New Roman"/>
          <w:b/>
          <w:bCs/>
          <w:i w:val="0"/>
          <w:iCs w:val="0"/>
          <w:color w:val="auto"/>
          <w:sz w:val="28"/>
          <w:szCs w:val="28"/>
        </w:rPr>
        <w:t xml:space="preserve">Figure </w:t>
      </w:r>
      <w:r w:rsidR="001D52C0">
        <w:rPr>
          <w:rFonts w:ascii="Times New Roman" w:hAnsi="Times New Roman" w:cs="Times New Roman"/>
          <w:b/>
          <w:bCs/>
          <w:i w:val="0"/>
          <w:iCs w:val="0"/>
          <w:color w:val="auto"/>
          <w:sz w:val="28"/>
          <w:szCs w:val="28"/>
        </w:rPr>
        <w:t>7</w:t>
      </w:r>
      <w:r w:rsidRPr="00E30E2D">
        <w:rPr>
          <w:rFonts w:ascii="Times New Roman" w:hAnsi="Times New Roman" w:cs="Times New Roman"/>
          <w:b/>
          <w:bCs/>
          <w:i w:val="0"/>
          <w:iCs w:val="0"/>
          <w:color w:val="auto"/>
          <w:sz w:val="28"/>
          <w:szCs w:val="28"/>
        </w:rPr>
        <w:t xml:space="preserve"> Bag of Words for Culture Estimation</w:t>
      </w:r>
      <w:bookmarkEnd w:id="11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026"/>
      </w:tblGrid>
      <w:tr w:rsidR="00880312" w:rsidRPr="00880312" w14:paraId="3037466E" w14:textId="77777777" w:rsidTr="00922ACD">
        <w:tc>
          <w:tcPr>
            <w:tcW w:w="3005" w:type="dxa"/>
          </w:tcPr>
          <w:p w14:paraId="7297F08B" w14:textId="77777777" w:rsidR="00880312" w:rsidRPr="00880312" w:rsidRDefault="00880312" w:rsidP="00880312">
            <w:pPr>
              <w:rPr>
                <w:rFonts w:ascii="Times New Roman" w:eastAsia="Times New Roman" w:hAnsi="Times New Roman" w:cs="Times New Roman"/>
                <w:b/>
                <w:bCs/>
                <w:color w:val="000000" w:themeColor="text1"/>
                <w:sz w:val="20"/>
                <w:szCs w:val="20"/>
                <w:lang w:eastAsia="zh-CN"/>
              </w:rPr>
            </w:pPr>
            <w:r w:rsidRPr="00880312">
              <w:rPr>
                <w:rFonts w:ascii="Times New Roman" w:eastAsia="Times New Roman" w:hAnsi="Times New Roman" w:cs="Times New Roman"/>
                <w:b/>
                <w:bCs/>
                <w:color w:val="000000" w:themeColor="text1"/>
                <w:sz w:val="20"/>
                <w:szCs w:val="20"/>
                <w:lang w:eastAsia="zh-CN"/>
              </w:rPr>
              <w:t>Culture Type</w:t>
            </w:r>
          </w:p>
        </w:tc>
        <w:tc>
          <w:tcPr>
            <w:tcW w:w="7026" w:type="dxa"/>
          </w:tcPr>
          <w:p w14:paraId="49F3FCD5" w14:textId="77777777" w:rsidR="00880312" w:rsidRPr="00880312" w:rsidRDefault="00880312" w:rsidP="00880312">
            <w:pPr>
              <w:rPr>
                <w:rFonts w:ascii="Times New Roman" w:eastAsia="Times New Roman" w:hAnsi="Times New Roman" w:cs="Times New Roman"/>
                <w:b/>
                <w:bCs/>
                <w:color w:val="000000" w:themeColor="text1"/>
                <w:sz w:val="20"/>
                <w:szCs w:val="20"/>
                <w:lang w:eastAsia="zh-CN"/>
              </w:rPr>
            </w:pPr>
            <w:r w:rsidRPr="00880312">
              <w:rPr>
                <w:rFonts w:ascii="Times New Roman" w:eastAsia="Times New Roman" w:hAnsi="Times New Roman" w:cs="Times New Roman"/>
                <w:b/>
                <w:bCs/>
                <w:color w:val="000000" w:themeColor="text1"/>
                <w:sz w:val="20"/>
                <w:szCs w:val="20"/>
                <w:lang w:eastAsia="zh-CN"/>
              </w:rPr>
              <w:t>Bag of Words</w:t>
            </w:r>
          </w:p>
        </w:tc>
      </w:tr>
      <w:tr w:rsidR="00880312" w:rsidRPr="00880312" w14:paraId="34F0747F" w14:textId="77777777" w:rsidTr="00922ACD">
        <w:tc>
          <w:tcPr>
            <w:tcW w:w="3005" w:type="dxa"/>
          </w:tcPr>
          <w:p w14:paraId="5395B5A3"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Control</w:t>
            </w:r>
          </w:p>
        </w:tc>
        <w:tc>
          <w:tcPr>
            <w:tcW w:w="7026" w:type="dxa"/>
          </w:tcPr>
          <w:p w14:paraId="31661997"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capab*, collectiv*, commit*, competenc*, conflict*, consens*, control*, coordin*, cultur*, decentr*, employ*, empower*, engag*, expectat*, facilitator*, hir*, interpers*, involv*, life*, long-term*, loyal*, mentor*, monit*, mutual*, norm*, parent*, partic*, procedur*, productiv*, retain*, reten*, skill*, social*,tension*, value*</w:t>
            </w:r>
          </w:p>
        </w:tc>
      </w:tr>
      <w:tr w:rsidR="00880312" w:rsidRPr="00880312" w14:paraId="69A36078" w14:textId="77777777" w:rsidTr="00922ACD">
        <w:tc>
          <w:tcPr>
            <w:tcW w:w="3005" w:type="dxa"/>
          </w:tcPr>
          <w:p w14:paraId="07B20049"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Compete</w:t>
            </w:r>
          </w:p>
        </w:tc>
        <w:tc>
          <w:tcPr>
            <w:tcW w:w="7026" w:type="dxa"/>
          </w:tcPr>
          <w:p w14:paraId="52C1A352"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achiev*, acqui*, aggress*, agreem*, attack*, budget*, challeng*, charg*, client*, compet*, customer*, deliver*, direct*, driv*, excellen*, expand*, fast*, goal*, growth*, hard*, invest*, market*, mov*, outsourc*, performanc*, position*, pressur*, profit*, rapid*, reputation, result*, revenue*, satisf*, scan*, succes* signal*, speed*, strong, superior, target*, win*</w:t>
            </w:r>
          </w:p>
        </w:tc>
      </w:tr>
      <w:tr w:rsidR="00880312" w:rsidRPr="00880312" w14:paraId="451F388F" w14:textId="77777777" w:rsidTr="00922ACD">
        <w:tc>
          <w:tcPr>
            <w:tcW w:w="3005" w:type="dxa"/>
          </w:tcPr>
          <w:p w14:paraId="3BB8DA13"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Collaborate</w:t>
            </w:r>
          </w:p>
        </w:tc>
        <w:tc>
          <w:tcPr>
            <w:tcW w:w="7026" w:type="dxa"/>
          </w:tcPr>
          <w:p w14:paraId="3D92D5C2"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boss*, burocr*, cautio*, cohes*, certain*, chief*, collab*, conservat*, cooperat*, detail*, document*, efficien*, error*, fail*, help*, human*, inform*, logic*, method*, outcom*, partner*, people*, predictab*, relation*, qualit*, regular*, solv*, share*, standard*, team*, teamwork*, train*, uniform*, work group*</w:t>
            </w:r>
          </w:p>
        </w:tc>
      </w:tr>
      <w:tr w:rsidR="00880312" w:rsidRPr="00880312" w14:paraId="18613E05" w14:textId="77777777" w:rsidTr="00922ACD">
        <w:tc>
          <w:tcPr>
            <w:tcW w:w="3005" w:type="dxa"/>
          </w:tcPr>
          <w:p w14:paraId="59C9B1EB"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Create</w:t>
            </w:r>
          </w:p>
        </w:tc>
        <w:tc>
          <w:tcPr>
            <w:tcW w:w="7026" w:type="dxa"/>
          </w:tcPr>
          <w:p w14:paraId="29BB7AC2" w14:textId="77777777" w:rsidR="00880312" w:rsidRPr="00880312" w:rsidRDefault="00880312" w:rsidP="00880312">
            <w:pPr>
              <w:rPr>
                <w:rFonts w:ascii="Times New Roman" w:eastAsia="Times New Roman" w:hAnsi="Times New Roman" w:cs="Times New Roman"/>
                <w:color w:val="000000" w:themeColor="text1"/>
                <w:sz w:val="20"/>
                <w:szCs w:val="20"/>
                <w:lang w:eastAsia="zh-CN"/>
              </w:rPr>
            </w:pPr>
            <w:r w:rsidRPr="00880312">
              <w:rPr>
                <w:rFonts w:ascii="Times New Roman" w:eastAsia="Times New Roman" w:hAnsi="Times New Roman" w:cs="Times New Roman"/>
                <w:color w:val="000000" w:themeColor="text1"/>
                <w:sz w:val="20"/>
                <w:szCs w:val="20"/>
                <w:lang w:eastAsia="zh-CN"/>
              </w:rPr>
              <w:t>adapt*, begin*, chang*, creat*, discontin*, dream*, elabor*, entrepre*, envis*, experim*, fantas*, freedom*, futur*, idea*, init*, innovat*, intellec*, learn*, new*, origin*, pioneer*, predict*, radic*, risk*, start*, thought*, trend*, unafra*, ventur*, vision*</w:t>
            </w:r>
          </w:p>
        </w:tc>
      </w:tr>
    </w:tbl>
    <w:p w14:paraId="64547A5F" w14:textId="77777777" w:rsidR="00880312" w:rsidRPr="00880312" w:rsidRDefault="00880312" w:rsidP="00880312">
      <w:pPr>
        <w:ind w:right="30"/>
        <w:jc w:val="both"/>
        <w:rPr>
          <w:rFonts w:ascii="Times New Roman" w:eastAsia="DengXian" w:hAnsi="Times New Roman" w:cs="Times New Roman"/>
          <w:b/>
          <w:bCs/>
          <w:color w:val="000000" w:themeColor="text1"/>
          <w:lang w:eastAsia="zh-CN"/>
        </w:rPr>
      </w:pPr>
    </w:p>
    <w:p w14:paraId="17E7685A" w14:textId="77777777" w:rsidR="00880312" w:rsidRPr="00880312" w:rsidRDefault="00880312" w:rsidP="00880312">
      <w:pPr>
        <w:ind w:right="30"/>
        <w:jc w:val="both"/>
        <w:rPr>
          <w:rFonts w:ascii="Times New Roman" w:eastAsia="DengXian" w:hAnsi="Times New Roman" w:cs="Times New Roman"/>
          <w:b/>
          <w:bCs/>
          <w:color w:val="000000" w:themeColor="text1"/>
          <w:lang w:eastAsia="zh-CN"/>
        </w:rPr>
      </w:pPr>
    </w:p>
    <w:p w14:paraId="5A5BE690" w14:textId="491BC474" w:rsidR="000329D3" w:rsidRDefault="000329D3" w:rsidP="000329D3">
      <w:pPr>
        <w:pStyle w:val="Caption"/>
        <w:keepNext/>
        <w:jc w:val="center"/>
        <w:rPr>
          <w:rFonts w:ascii="Times New Roman" w:hAnsi="Times New Roman" w:cs="Times New Roman"/>
          <w:b/>
          <w:bCs/>
          <w:i w:val="0"/>
          <w:iCs w:val="0"/>
          <w:color w:val="auto"/>
          <w:sz w:val="28"/>
          <w:szCs w:val="28"/>
        </w:rPr>
      </w:pPr>
      <w:bookmarkStart w:id="117" w:name="_Toc132391464"/>
      <w:r w:rsidRPr="00E30E2D">
        <w:rPr>
          <w:rFonts w:ascii="Times New Roman" w:hAnsi="Times New Roman" w:cs="Times New Roman"/>
          <w:b/>
          <w:bCs/>
          <w:i w:val="0"/>
          <w:iCs w:val="0"/>
          <w:color w:val="auto"/>
          <w:sz w:val="28"/>
          <w:szCs w:val="28"/>
        </w:rPr>
        <w:t xml:space="preserve">Figure </w:t>
      </w:r>
      <w:r w:rsidR="001D52C0">
        <w:rPr>
          <w:rFonts w:ascii="Times New Roman" w:hAnsi="Times New Roman" w:cs="Times New Roman"/>
          <w:b/>
          <w:bCs/>
          <w:i w:val="0"/>
          <w:iCs w:val="0"/>
          <w:color w:val="auto"/>
          <w:sz w:val="28"/>
          <w:szCs w:val="28"/>
        </w:rPr>
        <w:t>8</w:t>
      </w:r>
      <w:r w:rsidRPr="00E30E2D">
        <w:rPr>
          <w:rFonts w:ascii="Times New Roman" w:hAnsi="Times New Roman" w:cs="Times New Roman"/>
          <w:b/>
          <w:bCs/>
          <w:i w:val="0"/>
          <w:iCs w:val="0"/>
          <w:color w:val="auto"/>
          <w:sz w:val="28"/>
          <w:szCs w:val="28"/>
        </w:rPr>
        <w:t xml:space="preserve"> Trend In Bank Culture by Year</w:t>
      </w:r>
      <w:bookmarkEnd w:id="117"/>
    </w:p>
    <w:p w14:paraId="3A3021C3" w14:textId="77777777" w:rsidR="00E30E2D" w:rsidRPr="00880312" w:rsidRDefault="00E30E2D" w:rsidP="00E30E2D">
      <w:pPr>
        <w:ind w:right="30"/>
        <w:jc w:val="both"/>
        <w:rPr>
          <w:rFonts w:ascii="Times New Roman" w:eastAsia="DengXian" w:hAnsi="Times New Roman" w:cs="Times New Roman"/>
          <w:color w:val="000000" w:themeColor="text1"/>
          <w:lang w:eastAsia="zh-CN"/>
        </w:rPr>
      </w:pPr>
      <w:r w:rsidRPr="00880312">
        <w:rPr>
          <w:rFonts w:ascii="Times New Roman" w:eastAsia="DengXian" w:hAnsi="Times New Roman" w:cs="Times New Roman"/>
          <w:color w:val="000000" w:themeColor="text1"/>
          <w:lang w:eastAsia="zh-CN"/>
        </w:rPr>
        <w:t xml:space="preserve">The table below distinguishes banks according to their </w:t>
      </w:r>
      <w:r w:rsidRPr="00880312">
        <w:rPr>
          <w:rFonts w:ascii="Times New Roman" w:eastAsia="DengXian" w:hAnsi="Times New Roman" w:cs="Times New Roman"/>
          <w:b/>
          <w:bCs/>
          <w:color w:val="000000" w:themeColor="text1"/>
          <w:lang w:eastAsia="zh-CN"/>
        </w:rPr>
        <w:t>dominant</w:t>
      </w:r>
      <w:r w:rsidRPr="00880312">
        <w:rPr>
          <w:rFonts w:ascii="Times New Roman" w:eastAsia="DengXian" w:hAnsi="Times New Roman" w:cs="Times New Roman"/>
          <w:color w:val="000000" w:themeColor="text1"/>
          <w:lang w:eastAsia="zh-CN"/>
        </w:rPr>
        <w:t xml:space="preserve"> culture (compete, create, control, collaborate). </w:t>
      </w:r>
    </w:p>
    <w:p w14:paraId="5F42F2B7" w14:textId="77777777" w:rsidR="00E30E2D" w:rsidRPr="00E30E2D" w:rsidRDefault="00E30E2D" w:rsidP="00E30E2D"/>
    <w:p w14:paraId="3665A853" w14:textId="1A639A83" w:rsidR="00880312" w:rsidRDefault="00880312" w:rsidP="009E69CE">
      <w:pPr>
        <w:ind w:right="30"/>
        <w:jc w:val="center"/>
        <w:rPr>
          <w:rFonts w:ascii="Calibri" w:eastAsia="DengXian" w:hAnsi="Calibri" w:cs="Arial"/>
          <w:color w:val="000000" w:themeColor="text1"/>
          <w:sz w:val="24"/>
          <w:szCs w:val="24"/>
          <w:lang w:eastAsia="zh-CN"/>
        </w:rPr>
      </w:pPr>
      <w:r w:rsidRPr="00880312">
        <w:rPr>
          <w:rFonts w:ascii="Calibri" w:eastAsia="DengXian" w:hAnsi="Calibri" w:cs="Arial"/>
          <w:noProof/>
          <w:lang w:eastAsia="zh-CN"/>
        </w:rPr>
        <w:drawing>
          <wp:inline distT="0" distB="0" distL="0" distR="0" wp14:anchorId="69BC7838" wp14:editId="70D502BE">
            <wp:extent cx="4573270" cy="2744470"/>
            <wp:effectExtent l="0" t="0" r="17780" b="1778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1E6DC6" w14:textId="77777777" w:rsidR="000329D3" w:rsidRPr="00880312" w:rsidRDefault="000329D3" w:rsidP="009E69CE">
      <w:pPr>
        <w:ind w:right="30"/>
        <w:jc w:val="center"/>
        <w:rPr>
          <w:rFonts w:ascii="Calibri" w:eastAsia="DengXian" w:hAnsi="Calibri" w:cs="Arial"/>
          <w:color w:val="000000" w:themeColor="text1"/>
          <w:sz w:val="24"/>
          <w:szCs w:val="24"/>
          <w:lang w:eastAsia="zh-CN"/>
        </w:rPr>
      </w:pPr>
    </w:p>
    <w:p w14:paraId="1A41FF20" w14:textId="161D1C3A" w:rsidR="000329D3" w:rsidRPr="00E30E2D" w:rsidRDefault="000329D3" w:rsidP="000329D3">
      <w:pPr>
        <w:pStyle w:val="Caption"/>
        <w:keepNext/>
        <w:jc w:val="center"/>
        <w:rPr>
          <w:rFonts w:ascii="Times New Roman" w:hAnsi="Times New Roman" w:cs="Times New Roman"/>
          <w:b/>
          <w:bCs/>
          <w:i w:val="0"/>
          <w:iCs w:val="0"/>
          <w:color w:val="auto"/>
          <w:sz w:val="28"/>
          <w:szCs w:val="28"/>
        </w:rPr>
      </w:pPr>
      <w:bookmarkStart w:id="118" w:name="_Toc132391465"/>
      <w:r w:rsidRPr="00E30E2D">
        <w:rPr>
          <w:rFonts w:ascii="Times New Roman" w:hAnsi="Times New Roman" w:cs="Times New Roman"/>
          <w:b/>
          <w:bCs/>
          <w:i w:val="0"/>
          <w:iCs w:val="0"/>
          <w:color w:val="auto"/>
          <w:sz w:val="28"/>
          <w:szCs w:val="28"/>
        </w:rPr>
        <w:t xml:space="preserve">Figure </w:t>
      </w:r>
      <w:r w:rsidR="001D52C0">
        <w:rPr>
          <w:rFonts w:ascii="Times New Roman" w:hAnsi="Times New Roman" w:cs="Times New Roman"/>
          <w:b/>
          <w:bCs/>
          <w:i w:val="0"/>
          <w:iCs w:val="0"/>
          <w:color w:val="auto"/>
          <w:sz w:val="28"/>
          <w:szCs w:val="28"/>
        </w:rPr>
        <w:t>9</w:t>
      </w:r>
      <w:r w:rsidRPr="00E30E2D">
        <w:rPr>
          <w:rFonts w:ascii="Times New Roman" w:hAnsi="Times New Roman" w:cs="Times New Roman"/>
          <w:b/>
          <w:bCs/>
          <w:i w:val="0"/>
          <w:iCs w:val="0"/>
          <w:color w:val="auto"/>
          <w:sz w:val="28"/>
          <w:szCs w:val="28"/>
        </w:rPr>
        <w:t xml:space="preserve"> No of Banks and their Culture over the Years</w:t>
      </w:r>
      <w:bookmarkEnd w:id="118"/>
    </w:p>
    <w:p w14:paraId="3A7CEA70" w14:textId="4EEFA5E2" w:rsidR="000329D3" w:rsidRPr="000329D3" w:rsidRDefault="000329D3" w:rsidP="000329D3">
      <w:pPr>
        <w:ind w:right="30"/>
        <w:jc w:val="both"/>
        <w:rPr>
          <w:rFonts w:ascii="Times New Roman" w:eastAsia="DengXian" w:hAnsi="Times New Roman" w:cs="Times New Roman"/>
          <w:color w:val="000000" w:themeColor="text1"/>
          <w:lang w:eastAsia="zh-CN"/>
        </w:rPr>
      </w:pPr>
      <w:r w:rsidRPr="00880312">
        <w:rPr>
          <w:rFonts w:ascii="Times New Roman" w:eastAsia="DengXian" w:hAnsi="Times New Roman" w:cs="Times New Roman"/>
          <w:color w:val="000000" w:themeColor="text1"/>
          <w:lang w:eastAsia="zh-CN"/>
        </w:rPr>
        <w:t>The figure shows the average number of banks having dominant culture as Create, Compete, Control and Collaborate each year. The figure shows an approximately equal representation of risky culture (Create and Compete) and less risk culture (Control and Collaborate) for our sample. The figure also confirms the view that banks are rigid to changing their business model/culture (Ellul and Yeramilli, 2013)</w:t>
      </w:r>
    </w:p>
    <w:p w14:paraId="63E95506" w14:textId="2A19E55C" w:rsidR="00880312" w:rsidRPr="00880312" w:rsidRDefault="000329D3" w:rsidP="000329D3">
      <w:pPr>
        <w:ind w:right="30"/>
        <w:jc w:val="center"/>
        <w:rPr>
          <w:rFonts w:ascii="Calibri" w:eastAsia="DengXian" w:hAnsi="Calibri" w:cs="Arial"/>
          <w:color w:val="000000" w:themeColor="text1"/>
          <w:sz w:val="24"/>
          <w:szCs w:val="24"/>
          <w:lang w:eastAsia="zh-CN"/>
        </w:rPr>
      </w:pPr>
      <w:r w:rsidRPr="00880312">
        <w:rPr>
          <w:rFonts w:ascii="Calibri" w:eastAsia="DengXian" w:hAnsi="Calibri" w:cs="Arial"/>
          <w:noProof/>
          <w:lang w:eastAsia="zh-CN"/>
        </w:rPr>
        <w:drawing>
          <wp:inline distT="0" distB="0" distL="0" distR="0" wp14:anchorId="3E80C979" wp14:editId="53CC7265">
            <wp:extent cx="5137150" cy="2744470"/>
            <wp:effectExtent l="0" t="0" r="6350" b="1778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8EA99D" w14:textId="74F97EA6" w:rsidR="00DE7639" w:rsidRPr="00E30E2D" w:rsidRDefault="00DE7639" w:rsidP="00DE7639">
      <w:pPr>
        <w:pStyle w:val="Caption"/>
        <w:keepNext/>
        <w:rPr>
          <w:rFonts w:ascii="Times New Roman" w:hAnsi="Times New Roman" w:cs="Times New Roman"/>
          <w:b/>
          <w:bCs/>
          <w:i w:val="0"/>
          <w:iCs w:val="0"/>
          <w:color w:val="auto"/>
          <w:sz w:val="24"/>
          <w:szCs w:val="24"/>
        </w:rPr>
      </w:pPr>
      <w:bookmarkStart w:id="119" w:name="_Toc132386102"/>
      <w:bookmarkStart w:id="120" w:name="_Toc132437294"/>
      <w:r w:rsidRPr="00E30E2D">
        <w:rPr>
          <w:rFonts w:ascii="Times New Roman" w:hAnsi="Times New Roman" w:cs="Times New Roman"/>
          <w:b/>
          <w:bCs/>
          <w:i w:val="0"/>
          <w:iCs w:val="0"/>
          <w:color w:val="auto"/>
          <w:sz w:val="24"/>
          <w:szCs w:val="24"/>
        </w:rPr>
        <w:t>Table</w:t>
      </w:r>
      <w:r w:rsidR="00221C3A">
        <w:rPr>
          <w:rFonts w:ascii="Times New Roman" w:hAnsi="Times New Roman" w:cs="Times New Roman"/>
          <w:b/>
          <w:bCs/>
          <w:i w:val="0"/>
          <w:iCs w:val="0"/>
          <w:color w:val="auto"/>
          <w:sz w:val="24"/>
          <w:szCs w:val="24"/>
        </w:rPr>
        <w:t xml:space="preserve"> </w:t>
      </w:r>
      <w:r w:rsidRPr="00E30E2D">
        <w:rPr>
          <w:rFonts w:ascii="Times New Roman" w:hAnsi="Times New Roman" w:cs="Times New Roman"/>
          <w:b/>
          <w:bCs/>
          <w:i w:val="0"/>
          <w:iCs w:val="0"/>
          <w:color w:val="auto"/>
          <w:sz w:val="24"/>
          <w:szCs w:val="24"/>
        </w:rPr>
        <w:t>4.</w:t>
      </w:r>
      <w:r w:rsidR="00221C3A">
        <w:rPr>
          <w:rFonts w:ascii="Times New Roman" w:hAnsi="Times New Roman" w:cs="Times New Roman"/>
          <w:b/>
          <w:bCs/>
          <w:i w:val="0"/>
          <w:iCs w:val="0"/>
          <w:color w:val="auto"/>
          <w:sz w:val="24"/>
          <w:szCs w:val="24"/>
        </w:rPr>
        <w:t>1</w:t>
      </w:r>
      <w:r w:rsidRPr="00E30E2D">
        <w:rPr>
          <w:rFonts w:ascii="Times New Roman" w:hAnsi="Times New Roman" w:cs="Times New Roman"/>
          <w:b/>
          <w:bCs/>
          <w:i w:val="0"/>
          <w:iCs w:val="0"/>
          <w:color w:val="auto"/>
          <w:sz w:val="24"/>
          <w:szCs w:val="24"/>
        </w:rPr>
        <w:t>. Descriptive Statistics</w:t>
      </w:r>
      <w:bookmarkEnd w:id="119"/>
      <w:bookmarkEnd w:id="120"/>
    </w:p>
    <w:tbl>
      <w:tblPr>
        <w:tblpPr w:leftFromText="180" w:rightFromText="180" w:vertAnchor="page" w:horzAnchor="margin" w:tblpY="3915"/>
        <w:tblOverlap w:val="never"/>
        <w:tblW w:w="5000" w:type="pct"/>
        <w:tblLayout w:type="fixed"/>
        <w:tblLook w:val="04A0" w:firstRow="1" w:lastRow="0" w:firstColumn="1" w:lastColumn="0" w:noHBand="0" w:noVBand="1"/>
      </w:tblPr>
      <w:tblGrid>
        <w:gridCol w:w="1329"/>
        <w:gridCol w:w="1617"/>
        <w:gridCol w:w="907"/>
        <w:gridCol w:w="890"/>
        <w:gridCol w:w="888"/>
        <w:gridCol w:w="736"/>
        <w:gridCol w:w="778"/>
        <w:gridCol w:w="257"/>
        <w:gridCol w:w="481"/>
        <w:gridCol w:w="257"/>
        <w:gridCol w:w="487"/>
        <w:gridCol w:w="257"/>
        <w:gridCol w:w="581"/>
      </w:tblGrid>
      <w:tr w:rsidR="00DE7639" w:rsidRPr="00880312" w14:paraId="793073E0" w14:textId="77777777" w:rsidTr="00DE7639">
        <w:trPr>
          <w:trHeight w:val="288"/>
        </w:trPr>
        <w:tc>
          <w:tcPr>
            <w:tcW w:w="702" w:type="pct"/>
            <w:tcBorders>
              <w:top w:val="single" w:sz="4" w:space="0" w:color="auto"/>
              <w:left w:val="single" w:sz="4" w:space="0" w:color="auto"/>
              <w:bottom w:val="single" w:sz="4" w:space="0" w:color="auto"/>
            </w:tcBorders>
          </w:tcPr>
          <w:p w14:paraId="3FC9225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 xml:space="preserve">Name of the Variables </w:t>
            </w:r>
          </w:p>
        </w:tc>
        <w:tc>
          <w:tcPr>
            <w:tcW w:w="854" w:type="pct"/>
            <w:tcBorders>
              <w:top w:val="single" w:sz="4" w:space="0" w:color="auto"/>
              <w:bottom w:val="single" w:sz="4" w:space="0" w:color="auto"/>
            </w:tcBorders>
          </w:tcPr>
          <w:p w14:paraId="2238182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Definition of Variables</w:t>
            </w:r>
          </w:p>
        </w:tc>
        <w:tc>
          <w:tcPr>
            <w:tcW w:w="479" w:type="pct"/>
            <w:tcBorders>
              <w:top w:val="single" w:sz="4" w:space="0" w:color="auto"/>
              <w:bottom w:val="single" w:sz="4" w:space="0" w:color="auto"/>
            </w:tcBorders>
          </w:tcPr>
          <w:p w14:paraId="5D03B69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Observation</w:t>
            </w:r>
          </w:p>
        </w:tc>
        <w:tc>
          <w:tcPr>
            <w:tcW w:w="470" w:type="pct"/>
            <w:tcBorders>
              <w:top w:val="single" w:sz="4" w:space="0" w:color="auto"/>
              <w:bottom w:val="single" w:sz="4" w:space="0" w:color="auto"/>
            </w:tcBorders>
          </w:tcPr>
          <w:p w14:paraId="72805C3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Mean</w:t>
            </w:r>
          </w:p>
        </w:tc>
        <w:tc>
          <w:tcPr>
            <w:tcW w:w="469" w:type="pct"/>
            <w:tcBorders>
              <w:top w:val="single" w:sz="4" w:space="0" w:color="auto"/>
              <w:bottom w:val="single" w:sz="4" w:space="0" w:color="auto"/>
            </w:tcBorders>
          </w:tcPr>
          <w:p w14:paraId="415EFEB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Std.Dev</w:t>
            </w:r>
          </w:p>
        </w:tc>
        <w:tc>
          <w:tcPr>
            <w:tcW w:w="389" w:type="pct"/>
            <w:tcBorders>
              <w:top w:val="single" w:sz="4" w:space="0" w:color="auto"/>
              <w:bottom w:val="single" w:sz="4" w:space="0" w:color="auto"/>
            </w:tcBorders>
          </w:tcPr>
          <w:p w14:paraId="745E0CF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Min</w:t>
            </w:r>
          </w:p>
        </w:tc>
        <w:tc>
          <w:tcPr>
            <w:tcW w:w="411" w:type="pct"/>
            <w:tcBorders>
              <w:top w:val="single" w:sz="4" w:space="0" w:color="auto"/>
              <w:bottom w:val="single" w:sz="4" w:space="0" w:color="auto"/>
            </w:tcBorders>
          </w:tcPr>
          <w:p w14:paraId="5723535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Max</w:t>
            </w:r>
          </w:p>
        </w:tc>
        <w:tc>
          <w:tcPr>
            <w:tcW w:w="390" w:type="pct"/>
            <w:gridSpan w:val="2"/>
            <w:tcBorders>
              <w:top w:val="single" w:sz="4" w:space="0" w:color="auto"/>
              <w:bottom w:val="single" w:sz="4" w:space="0" w:color="auto"/>
            </w:tcBorders>
          </w:tcPr>
          <w:p w14:paraId="0140154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p25</w:t>
            </w:r>
          </w:p>
        </w:tc>
        <w:tc>
          <w:tcPr>
            <w:tcW w:w="393" w:type="pct"/>
            <w:gridSpan w:val="2"/>
            <w:tcBorders>
              <w:top w:val="single" w:sz="4" w:space="0" w:color="auto"/>
              <w:bottom w:val="single" w:sz="4" w:space="0" w:color="auto"/>
            </w:tcBorders>
          </w:tcPr>
          <w:p w14:paraId="127D303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P50</w:t>
            </w:r>
          </w:p>
        </w:tc>
        <w:tc>
          <w:tcPr>
            <w:tcW w:w="443" w:type="pct"/>
            <w:gridSpan w:val="2"/>
            <w:tcBorders>
              <w:top w:val="single" w:sz="4" w:space="0" w:color="auto"/>
              <w:bottom w:val="single" w:sz="4" w:space="0" w:color="auto"/>
              <w:right w:val="single" w:sz="4" w:space="0" w:color="auto"/>
            </w:tcBorders>
          </w:tcPr>
          <w:p w14:paraId="67B0802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b/>
                <w:bCs/>
                <w:color w:val="000000"/>
                <w:sz w:val="20"/>
                <w:szCs w:val="20"/>
                <w:lang w:eastAsia="zh-CN"/>
              </w:rPr>
              <w:t>P75</w:t>
            </w:r>
          </w:p>
        </w:tc>
      </w:tr>
      <w:tr w:rsidR="00DE7639" w:rsidRPr="00880312" w14:paraId="19EA411B" w14:textId="77777777" w:rsidTr="00DE7639">
        <w:trPr>
          <w:trHeight w:val="138"/>
        </w:trPr>
        <w:tc>
          <w:tcPr>
            <w:tcW w:w="5000" w:type="pct"/>
            <w:gridSpan w:val="13"/>
            <w:tcBorders>
              <w:top w:val="single" w:sz="4" w:space="0" w:color="auto"/>
              <w:left w:val="single" w:sz="4" w:space="0" w:color="auto"/>
              <w:bottom w:val="single" w:sz="4" w:space="0" w:color="auto"/>
              <w:right w:val="single" w:sz="4" w:space="0" w:color="auto"/>
            </w:tcBorders>
          </w:tcPr>
          <w:p w14:paraId="52DA4086" w14:textId="77777777" w:rsidR="00DE7639" w:rsidRPr="00880312" w:rsidRDefault="00DE7639" w:rsidP="00DE7639">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PANEL A: Bank Risk-taking Proxies</w:t>
            </w:r>
          </w:p>
        </w:tc>
      </w:tr>
      <w:tr w:rsidR="00DE7639" w:rsidRPr="00880312" w14:paraId="357CD92F" w14:textId="77777777" w:rsidTr="00DE7639">
        <w:trPr>
          <w:trHeight w:val="138"/>
        </w:trPr>
        <w:tc>
          <w:tcPr>
            <w:tcW w:w="5000" w:type="pct"/>
            <w:gridSpan w:val="13"/>
            <w:tcBorders>
              <w:top w:val="single" w:sz="4" w:space="0" w:color="auto"/>
              <w:left w:val="single" w:sz="4" w:space="0" w:color="auto"/>
              <w:right w:val="single" w:sz="4" w:space="0" w:color="auto"/>
            </w:tcBorders>
          </w:tcPr>
          <w:p w14:paraId="4AD055EA" w14:textId="77777777" w:rsidR="00DE7639" w:rsidRPr="00880312" w:rsidRDefault="00DE7639" w:rsidP="00DE7639">
            <w:pPr>
              <w:rPr>
                <w:rFonts w:ascii="Times New Roman" w:eastAsia="DengXian" w:hAnsi="Times New Roman" w:cs="Times New Roman"/>
                <w:color w:val="000000"/>
                <w:sz w:val="20"/>
                <w:szCs w:val="20"/>
                <w:lang w:eastAsia="zh-CN"/>
              </w:rPr>
            </w:pPr>
          </w:p>
        </w:tc>
      </w:tr>
      <w:tr w:rsidR="00DE7639" w:rsidRPr="00880312" w14:paraId="0BF84480" w14:textId="77777777" w:rsidTr="00DE7639">
        <w:trPr>
          <w:trHeight w:val="430"/>
        </w:trPr>
        <w:tc>
          <w:tcPr>
            <w:tcW w:w="702" w:type="pct"/>
            <w:tcBorders>
              <w:left w:val="single" w:sz="4" w:space="0" w:color="auto"/>
              <w:bottom w:val="single" w:sz="4" w:space="0" w:color="auto"/>
            </w:tcBorders>
          </w:tcPr>
          <w:p w14:paraId="11A4BE7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Credit Risk</w:t>
            </w:r>
          </w:p>
        </w:tc>
        <w:tc>
          <w:tcPr>
            <w:tcW w:w="854" w:type="pct"/>
            <w:tcBorders>
              <w:bottom w:val="single" w:sz="4" w:space="0" w:color="auto"/>
            </w:tcBorders>
          </w:tcPr>
          <w:p w14:paraId="782C6FCA"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(Non-performing loans) Loans past due day 90 days or more and non-accrual loans to total asset</w:t>
            </w:r>
          </w:p>
        </w:tc>
        <w:tc>
          <w:tcPr>
            <w:tcW w:w="479" w:type="pct"/>
            <w:tcBorders>
              <w:bottom w:val="single" w:sz="4" w:space="0" w:color="auto"/>
            </w:tcBorders>
          </w:tcPr>
          <w:p w14:paraId="5BC982E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1712</w:t>
            </w:r>
          </w:p>
        </w:tc>
        <w:tc>
          <w:tcPr>
            <w:tcW w:w="470" w:type="pct"/>
            <w:tcBorders>
              <w:bottom w:val="single" w:sz="4" w:space="0" w:color="auto"/>
            </w:tcBorders>
          </w:tcPr>
          <w:p w14:paraId="5CB0C9B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0.011</w:t>
            </w:r>
          </w:p>
        </w:tc>
        <w:tc>
          <w:tcPr>
            <w:tcW w:w="469" w:type="pct"/>
            <w:tcBorders>
              <w:bottom w:val="single" w:sz="4" w:space="0" w:color="auto"/>
            </w:tcBorders>
          </w:tcPr>
          <w:p w14:paraId="05364DF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0.014</w:t>
            </w:r>
          </w:p>
        </w:tc>
        <w:tc>
          <w:tcPr>
            <w:tcW w:w="389" w:type="pct"/>
            <w:tcBorders>
              <w:bottom w:val="single" w:sz="4" w:space="0" w:color="auto"/>
            </w:tcBorders>
          </w:tcPr>
          <w:p w14:paraId="0F5AAFB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11" w:type="pct"/>
            <w:tcBorders>
              <w:bottom w:val="single" w:sz="4" w:space="0" w:color="auto"/>
            </w:tcBorders>
          </w:tcPr>
          <w:p w14:paraId="2513B9E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0.145</w:t>
            </w:r>
          </w:p>
        </w:tc>
        <w:tc>
          <w:tcPr>
            <w:tcW w:w="390" w:type="pct"/>
            <w:gridSpan w:val="2"/>
            <w:tcBorders>
              <w:bottom w:val="single" w:sz="4" w:space="0" w:color="auto"/>
            </w:tcBorders>
          </w:tcPr>
          <w:p w14:paraId="00D086A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393" w:type="pct"/>
            <w:gridSpan w:val="2"/>
            <w:tcBorders>
              <w:bottom w:val="single" w:sz="4" w:space="0" w:color="auto"/>
            </w:tcBorders>
          </w:tcPr>
          <w:p w14:paraId="5ACA681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0.006</w:t>
            </w:r>
          </w:p>
        </w:tc>
        <w:tc>
          <w:tcPr>
            <w:tcW w:w="443" w:type="pct"/>
            <w:gridSpan w:val="2"/>
            <w:tcBorders>
              <w:bottom w:val="single" w:sz="4" w:space="0" w:color="auto"/>
              <w:right w:val="single" w:sz="4" w:space="0" w:color="auto"/>
            </w:tcBorders>
          </w:tcPr>
          <w:p w14:paraId="2207453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0.104</w:t>
            </w:r>
          </w:p>
        </w:tc>
      </w:tr>
      <w:tr w:rsidR="00DE7639" w:rsidRPr="00880312" w14:paraId="10E01AFB" w14:textId="77777777" w:rsidTr="00DE7639">
        <w:trPr>
          <w:trHeight w:val="430"/>
        </w:trPr>
        <w:tc>
          <w:tcPr>
            <w:tcW w:w="702" w:type="pct"/>
            <w:tcBorders>
              <w:top w:val="single" w:sz="4" w:space="0" w:color="auto"/>
              <w:left w:val="single" w:sz="4" w:space="0" w:color="auto"/>
              <w:bottom w:val="single" w:sz="4" w:space="0" w:color="auto"/>
            </w:tcBorders>
          </w:tcPr>
          <w:p w14:paraId="4E68A85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Total Risk</w:t>
            </w:r>
          </w:p>
        </w:tc>
        <w:tc>
          <w:tcPr>
            <w:tcW w:w="854" w:type="pct"/>
            <w:tcBorders>
              <w:top w:val="single" w:sz="4" w:space="0" w:color="auto"/>
              <w:bottom w:val="single" w:sz="4" w:space="0" w:color="auto"/>
            </w:tcBorders>
          </w:tcPr>
          <w:p w14:paraId="200EA9CF"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The standard deviation of firm returns on asset</w:t>
            </w:r>
          </w:p>
        </w:tc>
        <w:tc>
          <w:tcPr>
            <w:tcW w:w="479" w:type="pct"/>
            <w:tcBorders>
              <w:top w:val="single" w:sz="4" w:space="0" w:color="auto"/>
              <w:bottom w:val="single" w:sz="4" w:space="0" w:color="auto"/>
            </w:tcBorders>
          </w:tcPr>
          <w:p w14:paraId="6D95375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1703</w:t>
            </w:r>
          </w:p>
        </w:tc>
        <w:tc>
          <w:tcPr>
            <w:tcW w:w="470" w:type="pct"/>
            <w:tcBorders>
              <w:top w:val="single" w:sz="4" w:space="0" w:color="auto"/>
              <w:bottom w:val="single" w:sz="4" w:space="0" w:color="auto"/>
            </w:tcBorders>
          </w:tcPr>
          <w:p w14:paraId="107A3B2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0.021</w:t>
            </w:r>
          </w:p>
        </w:tc>
        <w:tc>
          <w:tcPr>
            <w:tcW w:w="469" w:type="pct"/>
            <w:tcBorders>
              <w:top w:val="single" w:sz="4" w:space="0" w:color="auto"/>
              <w:bottom w:val="single" w:sz="4" w:space="0" w:color="auto"/>
            </w:tcBorders>
          </w:tcPr>
          <w:p w14:paraId="3C3C734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0.016</w:t>
            </w:r>
          </w:p>
        </w:tc>
        <w:tc>
          <w:tcPr>
            <w:tcW w:w="389" w:type="pct"/>
            <w:tcBorders>
              <w:top w:val="single" w:sz="4" w:space="0" w:color="auto"/>
              <w:bottom w:val="single" w:sz="4" w:space="0" w:color="auto"/>
            </w:tcBorders>
          </w:tcPr>
          <w:p w14:paraId="761F4D6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0.004</w:t>
            </w:r>
          </w:p>
        </w:tc>
        <w:tc>
          <w:tcPr>
            <w:tcW w:w="411" w:type="pct"/>
            <w:tcBorders>
              <w:top w:val="single" w:sz="4" w:space="0" w:color="auto"/>
              <w:bottom w:val="single" w:sz="4" w:space="0" w:color="auto"/>
            </w:tcBorders>
          </w:tcPr>
          <w:p w14:paraId="29E91D6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0.147</w:t>
            </w:r>
          </w:p>
        </w:tc>
        <w:tc>
          <w:tcPr>
            <w:tcW w:w="390" w:type="pct"/>
            <w:gridSpan w:val="2"/>
            <w:tcBorders>
              <w:top w:val="single" w:sz="4" w:space="0" w:color="auto"/>
              <w:bottom w:val="single" w:sz="4" w:space="0" w:color="auto"/>
            </w:tcBorders>
          </w:tcPr>
          <w:p w14:paraId="6F196F5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0.007</w:t>
            </w:r>
          </w:p>
        </w:tc>
        <w:tc>
          <w:tcPr>
            <w:tcW w:w="393" w:type="pct"/>
            <w:gridSpan w:val="2"/>
            <w:tcBorders>
              <w:top w:val="single" w:sz="4" w:space="0" w:color="auto"/>
              <w:bottom w:val="single" w:sz="4" w:space="0" w:color="auto"/>
            </w:tcBorders>
          </w:tcPr>
          <w:p w14:paraId="3DD1AA5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0.016</w:t>
            </w:r>
          </w:p>
        </w:tc>
        <w:tc>
          <w:tcPr>
            <w:tcW w:w="443" w:type="pct"/>
            <w:gridSpan w:val="2"/>
            <w:tcBorders>
              <w:top w:val="single" w:sz="4" w:space="0" w:color="auto"/>
              <w:bottom w:val="single" w:sz="4" w:space="0" w:color="auto"/>
              <w:right w:val="single" w:sz="4" w:space="0" w:color="auto"/>
            </w:tcBorders>
          </w:tcPr>
          <w:p w14:paraId="2F815D2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0.092</w:t>
            </w:r>
          </w:p>
        </w:tc>
      </w:tr>
      <w:tr w:rsidR="00DE7639" w:rsidRPr="00880312" w14:paraId="10D7B803" w14:textId="77777777" w:rsidTr="00DE7639">
        <w:trPr>
          <w:trHeight w:val="250"/>
        </w:trPr>
        <w:tc>
          <w:tcPr>
            <w:tcW w:w="5000" w:type="pct"/>
            <w:gridSpan w:val="13"/>
            <w:tcBorders>
              <w:top w:val="single" w:sz="4" w:space="0" w:color="auto"/>
              <w:left w:val="single" w:sz="4" w:space="0" w:color="auto"/>
              <w:right w:val="single" w:sz="4" w:space="0" w:color="auto"/>
            </w:tcBorders>
          </w:tcPr>
          <w:p w14:paraId="0077D94B" w14:textId="77777777" w:rsidR="00DE7639" w:rsidRPr="00880312" w:rsidRDefault="00DE7639" w:rsidP="00DE7639">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PANEL B: Independent Variable</w:t>
            </w:r>
          </w:p>
        </w:tc>
      </w:tr>
      <w:tr w:rsidR="00DE7639" w:rsidRPr="00880312" w14:paraId="39CAFA2A" w14:textId="77777777" w:rsidTr="00DE7639">
        <w:trPr>
          <w:trHeight w:val="1436"/>
        </w:trPr>
        <w:tc>
          <w:tcPr>
            <w:tcW w:w="702" w:type="pct"/>
            <w:tcBorders>
              <w:left w:val="single" w:sz="4" w:space="0" w:color="auto"/>
              <w:bottom w:val="single" w:sz="4" w:space="0" w:color="auto"/>
            </w:tcBorders>
          </w:tcPr>
          <w:p w14:paraId="3EBB138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Create Culture</w:t>
            </w:r>
          </w:p>
        </w:tc>
        <w:tc>
          <w:tcPr>
            <w:tcW w:w="854" w:type="pct"/>
            <w:tcBorders>
              <w:bottom w:val="single" w:sz="4" w:space="0" w:color="auto"/>
            </w:tcBorders>
          </w:tcPr>
          <w:p w14:paraId="29E9B9A4"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The frequency of creation culture words by the total number of words in all culture dimensions to capture the relative emphasis or intensity of the creation culture compared to other cultures. (Y. Wang, H. Farag and W. Ahmad, 2021)</w:t>
            </w:r>
          </w:p>
        </w:tc>
        <w:tc>
          <w:tcPr>
            <w:tcW w:w="479" w:type="pct"/>
            <w:tcBorders>
              <w:bottom w:val="single" w:sz="4" w:space="0" w:color="auto"/>
            </w:tcBorders>
          </w:tcPr>
          <w:p w14:paraId="0683873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1738</w:t>
            </w:r>
          </w:p>
        </w:tc>
        <w:tc>
          <w:tcPr>
            <w:tcW w:w="470" w:type="pct"/>
            <w:tcBorders>
              <w:bottom w:val="single" w:sz="4" w:space="0" w:color="auto"/>
            </w:tcBorders>
          </w:tcPr>
          <w:p w14:paraId="7EE7437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1.337</w:t>
            </w:r>
          </w:p>
        </w:tc>
        <w:tc>
          <w:tcPr>
            <w:tcW w:w="469" w:type="pct"/>
            <w:tcBorders>
              <w:bottom w:val="single" w:sz="4" w:space="0" w:color="auto"/>
            </w:tcBorders>
          </w:tcPr>
          <w:p w14:paraId="0914EB9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.6411</w:t>
            </w:r>
          </w:p>
        </w:tc>
        <w:tc>
          <w:tcPr>
            <w:tcW w:w="389" w:type="pct"/>
            <w:tcBorders>
              <w:bottom w:val="single" w:sz="4" w:space="0" w:color="auto"/>
            </w:tcBorders>
          </w:tcPr>
          <w:p w14:paraId="029E463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11" w:type="pct"/>
            <w:tcBorders>
              <w:bottom w:val="single" w:sz="4" w:space="0" w:color="auto"/>
            </w:tcBorders>
          </w:tcPr>
          <w:p w14:paraId="0CF951D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2.872</w:t>
            </w:r>
          </w:p>
        </w:tc>
        <w:tc>
          <w:tcPr>
            <w:tcW w:w="390" w:type="pct"/>
            <w:gridSpan w:val="2"/>
            <w:tcBorders>
              <w:bottom w:val="single" w:sz="4" w:space="0" w:color="auto"/>
            </w:tcBorders>
          </w:tcPr>
          <w:p w14:paraId="53C5DAC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2.771</w:t>
            </w:r>
          </w:p>
        </w:tc>
        <w:tc>
          <w:tcPr>
            <w:tcW w:w="393" w:type="pct"/>
            <w:gridSpan w:val="2"/>
            <w:tcBorders>
              <w:bottom w:val="single" w:sz="4" w:space="0" w:color="auto"/>
            </w:tcBorders>
          </w:tcPr>
          <w:p w14:paraId="6868140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1.375</w:t>
            </w:r>
          </w:p>
        </w:tc>
        <w:tc>
          <w:tcPr>
            <w:tcW w:w="443" w:type="pct"/>
            <w:gridSpan w:val="2"/>
            <w:tcBorders>
              <w:bottom w:val="single" w:sz="4" w:space="0" w:color="auto"/>
              <w:right w:val="single" w:sz="4" w:space="0" w:color="auto"/>
            </w:tcBorders>
          </w:tcPr>
          <w:p w14:paraId="7BD51D1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3.357</w:t>
            </w:r>
          </w:p>
        </w:tc>
      </w:tr>
      <w:tr w:rsidR="00DE7639" w:rsidRPr="00880312" w14:paraId="5B31BE74" w14:textId="77777777" w:rsidTr="00DE7639">
        <w:trPr>
          <w:trHeight w:val="1294"/>
        </w:trPr>
        <w:tc>
          <w:tcPr>
            <w:tcW w:w="702" w:type="pct"/>
            <w:tcBorders>
              <w:top w:val="single" w:sz="4" w:space="0" w:color="auto"/>
              <w:left w:val="single" w:sz="4" w:space="0" w:color="auto"/>
              <w:bottom w:val="single" w:sz="4" w:space="0" w:color="auto"/>
            </w:tcBorders>
          </w:tcPr>
          <w:p w14:paraId="3AEBF73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Create Culture Alternative</w:t>
            </w:r>
          </w:p>
        </w:tc>
        <w:tc>
          <w:tcPr>
            <w:tcW w:w="854" w:type="pct"/>
            <w:tcBorders>
              <w:top w:val="single" w:sz="4" w:space="0" w:color="auto"/>
              <w:bottom w:val="single" w:sz="4" w:space="0" w:color="auto"/>
            </w:tcBorders>
          </w:tcPr>
          <w:p w14:paraId="09790B80"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The creation culture keyword count scaled by the total number of words in the annual report (Create Culture-Alternative), consistent with prior literature (Fiordelisi and Ricci, 2014; Nguyen, Nguyen and Sila, 2019)</w:t>
            </w:r>
          </w:p>
        </w:tc>
        <w:tc>
          <w:tcPr>
            <w:tcW w:w="479" w:type="pct"/>
            <w:tcBorders>
              <w:top w:val="single" w:sz="4" w:space="0" w:color="auto"/>
              <w:bottom w:val="single" w:sz="4" w:space="0" w:color="auto"/>
            </w:tcBorders>
          </w:tcPr>
          <w:p w14:paraId="03BAD84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1750</w:t>
            </w:r>
          </w:p>
        </w:tc>
        <w:tc>
          <w:tcPr>
            <w:tcW w:w="470" w:type="pct"/>
            <w:tcBorders>
              <w:top w:val="single" w:sz="4" w:space="0" w:color="auto"/>
              <w:bottom w:val="single" w:sz="4" w:space="0" w:color="auto"/>
            </w:tcBorders>
          </w:tcPr>
          <w:p w14:paraId="3208377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0.0127</w:t>
            </w:r>
          </w:p>
        </w:tc>
        <w:tc>
          <w:tcPr>
            <w:tcW w:w="469" w:type="pct"/>
            <w:tcBorders>
              <w:top w:val="single" w:sz="4" w:space="0" w:color="auto"/>
              <w:bottom w:val="single" w:sz="4" w:space="0" w:color="auto"/>
            </w:tcBorders>
          </w:tcPr>
          <w:p w14:paraId="0045C7D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0.002</w:t>
            </w:r>
          </w:p>
        </w:tc>
        <w:tc>
          <w:tcPr>
            <w:tcW w:w="389" w:type="pct"/>
            <w:tcBorders>
              <w:top w:val="single" w:sz="4" w:space="0" w:color="auto"/>
              <w:bottom w:val="single" w:sz="4" w:space="0" w:color="auto"/>
            </w:tcBorders>
          </w:tcPr>
          <w:p w14:paraId="101098F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11" w:type="pct"/>
            <w:tcBorders>
              <w:top w:val="single" w:sz="4" w:space="0" w:color="auto"/>
              <w:bottom w:val="single" w:sz="4" w:space="0" w:color="auto"/>
            </w:tcBorders>
          </w:tcPr>
          <w:p w14:paraId="67C8F9F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0.022</w:t>
            </w:r>
          </w:p>
        </w:tc>
        <w:tc>
          <w:tcPr>
            <w:tcW w:w="390" w:type="pct"/>
            <w:gridSpan w:val="2"/>
            <w:tcBorders>
              <w:top w:val="single" w:sz="4" w:space="0" w:color="auto"/>
              <w:bottom w:val="single" w:sz="4" w:space="0" w:color="auto"/>
            </w:tcBorders>
          </w:tcPr>
          <w:p w14:paraId="242B91A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0.012</w:t>
            </w:r>
          </w:p>
        </w:tc>
        <w:tc>
          <w:tcPr>
            <w:tcW w:w="393" w:type="pct"/>
            <w:gridSpan w:val="2"/>
            <w:tcBorders>
              <w:top w:val="single" w:sz="4" w:space="0" w:color="auto"/>
              <w:bottom w:val="single" w:sz="4" w:space="0" w:color="auto"/>
            </w:tcBorders>
          </w:tcPr>
          <w:p w14:paraId="36803DF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0.011</w:t>
            </w:r>
          </w:p>
        </w:tc>
        <w:tc>
          <w:tcPr>
            <w:tcW w:w="443" w:type="pct"/>
            <w:gridSpan w:val="2"/>
            <w:tcBorders>
              <w:top w:val="single" w:sz="4" w:space="0" w:color="auto"/>
              <w:bottom w:val="single" w:sz="4" w:space="0" w:color="auto"/>
              <w:right w:val="single" w:sz="4" w:space="0" w:color="auto"/>
            </w:tcBorders>
          </w:tcPr>
          <w:p w14:paraId="70D5F55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0.014</w:t>
            </w:r>
          </w:p>
        </w:tc>
      </w:tr>
      <w:tr w:rsidR="00DE7639" w:rsidRPr="00880312" w14:paraId="6439A4E0" w14:textId="77777777" w:rsidTr="00DE7639">
        <w:trPr>
          <w:trHeight w:val="597"/>
        </w:trPr>
        <w:tc>
          <w:tcPr>
            <w:tcW w:w="702" w:type="pct"/>
            <w:tcBorders>
              <w:top w:val="single" w:sz="4" w:space="0" w:color="auto"/>
              <w:left w:val="single" w:sz="4" w:space="0" w:color="auto"/>
              <w:bottom w:val="single" w:sz="4" w:space="0" w:color="auto"/>
            </w:tcBorders>
          </w:tcPr>
          <w:p w14:paraId="1E645CA8"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Female Director (%)</w:t>
            </w:r>
          </w:p>
        </w:tc>
        <w:tc>
          <w:tcPr>
            <w:tcW w:w="854" w:type="pct"/>
            <w:tcBorders>
              <w:top w:val="single" w:sz="4" w:space="0" w:color="auto"/>
              <w:bottom w:val="single" w:sz="4" w:space="0" w:color="auto"/>
            </w:tcBorders>
          </w:tcPr>
          <w:p w14:paraId="0B435DD2"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Percentage of female director on the board</w:t>
            </w:r>
          </w:p>
        </w:tc>
        <w:tc>
          <w:tcPr>
            <w:tcW w:w="479" w:type="pct"/>
            <w:tcBorders>
              <w:top w:val="single" w:sz="4" w:space="0" w:color="auto"/>
              <w:bottom w:val="single" w:sz="4" w:space="0" w:color="auto"/>
            </w:tcBorders>
          </w:tcPr>
          <w:p w14:paraId="3272EB0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7DAF25A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12.3%</w:t>
            </w:r>
          </w:p>
        </w:tc>
        <w:tc>
          <w:tcPr>
            <w:tcW w:w="469" w:type="pct"/>
            <w:tcBorders>
              <w:top w:val="single" w:sz="4" w:space="0" w:color="auto"/>
              <w:bottom w:val="single" w:sz="4" w:space="0" w:color="auto"/>
            </w:tcBorders>
          </w:tcPr>
          <w:p w14:paraId="4345A8F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0.091</w:t>
            </w:r>
          </w:p>
        </w:tc>
        <w:tc>
          <w:tcPr>
            <w:tcW w:w="389" w:type="pct"/>
            <w:tcBorders>
              <w:top w:val="single" w:sz="4" w:space="0" w:color="auto"/>
              <w:bottom w:val="single" w:sz="4" w:space="0" w:color="auto"/>
            </w:tcBorders>
          </w:tcPr>
          <w:p w14:paraId="6270692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11" w:type="pct"/>
            <w:tcBorders>
              <w:top w:val="single" w:sz="4" w:space="0" w:color="auto"/>
              <w:bottom w:val="single" w:sz="4" w:space="0" w:color="auto"/>
            </w:tcBorders>
          </w:tcPr>
          <w:p w14:paraId="0D7E809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0.364</w:t>
            </w:r>
          </w:p>
        </w:tc>
        <w:tc>
          <w:tcPr>
            <w:tcW w:w="390" w:type="pct"/>
            <w:gridSpan w:val="2"/>
            <w:tcBorders>
              <w:top w:val="single" w:sz="4" w:space="0" w:color="auto"/>
              <w:bottom w:val="single" w:sz="4" w:space="0" w:color="auto"/>
            </w:tcBorders>
          </w:tcPr>
          <w:p w14:paraId="4918EE8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0.067</w:t>
            </w:r>
          </w:p>
        </w:tc>
        <w:tc>
          <w:tcPr>
            <w:tcW w:w="393" w:type="pct"/>
            <w:gridSpan w:val="2"/>
            <w:tcBorders>
              <w:top w:val="single" w:sz="4" w:space="0" w:color="auto"/>
              <w:bottom w:val="single" w:sz="4" w:space="0" w:color="auto"/>
            </w:tcBorders>
          </w:tcPr>
          <w:p w14:paraId="5C82EB8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0.111</w:t>
            </w:r>
          </w:p>
        </w:tc>
        <w:tc>
          <w:tcPr>
            <w:tcW w:w="443" w:type="pct"/>
            <w:gridSpan w:val="2"/>
            <w:tcBorders>
              <w:top w:val="single" w:sz="4" w:space="0" w:color="auto"/>
              <w:bottom w:val="single" w:sz="4" w:space="0" w:color="auto"/>
              <w:right w:val="single" w:sz="4" w:space="0" w:color="auto"/>
            </w:tcBorders>
          </w:tcPr>
          <w:p w14:paraId="2591C4D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0.182</w:t>
            </w:r>
          </w:p>
        </w:tc>
      </w:tr>
      <w:tr w:rsidR="00DE7639" w:rsidRPr="00880312" w14:paraId="0BC42820" w14:textId="77777777" w:rsidTr="00DE7639">
        <w:trPr>
          <w:trHeight w:val="549"/>
        </w:trPr>
        <w:tc>
          <w:tcPr>
            <w:tcW w:w="702" w:type="pct"/>
            <w:tcBorders>
              <w:top w:val="single" w:sz="4" w:space="0" w:color="auto"/>
              <w:left w:val="single" w:sz="4" w:space="0" w:color="auto"/>
              <w:bottom w:val="single" w:sz="4" w:space="0" w:color="auto"/>
            </w:tcBorders>
          </w:tcPr>
          <w:p w14:paraId="127722B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No of Female</w:t>
            </w:r>
          </w:p>
        </w:tc>
        <w:tc>
          <w:tcPr>
            <w:tcW w:w="854" w:type="pct"/>
            <w:tcBorders>
              <w:top w:val="single" w:sz="4" w:space="0" w:color="auto"/>
              <w:bottom w:val="single" w:sz="4" w:space="0" w:color="auto"/>
            </w:tcBorders>
          </w:tcPr>
          <w:p w14:paraId="7F7C3559"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Number of females on the board</w:t>
            </w:r>
          </w:p>
        </w:tc>
        <w:tc>
          <w:tcPr>
            <w:tcW w:w="479" w:type="pct"/>
            <w:tcBorders>
              <w:top w:val="single" w:sz="4" w:space="0" w:color="auto"/>
              <w:bottom w:val="single" w:sz="4" w:space="0" w:color="auto"/>
            </w:tcBorders>
          </w:tcPr>
          <w:p w14:paraId="5B179A3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3384AFD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1.616</w:t>
            </w:r>
          </w:p>
        </w:tc>
        <w:tc>
          <w:tcPr>
            <w:tcW w:w="469" w:type="pct"/>
            <w:tcBorders>
              <w:top w:val="single" w:sz="4" w:space="0" w:color="auto"/>
              <w:bottom w:val="single" w:sz="4" w:space="0" w:color="auto"/>
            </w:tcBorders>
          </w:tcPr>
          <w:p w14:paraId="045B706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1.229</w:t>
            </w:r>
          </w:p>
        </w:tc>
        <w:tc>
          <w:tcPr>
            <w:tcW w:w="389" w:type="pct"/>
            <w:tcBorders>
              <w:top w:val="single" w:sz="4" w:space="0" w:color="auto"/>
              <w:bottom w:val="single" w:sz="4" w:space="0" w:color="auto"/>
            </w:tcBorders>
          </w:tcPr>
          <w:p w14:paraId="42F2EA7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11" w:type="pct"/>
            <w:tcBorders>
              <w:top w:val="single" w:sz="4" w:space="0" w:color="auto"/>
              <w:bottom w:val="single" w:sz="4" w:space="0" w:color="auto"/>
            </w:tcBorders>
          </w:tcPr>
          <w:p w14:paraId="7C19BE0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w:t>
            </w:r>
          </w:p>
        </w:tc>
        <w:tc>
          <w:tcPr>
            <w:tcW w:w="390" w:type="pct"/>
            <w:gridSpan w:val="2"/>
            <w:tcBorders>
              <w:top w:val="single" w:sz="4" w:space="0" w:color="auto"/>
              <w:bottom w:val="single" w:sz="4" w:space="0" w:color="auto"/>
            </w:tcBorders>
          </w:tcPr>
          <w:p w14:paraId="029C1AD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0.996</w:t>
            </w:r>
          </w:p>
        </w:tc>
        <w:tc>
          <w:tcPr>
            <w:tcW w:w="393" w:type="pct"/>
            <w:gridSpan w:val="2"/>
            <w:tcBorders>
              <w:top w:val="single" w:sz="4" w:space="0" w:color="auto"/>
              <w:bottom w:val="single" w:sz="4" w:space="0" w:color="auto"/>
            </w:tcBorders>
          </w:tcPr>
          <w:p w14:paraId="39BE6D2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1.328</w:t>
            </w:r>
          </w:p>
        </w:tc>
        <w:tc>
          <w:tcPr>
            <w:tcW w:w="443" w:type="pct"/>
            <w:gridSpan w:val="2"/>
            <w:tcBorders>
              <w:top w:val="single" w:sz="4" w:space="0" w:color="auto"/>
              <w:bottom w:val="single" w:sz="4" w:space="0" w:color="auto"/>
              <w:right w:val="single" w:sz="4" w:space="0" w:color="auto"/>
            </w:tcBorders>
          </w:tcPr>
          <w:p w14:paraId="596ED3E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2.203</w:t>
            </w:r>
          </w:p>
        </w:tc>
      </w:tr>
      <w:tr w:rsidR="00DE7639" w:rsidRPr="00880312" w14:paraId="03C7A4A8" w14:textId="77777777" w:rsidTr="00DE7639">
        <w:trPr>
          <w:trHeight w:val="843"/>
        </w:trPr>
        <w:tc>
          <w:tcPr>
            <w:tcW w:w="702" w:type="pct"/>
            <w:tcBorders>
              <w:top w:val="single" w:sz="4" w:space="0" w:color="auto"/>
              <w:left w:val="single" w:sz="4" w:space="0" w:color="auto"/>
              <w:bottom w:val="single" w:sz="4" w:space="0" w:color="auto"/>
            </w:tcBorders>
          </w:tcPr>
          <w:p w14:paraId="7F4419F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Female Leader</w:t>
            </w:r>
          </w:p>
        </w:tc>
        <w:tc>
          <w:tcPr>
            <w:tcW w:w="854" w:type="pct"/>
            <w:tcBorders>
              <w:top w:val="single" w:sz="4" w:space="0" w:color="auto"/>
              <w:bottom w:val="single" w:sz="4" w:space="0" w:color="auto"/>
            </w:tcBorders>
          </w:tcPr>
          <w:p w14:paraId="72A5A186"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Dummy variable equal to 1 if the gender of the CEO and/or the chairperson / president (board leadership) is female, and 0 otherwise</w:t>
            </w:r>
          </w:p>
        </w:tc>
        <w:tc>
          <w:tcPr>
            <w:tcW w:w="479" w:type="pct"/>
            <w:tcBorders>
              <w:top w:val="single" w:sz="4" w:space="0" w:color="auto"/>
              <w:bottom w:val="single" w:sz="4" w:space="0" w:color="auto"/>
            </w:tcBorders>
          </w:tcPr>
          <w:p w14:paraId="57328EE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49A0620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0.025</w:t>
            </w:r>
          </w:p>
        </w:tc>
        <w:tc>
          <w:tcPr>
            <w:tcW w:w="469" w:type="pct"/>
            <w:tcBorders>
              <w:top w:val="single" w:sz="4" w:space="0" w:color="auto"/>
              <w:bottom w:val="single" w:sz="4" w:space="0" w:color="auto"/>
            </w:tcBorders>
          </w:tcPr>
          <w:p w14:paraId="28DD459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0.157</w:t>
            </w:r>
          </w:p>
        </w:tc>
        <w:tc>
          <w:tcPr>
            <w:tcW w:w="389" w:type="pct"/>
            <w:tcBorders>
              <w:top w:val="single" w:sz="4" w:space="0" w:color="auto"/>
              <w:bottom w:val="single" w:sz="4" w:space="0" w:color="auto"/>
            </w:tcBorders>
          </w:tcPr>
          <w:p w14:paraId="4BC286C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w:t>
            </w:r>
          </w:p>
        </w:tc>
        <w:tc>
          <w:tcPr>
            <w:tcW w:w="411" w:type="pct"/>
            <w:tcBorders>
              <w:top w:val="single" w:sz="4" w:space="0" w:color="auto"/>
              <w:bottom w:val="single" w:sz="4" w:space="0" w:color="auto"/>
            </w:tcBorders>
          </w:tcPr>
          <w:p w14:paraId="00B9FFA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390" w:type="pct"/>
            <w:gridSpan w:val="2"/>
            <w:tcBorders>
              <w:top w:val="single" w:sz="4" w:space="0" w:color="auto"/>
              <w:bottom w:val="single" w:sz="4" w:space="0" w:color="auto"/>
            </w:tcBorders>
          </w:tcPr>
          <w:p w14:paraId="7A915E5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393" w:type="pct"/>
            <w:gridSpan w:val="2"/>
            <w:tcBorders>
              <w:top w:val="single" w:sz="4" w:space="0" w:color="auto"/>
              <w:bottom w:val="single" w:sz="4" w:space="0" w:color="auto"/>
            </w:tcBorders>
          </w:tcPr>
          <w:p w14:paraId="35DD240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c>
          <w:tcPr>
            <w:tcW w:w="443" w:type="pct"/>
            <w:gridSpan w:val="2"/>
            <w:tcBorders>
              <w:top w:val="single" w:sz="4" w:space="0" w:color="auto"/>
              <w:bottom w:val="single" w:sz="4" w:space="0" w:color="auto"/>
              <w:right w:val="single" w:sz="4" w:space="0" w:color="auto"/>
            </w:tcBorders>
          </w:tcPr>
          <w:p w14:paraId="7FBCA9B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0.000</w:t>
            </w:r>
          </w:p>
        </w:tc>
      </w:tr>
      <w:tr w:rsidR="00DE7639" w:rsidRPr="00880312" w14:paraId="4CCE89BA" w14:textId="77777777" w:rsidTr="00DE7639">
        <w:trPr>
          <w:trHeight w:val="138"/>
        </w:trPr>
        <w:tc>
          <w:tcPr>
            <w:tcW w:w="5000" w:type="pct"/>
            <w:gridSpan w:val="13"/>
            <w:tcBorders>
              <w:top w:val="single" w:sz="4" w:space="0" w:color="auto"/>
              <w:left w:val="single" w:sz="4" w:space="0" w:color="auto"/>
              <w:bottom w:val="single" w:sz="4" w:space="0" w:color="auto"/>
              <w:right w:val="single" w:sz="4" w:space="0" w:color="auto"/>
            </w:tcBorders>
          </w:tcPr>
          <w:p w14:paraId="1D046620" w14:textId="77777777" w:rsidR="00DE7639" w:rsidRPr="00880312" w:rsidRDefault="00DE7639" w:rsidP="00DE7639">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PANEL C: Control Variables</w:t>
            </w:r>
          </w:p>
        </w:tc>
      </w:tr>
      <w:tr w:rsidR="00DE7639" w:rsidRPr="00880312" w14:paraId="2A20DAB4" w14:textId="77777777" w:rsidTr="00DE7639">
        <w:trPr>
          <w:trHeight w:val="278"/>
        </w:trPr>
        <w:tc>
          <w:tcPr>
            <w:tcW w:w="702" w:type="pct"/>
            <w:tcBorders>
              <w:top w:val="single" w:sz="4" w:space="0" w:color="auto"/>
              <w:left w:val="single" w:sz="4" w:space="0" w:color="auto"/>
              <w:bottom w:val="single" w:sz="4" w:space="0" w:color="auto"/>
            </w:tcBorders>
          </w:tcPr>
          <w:p w14:paraId="2A8695F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Indp_Director (%)</w:t>
            </w:r>
          </w:p>
        </w:tc>
        <w:tc>
          <w:tcPr>
            <w:tcW w:w="854" w:type="pct"/>
            <w:tcBorders>
              <w:top w:val="single" w:sz="4" w:space="0" w:color="auto"/>
              <w:bottom w:val="single" w:sz="4" w:space="0" w:color="auto"/>
            </w:tcBorders>
          </w:tcPr>
          <w:p w14:paraId="0832EB36"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Ratio of number of independent directors on the board to total board size</w:t>
            </w:r>
          </w:p>
        </w:tc>
        <w:tc>
          <w:tcPr>
            <w:tcW w:w="479" w:type="pct"/>
            <w:tcBorders>
              <w:top w:val="single" w:sz="4" w:space="0" w:color="auto"/>
              <w:bottom w:val="single" w:sz="4" w:space="0" w:color="auto"/>
            </w:tcBorders>
          </w:tcPr>
          <w:p w14:paraId="247633F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65B51B5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 xml:space="preserve">77.7% </w:t>
            </w:r>
          </w:p>
        </w:tc>
        <w:tc>
          <w:tcPr>
            <w:tcW w:w="469" w:type="pct"/>
            <w:tcBorders>
              <w:top w:val="single" w:sz="4" w:space="0" w:color="auto"/>
              <w:bottom w:val="single" w:sz="4" w:space="0" w:color="auto"/>
            </w:tcBorders>
          </w:tcPr>
          <w:p w14:paraId="6FE5EB48"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0.132</w:t>
            </w:r>
          </w:p>
        </w:tc>
        <w:tc>
          <w:tcPr>
            <w:tcW w:w="389" w:type="pct"/>
            <w:tcBorders>
              <w:top w:val="single" w:sz="4" w:space="0" w:color="auto"/>
              <w:bottom w:val="single" w:sz="4" w:space="0" w:color="auto"/>
            </w:tcBorders>
          </w:tcPr>
          <w:p w14:paraId="628028D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0.333</w:t>
            </w:r>
          </w:p>
        </w:tc>
        <w:tc>
          <w:tcPr>
            <w:tcW w:w="411" w:type="pct"/>
            <w:tcBorders>
              <w:top w:val="single" w:sz="4" w:space="0" w:color="auto"/>
              <w:bottom w:val="single" w:sz="4" w:space="0" w:color="auto"/>
            </w:tcBorders>
          </w:tcPr>
          <w:p w14:paraId="69AB60F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0.937</w:t>
            </w:r>
          </w:p>
        </w:tc>
        <w:tc>
          <w:tcPr>
            <w:tcW w:w="390" w:type="pct"/>
            <w:gridSpan w:val="2"/>
            <w:tcBorders>
              <w:top w:val="single" w:sz="4" w:space="0" w:color="auto"/>
              <w:bottom w:val="single" w:sz="4" w:space="0" w:color="auto"/>
            </w:tcBorders>
          </w:tcPr>
          <w:p w14:paraId="6EB50CD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0.684</w:t>
            </w:r>
          </w:p>
        </w:tc>
        <w:tc>
          <w:tcPr>
            <w:tcW w:w="393" w:type="pct"/>
            <w:gridSpan w:val="2"/>
            <w:tcBorders>
              <w:top w:val="single" w:sz="4" w:space="0" w:color="auto"/>
              <w:bottom w:val="single" w:sz="4" w:space="0" w:color="auto"/>
            </w:tcBorders>
          </w:tcPr>
          <w:p w14:paraId="32BBB8F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0.818</w:t>
            </w:r>
          </w:p>
        </w:tc>
        <w:tc>
          <w:tcPr>
            <w:tcW w:w="443" w:type="pct"/>
            <w:gridSpan w:val="2"/>
            <w:tcBorders>
              <w:top w:val="single" w:sz="4" w:space="0" w:color="auto"/>
              <w:bottom w:val="single" w:sz="4" w:space="0" w:color="auto"/>
              <w:right w:val="single" w:sz="4" w:space="0" w:color="auto"/>
            </w:tcBorders>
          </w:tcPr>
          <w:p w14:paraId="66B4334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0.888</w:t>
            </w:r>
          </w:p>
        </w:tc>
      </w:tr>
      <w:tr w:rsidR="00DE7639" w:rsidRPr="00880312" w14:paraId="67EE6B1B" w14:textId="77777777" w:rsidTr="00DE7639">
        <w:trPr>
          <w:trHeight w:val="278"/>
        </w:trPr>
        <w:tc>
          <w:tcPr>
            <w:tcW w:w="702" w:type="pct"/>
            <w:tcBorders>
              <w:top w:val="single" w:sz="4" w:space="0" w:color="auto"/>
              <w:left w:val="single" w:sz="4" w:space="0" w:color="auto"/>
              <w:bottom w:val="single" w:sz="4" w:space="0" w:color="auto"/>
            </w:tcBorders>
          </w:tcPr>
          <w:p w14:paraId="4972FB0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Board Size</w:t>
            </w:r>
          </w:p>
        </w:tc>
        <w:tc>
          <w:tcPr>
            <w:tcW w:w="854" w:type="pct"/>
            <w:tcBorders>
              <w:top w:val="single" w:sz="4" w:space="0" w:color="auto"/>
              <w:bottom w:val="single" w:sz="4" w:space="0" w:color="auto"/>
            </w:tcBorders>
          </w:tcPr>
          <w:p w14:paraId="5B158BB1"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Total number of directors on the board</w:t>
            </w:r>
          </w:p>
        </w:tc>
        <w:tc>
          <w:tcPr>
            <w:tcW w:w="479" w:type="pct"/>
            <w:tcBorders>
              <w:top w:val="single" w:sz="4" w:space="0" w:color="auto"/>
              <w:bottom w:val="single" w:sz="4" w:space="0" w:color="auto"/>
            </w:tcBorders>
          </w:tcPr>
          <w:p w14:paraId="649CF61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7498D22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13.037</w:t>
            </w:r>
          </w:p>
        </w:tc>
        <w:tc>
          <w:tcPr>
            <w:tcW w:w="469" w:type="pct"/>
            <w:tcBorders>
              <w:top w:val="single" w:sz="4" w:space="0" w:color="auto"/>
              <w:bottom w:val="single" w:sz="4" w:space="0" w:color="auto"/>
            </w:tcBorders>
          </w:tcPr>
          <w:p w14:paraId="25C3E6A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3.374</w:t>
            </w:r>
          </w:p>
        </w:tc>
        <w:tc>
          <w:tcPr>
            <w:tcW w:w="389" w:type="pct"/>
            <w:tcBorders>
              <w:top w:val="single" w:sz="4" w:space="0" w:color="auto"/>
              <w:bottom w:val="single" w:sz="4" w:space="0" w:color="auto"/>
            </w:tcBorders>
          </w:tcPr>
          <w:p w14:paraId="6775956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411" w:type="pct"/>
            <w:tcBorders>
              <w:top w:val="single" w:sz="4" w:space="0" w:color="auto"/>
              <w:bottom w:val="single" w:sz="4" w:space="0" w:color="auto"/>
            </w:tcBorders>
          </w:tcPr>
          <w:p w14:paraId="24F245E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24</w:t>
            </w:r>
          </w:p>
        </w:tc>
        <w:tc>
          <w:tcPr>
            <w:tcW w:w="390" w:type="pct"/>
            <w:gridSpan w:val="2"/>
            <w:tcBorders>
              <w:top w:val="single" w:sz="4" w:space="0" w:color="auto"/>
              <w:bottom w:val="single" w:sz="4" w:space="0" w:color="auto"/>
            </w:tcBorders>
          </w:tcPr>
          <w:p w14:paraId="7D6F5C9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11</w:t>
            </w:r>
          </w:p>
        </w:tc>
        <w:tc>
          <w:tcPr>
            <w:tcW w:w="393" w:type="pct"/>
            <w:gridSpan w:val="2"/>
            <w:tcBorders>
              <w:top w:val="single" w:sz="4" w:space="0" w:color="auto"/>
              <w:bottom w:val="single" w:sz="4" w:space="0" w:color="auto"/>
            </w:tcBorders>
          </w:tcPr>
          <w:p w14:paraId="3440123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w:t>
            </w:r>
          </w:p>
        </w:tc>
        <w:tc>
          <w:tcPr>
            <w:tcW w:w="443" w:type="pct"/>
            <w:gridSpan w:val="2"/>
            <w:tcBorders>
              <w:top w:val="single" w:sz="4" w:space="0" w:color="auto"/>
              <w:bottom w:val="single" w:sz="4" w:space="0" w:color="auto"/>
              <w:right w:val="single" w:sz="4" w:space="0" w:color="auto"/>
            </w:tcBorders>
          </w:tcPr>
          <w:p w14:paraId="1908213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15</w:t>
            </w:r>
          </w:p>
        </w:tc>
      </w:tr>
      <w:tr w:rsidR="00DE7639" w:rsidRPr="00880312" w14:paraId="4A1A148C" w14:textId="77777777" w:rsidTr="00DE7639">
        <w:trPr>
          <w:trHeight w:val="278"/>
        </w:trPr>
        <w:tc>
          <w:tcPr>
            <w:tcW w:w="702" w:type="pct"/>
            <w:tcBorders>
              <w:top w:val="single" w:sz="4" w:space="0" w:color="auto"/>
              <w:left w:val="single" w:sz="4" w:space="0" w:color="auto"/>
              <w:bottom w:val="single" w:sz="4" w:space="0" w:color="auto"/>
            </w:tcBorders>
          </w:tcPr>
          <w:p w14:paraId="408FD2E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Bank Size($m)</w:t>
            </w:r>
          </w:p>
        </w:tc>
        <w:tc>
          <w:tcPr>
            <w:tcW w:w="854" w:type="pct"/>
            <w:tcBorders>
              <w:top w:val="single" w:sz="4" w:space="0" w:color="auto"/>
              <w:bottom w:val="single" w:sz="4" w:space="0" w:color="auto"/>
            </w:tcBorders>
          </w:tcPr>
          <w:p w14:paraId="689A0D67"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Total asset</w:t>
            </w:r>
          </w:p>
        </w:tc>
        <w:tc>
          <w:tcPr>
            <w:tcW w:w="479" w:type="pct"/>
            <w:tcBorders>
              <w:top w:val="single" w:sz="4" w:space="0" w:color="auto"/>
              <w:bottom w:val="single" w:sz="4" w:space="0" w:color="auto"/>
            </w:tcBorders>
          </w:tcPr>
          <w:p w14:paraId="7901186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1776</w:t>
            </w:r>
          </w:p>
        </w:tc>
        <w:tc>
          <w:tcPr>
            <w:tcW w:w="470" w:type="pct"/>
            <w:tcBorders>
              <w:top w:val="single" w:sz="4" w:space="0" w:color="auto"/>
              <w:bottom w:val="single" w:sz="4" w:space="0" w:color="auto"/>
            </w:tcBorders>
          </w:tcPr>
          <w:p w14:paraId="3A13495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86.826</w:t>
            </w:r>
          </w:p>
        </w:tc>
        <w:tc>
          <w:tcPr>
            <w:tcW w:w="469" w:type="pct"/>
            <w:tcBorders>
              <w:top w:val="single" w:sz="4" w:space="0" w:color="auto"/>
              <w:bottom w:val="single" w:sz="4" w:space="0" w:color="auto"/>
            </w:tcBorders>
          </w:tcPr>
          <w:p w14:paraId="10F27C7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324.94</w:t>
            </w:r>
          </w:p>
        </w:tc>
        <w:tc>
          <w:tcPr>
            <w:tcW w:w="389" w:type="pct"/>
            <w:tcBorders>
              <w:top w:val="single" w:sz="4" w:space="0" w:color="auto"/>
              <w:bottom w:val="single" w:sz="4" w:space="0" w:color="auto"/>
            </w:tcBorders>
          </w:tcPr>
          <w:p w14:paraId="419E52A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0.147</w:t>
            </w:r>
          </w:p>
        </w:tc>
        <w:tc>
          <w:tcPr>
            <w:tcW w:w="547" w:type="pct"/>
            <w:gridSpan w:val="2"/>
            <w:tcBorders>
              <w:top w:val="single" w:sz="4" w:space="0" w:color="auto"/>
              <w:bottom w:val="single" w:sz="4" w:space="0" w:color="auto"/>
            </w:tcBorders>
          </w:tcPr>
          <w:p w14:paraId="71D58D9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2129.04</w:t>
            </w:r>
          </w:p>
        </w:tc>
        <w:tc>
          <w:tcPr>
            <w:tcW w:w="390" w:type="pct"/>
            <w:gridSpan w:val="2"/>
            <w:tcBorders>
              <w:top w:val="single" w:sz="4" w:space="0" w:color="auto"/>
              <w:bottom w:val="single" w:sz="4" w:space="0" w:color="auto"/>
            </w:tcBorders>
          </w:tcPr>
          <w:p w14:paraId="28A580D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3.238</w:t>
            </w:r>
          </w:p>
        </w:tc>
        <w:tc>
          <w:tcPr>
            <w:tcW w:w="393" w:type="pct"/>
            <w:gridSpan w:val="2"/>
            <w:tcBorders>
              <w:top w:val="single" w:sz="4" w:space="0" w:color="auto"/>
              <w:bottom w:val="single" w:sz="4" w:space="0" w:color="auto"/>
            </w:tcBorders>
          </w:tcPr>
          <w:p w14:paraId="704BBD2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7.265</w:t>
            </w:r>
          </w:p>
        </w:tc>
        <w:tc>
          <w:tcPr>
            <w:tcW w:w="307" w:type="pct"/>
            <w:tcBorders>
              <w:top w:val="single" w:sz="4" w:space="0" w:color="auto"/>
              <w:bottom w:val="single" w:sz="4" w:space="0" w:color="auto"/>
              <w:right w:val="single" w:sz="4" w:space="0" w:color="auto"/>
            </w:tcBorders>
          </w:tcPr>
          <w:p w14:paraId="24A431E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23.11</w:t>
            </w:r>
          </w:p>
        </w:tc>
      </w:tr>
      <w:tr w:rsidR="00DE7639" w:rsidRPr="00880312" w14:paraId="58316547" w14:textId="77777777" w:rsidTr="00DE7639">
        <w:trPr>
          <w:trHeight w:val="278"/>
        </w:trPr>
        <w:tc>
          <w:tcPr>
            <w:tcW w:w="702" w:type="pct"/>
            <w:tcBorders>
              <w:top w:val="single" w:sz="4" w:space="0" w:color="auto"/>
              <w:left w:val="single" w:sz="4" w:space="0" w:color="auto"/>
              <w:bottom w:val="single" w:sz="4" w:space="0" w:color="auto"/>
            </w:tcBorders>
          </w:tcPr>
          <w:p w14:paraId="6593253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Bank Size (ln)</w:t>
            </w:r>
          </w:p>
        </w:tc>
        <w:tc>
          <w:tcPr>
            <w:tcW w:w="854" w:type="pct"/>
            <w:tcBorders>
              <w:top w:val="single" w:sz="4" w:space="0" w:color="auto"/>
              <w:bottom w:val="single" w:sz="4" w:space="0" w:color="auto"/>
            </w:tcBorders>
          </w:tcPr>
          <w:p w14:paraId="5907671A"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Natural log of Total assets</w:t>
            </w:r>
          </w:p>
        </w:tc>
        <w:tc>
          <w:tcPr>
            <w:tcW w:w="479" w:type="pct"/>
            <w:tcBorders>
              <w:top w:val="single" w:sz="4" w:space="0" w:color="auto"/>
              <w:bottom w:val="single" w:sz="4" w:space="0" w:color="auto"/>
            </w:tcBorders>
          </w:tcPr>
          <w:p w14:paraId="0C0B2C2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1761</w:t>
            </w:r>
          </w:p>
        </w:tc>
        <w:tc>
          <w:tcPr>
            <w:tcW w:w="470" w:type="pct"/>
            <w:tcBorders>
              <w:top w:val="single" w:sz="4" w:space="0" w:color="auto"/>
              <w:bottom w:val="single" w:sz="4" w:space="0" w:color="auto"/>
            </w:tcBorders>
          </w:tcPr>
          <w:p w14:paraId="23A9E0F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9.306</w:t>
            </w:r>
          </w:p>
        </w:tc>
        <w:tc>
          <w:tcPr>
            <w:tcW w:w="469" w:type="pct"/>
            <w:tcBorders>
              <w:top w:val="single" w:sz="4" w:space="0" w:color="auto"/>
              <w:bottom w:val="single" w:sz="4" w:space="0" w:color="auto"/>
            </w:tcBorders>
          </w:tcPr>
          <w:p w14:paraId="4727FC7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1.656</w:t>
            </w:r>
          </w:p>
        </w:tc>
        <w:tc>
          <w:tcPr>
            <w:tcW w:w="389" w:type="pct"/>
            <w:tcBorders>
              <w:top w:val="single" w:sz="4" w:space="0" w:color="auto"/>
              <w:bottom w:val="single" w:sz="4" w:space="0" w:color="auto"/>
            </w:tcBorders>
          </w:tcPr>
          <w:p w14:paraId="640CEC18"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6.96</w:t>
            </w:r>
          </w:p>
        </w:tc>
        <w:tc>
          <w:tcPr>
            <w:tcW w:w="411" w:type="pct"/>
            <w:tcBorders>
              <w:top w:val="single" w:sz="4" w:space="0" w:color="auto"/>
              <w:bottom w:val="single" w:sz="4" w:space="0" w:color="auto"/>
            </w:tcBorders>
          </w:tcPr>
          <w:p w14:paraId="5ECA3B8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14.57</w:t>
            </w:r>
          </w:p>
        </w:tc>
        <w:tc>
          <w:tcPr>
            <w:tcW w:w="390" w:type="pct"/>
            <w:gridSpan w:val="2"/>
            <w:tcBorders>
              <w:top w:val="single" w:sz="4" w:space="0" w:color="auto"/>
              <w:bottom w:val="single" w:sz="4" w:space="0" w:color="auto"/>
            </w:tcBorders>
          </w:tcPr>
          <w:p w14:paraId="0F5A3F4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8.102</w:t>
            </w:r>
          </w:p>
        </w:tc>
        <w:tc>
          <w:tcPr>
            <w:tcW w:w="393" w:type="pct"/>
            <w:gridSpan w:val="2"/>
            <w:tcBorders>
              <w:top w:val="single" w:sz="4" w:space="0" w:color="auto"/>
              <w:bottom w:val="single" w:sz="4" w:space="0" w:color="auto"/>
            </w:tcBorders>
          </w:tcPr>
          <w:p w14:paraId="14393D3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8.901</w:t>
            </w:r>
          </w:p>
        </w:tc>
        <w:tc>
          <w:tcPr>
            <w:tcW w:w="443" w:type="pct"/>
            <w:gridSpan w:val="2"/>
            <w:tcBorders>
              <w:top w:val="single" w:sz="4" w:space="0" w:color="auto"/>
              <w:bottom w:val="single" w:sz="4" w:space="0" w:color="auto"/>
              <w:right w:val="single" w:sz="4" w:space="0" w:color="auto"/>
            </w:tcBorders>
          </w:tcPr>
          <w:p w14:paraId="72EF0F78"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10.064</w:t>
            </w:r>
          </w:p>
        </w:tc>
      </w:tr>
      <w:tr w:rsidR="00DE7639" w:rsidRPr="00880312" w14:paraId="39BC6F72" w14:textId="77777777" w:rsidTr="00DE7639">
        <w:trPr>
          <w:trHeight w:val="430"/>
        </w:trPr>
        <w:tc>
          <w:tcPr>
            <w:tcW w:w="702" w:type="pct"/>
            <w:tcBorders>
              <w:top w:val="single" w:sz="4" w:space="0" w:color="auto"/>
              <w:left w:val="single" w:sz="4" w:space="0" w:color="auto"/>
              <w:bottom w:val="single" w:sz="4" w:space="0" w:color="auto"/>
            </w:tcBorders>
          </w:tcPr>
          <w:p w14:paraId="7A074A3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Leverage</w:t>
            </w:r>
          </w:p>
        </w:tc>
        <w:tc>
          <w:tcPr>
            <w:tcW w:w="854" w:type="pct"/>
            <w:tcBorders>
              <w:top w:val="single" w:sz="4" w:space="0" w:color="auto"/>
              <w:bottom w:val="single" w:sz="4" w:space="0" w:color="auto"/>
            </w:tcBorders>
          </w:tcPr>
          <w:p w14:paraId="04B69EEF"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Book value of liabilities divided by book value of total assets</w:t>
            </w:r>
          </w:p>
        </w:tc>
        <w:tc>
          <w:tcPr>
            <w:tcW w:w="479" w:type="pct"/>
            <w:tcBorders>
              <w:top w:val="single" w:sz="4" w:space="0" w:color="auto"/>
              <w:bottom w:val="single" w:sz="4" w:space="0" w:color="auto"/>
            </w:tcBorders>
          </w:tcPr>
          <w:p w14:paraId="6CFBFBF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1735</w:t>
            </w:r>
          </w:p>
        </w:tc>
        <w:tc>
          <w:tcPr>
            <w:tcW w:w="470" w:type="pct"/>
            <w:tcBorders>
              <w:top w:val="single" w:sz="4" w:space="0" w:color="auto"/>
              <w:bottom w:val="single" w:sz="4" w:space="0" w:color="auto"/>
            </w:tcBorders>
          </w:tcPr>
          <w:p w14:paraId="19FEBF2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0.894</w:t>
            </w:r>
          </w:p>
        </w:tc>
        <w:tc>
          <w:tcPr>
            <w:tcW w:w="469" w:type="pct"/>
            <w:tcBorders>
              <w:top w:val="single" w:sz="4" w:space="0" w:color="auto"/>
              <w:bottom w:val="single" w:sz="4" w:space="0" w:color="auto"/>
            </w:tcBorders>
          </w:tcPr>
          <w:p w14:paraId="5CF6FAA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0.029</w:t>
            </w:r>
          </w:p>
        </w:tc>
        <w:tc>
          <w:tcPr>
            <w:tcW w:w="389" w:type="pct"/>
            <w:tcBorders>
              <w:top w:val="single" w:sz="4" w:space="0" w:color="auto"/>
              <w:bottom w:val="single" w:sz="4" w:space="0" w:color="auto"/>
            </w:tcBorders>
          </w:tcPr>
          <w:p w14:paraId="09FBA6B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0.432</w:t>
            </w:r>
          </w:p>
        </w:tc>
        <w:tc>
          <w:tcPr>
            <w:tcW w:w="411" w:type="pct"/>
            <w:tcBorders>
              <w:top w:val="single" w:sz="4" w:space="0" w:color="auto"/>
              <w:bottom w:val="single" w:sz="4" w:space="0" w:color="auto"/>
            </w:tcBorders>
          </w:tcPr>
          <w:p w14:paraId="1636F16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0.941</w:t>
            </w:r>
          </w:p>
        </w:tc>
        <w:tc>
          <w:tcPr>
            <w:tcW w:w="390" w:type="pct"/>
            <w:gridSpan w:val="2"/>
            <w:tcBorders>
              <w:top w:val="single" w:sz="4" w:space="0" w:color="auto"/>
              <w:bottom w:val="single" w:sz="4" w:space="0" w:color="auto"/>
            </w:tcBorders>
          </w:tcPr>
          <w:p w14:paraId="54D8B89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0.672</w:t>
            </w:r>
          </w:p>
        </w:tc>
        <w:tc>
          <w:tcPr>
            <w:tcW w:w="393" w:type="pct"/>
            <w:gridSpan w:val="2"/>
            <w:tcBorders>
              <w:top w:val="single" w:sz="4" w:space="0" w:color="auto"/>
              <w:bottom w:val="single" w:sz="4" w:space="0" w:color="auto"/>
            </w:tcBorders>
          </w:tcPr>
          <w:p w14:paraId="192F4CF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0.896</w:t>
            </w:r>
          </w:p>
        </w:tc>
        <w:tc>
          <w:tcPr>
            <w:tcW w:w="443" w:type="pct"/>
            <w:gridSpan w:val="2"/>
            <w:tcBorders>
              <w:top w:val="single" w:sz="4" w:space="0" w:color="auto"/>
              <w:bottom w:val="single" w:sz="4" w:space="0" w:color="auto"/>
              <w:right w:val="single" w:sz="4" w:space="0" w:color="auto"/>
            </w:tcBorders>
          </w:tcPr>
          <w:p w14:paraId="46A8186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0.910</w:t>
            </w:r>
          </w:p>
        </w:tc>
      </w:tr>
      <w:tr w:rsidR="00DE7639" w:rsidRPr="00880312" w14:paraId="4E71247C" w14:textId="77777777" w:rsidTr="00DE7639">
        <w:trPr>
          <w:trHeight w:val="430"/>
        </w:trPr>
        <w:tc>
          <w:tcPr>
            <w:tcW w:w="702" w:type="pct"/>
            <w:tcBorders>
              <w:top w:val="single" w:sz="4" w:space="0" w:color="auto"/>
              <w:left w:val="single" w:sz="4" w:space="0" w:color="auto"/>
              <w:bottom w:val="single" w:sz="4" w:space="0" w:color="auto"/>
            </w:tcBorders>
          </w:tcPr>
          <w:p w14:paraId="0D0C4E52"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MV to BV</w:t>
            </w:r>
          </w:p>
        </w:tc>
        <w:tc>
          <w:tcPr>
            <w:tcW w:w="854" w:type="pct"/>
            <w:tcBorders>
              <w:top w:val="single" w:sz="4" w:space="0" w:color="auto"/>
              <w:bottom w:val="single" w:sz="4" w:space="0" w:color="auto"/>
            </w:tcBorders>
          </w:tcPr>
          <w:p w14:paraId="2C255477"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Market value of equity divided by the book value of equity</w:t>
            </w:r>
          </w:p>
        </w:tc>
        <w:tc>
          <w:tcPr>
            <w:tcW w:w="479" w:type="pct"/>
            <w:tcBorders>
              <w:top w:val="single" w:sz="4" w:space="0" w:color="auto"/>
              <w:bottom w:val="single" w:sz="4" w:space="0" w:color="auto"/>
            </w:tcBorders>
          </w:tcPr>
          <w:p w14:paraId="2F26274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1683</w:t>
            </w:r>
          </w:p>
        </w:tc>
        <w:tc>
          <w:tcPr>
            <w:tcW w:w="470" w:type="pct"/>
            <w:tcBorders>
              <w:top w:val="single" w:sz="4" w:space="0" w:color="auto"/>
              <w:bottom w:val="single" w:sz="4" w:space="0" w:color="auto"/>
            </w:tcBorders>
          </w:tcPr>
          <w:p w14:paraId="65BEBF8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332.25</w:t>
            </w:r>
          </w:p>
        </w:tc>
        <w:tc>
          <w:tcPr>
            <w:tcW w:w="469" w:type="pct"/>
            <w:tcBorders>
              <w:top w:val="single" w:sz="4" w:space="0" w:color="auto"/>
              <w:bottom w:val="single" w:sz="4" w:space="0" w:color="auto"/>
            </w:tcBorders>
          </w:tcPr>
          <w:p w14:paraId="61C5FF2C"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998.852</w:t>
            </w:r>
          </w:p>
        </w:tc>
        <w:tc>
          <w:tcPr>
            <w:tcW w:w="389" w:type="pct"/>
            <w:tcBorders>
              <w:top w:val="single" w:sz="4" w:space="0" w:color="auto"/>
              <w:bottom w:val="single" w:sz="4" w:space="0" w:color="auto"/>
            </w:tcBorders>
          </w:tcPr>
          <w:p w14:paraId="03DB1B1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-540.3</w:t>
            </w:r>
          </w:p>
        </w:tc>
        <w:tc>
          <w:tcPr>
            <w:tcW w:w="411" w:type="pct"/>
            <w:tcBorders>
              <w:top w:val="single" w:sz="4" w:space="0" w:color="auto"/>
              <w:bottom w:val="single" w:sz="4" w:space="0" w:color="auto"/>
            </w:tcBorders>
          </w:tcPr>
          <w:p w14:paraId="07AC297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12760.46</w:t>
            </w:r>
          </w:p>
        </w:tc>
        <w:tc>
          <w:tcPr>
            <w:tcW w:w="390" w:type="pct"/>
            <w:gridSpan w:val="2"/>
            <w:tcBorders>
              <w:top w:val="single" w:sz="4" w:space="0" w:color="auto"/>
              <w:bottom w:val="single" w:sz="4" w:space="0" w:color="auto"/>
            </w:tcBorders>
          </w:tcPr>
          <w:p w14:paraId="72BF6C5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0.613</w:t>
            </w:r>
          </w:p>
        </w:tc>
        <w:tc>
          <w:tcPr>
            <w:tcW w:w="393" w:type="pct"/>
            <w:gridSpan w:val="2"/>
            <w:tcBorders>
              <w:top w:val="single" w:sz="4" w:space="0" w:color="auto"/>
              <w:bottom w:val="single" w:sz="4" w:space="0" w:color="auto"/>
            </w:tcBorders>
          </w:tcPr>
          <w:p w14:paraId="34ACCCC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64.08</w:t>
            </w:r>
          </w:p>
        </w:tc>
        <w:tc>
          <w:tcPr>
            <w:tcW w:w="443" w:type="pct"/>
            <w:gridSpan w:val="2"/>
            <w:tcBorders>
              <w:top w:val="single" w:sz="4" w:space="0" w:color="auto"/>
              <w:bottom w:val="single" w:sz="4" w:space="0" w:color="auto"/>
              <w:right w:val="single" w:sz="4" w:space="0" w:color="auto"/>
            </w:tcBorders>
          </w:tcPr>
          <w:p w14:paraId="6437DEF4"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152.86</w:t>
            </w:r>
          </w:p>
        </w:tc>
      </w:tr>
      <w:tr w:rsidR="00DE7639" w:rsidRPr="00880312" w14:paraId="7F0B64E2" w14:textId="77777777" w:rsidTr="00DE7639">
        <w:trPr>
          <w:trHeight w:val="430"/>
        </w:trPr>
        <w:tc>
          <w:tcPr>
            <w:tcW w:w="702" w:type="pct"/>
            <w:tcBorders>
              <w:top w:val="single" w:sz="4" w:space="0" w:color="auto"/>
              <w:left w:val="single" w:sz="4" w:space="0" w:color="auto"/>
              <w:bottom w:val="single" w:sz="4" w:space="0" w:color="auto"/>
            </w:tcBorders>
          </w:tcPr>
          <w:p w14:paraId="65918DD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 xml:space="preserve">ROA </w:t>
            </w:r>
          </w:p>
        </w:tc>
        <w:tc>
          <w:tcPr>
            <w:tcW w:w="854" w:type="pct"/>
            <w:tcBorders>
              <w:top w:val="single" w:sz="4" w:space="0" w:color="auto"/>
              <w:bottom w:val="single" w:sz="4" w:space="0" w:color="auto"/>
            </w:tcBorders>
          </w:tcPr>
          <w:p w14:paraId="1BFABD42"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Earnings before interest and taxes (EBIT) divided by book value of total assets</w:t>
            </w:r>
          </w:p>
        </w:tc>
        <w:tc>
          <w:tcPr>
            <w:tcW w:w="479" w:type="pct"/>
            <w:tcBorders>
              <w:top w:val="single" w:sz="4" w:space="0" w:color="auto"/>
              <w:bottom w:val="single" w:sz="4" w:space="0" w:color="auto"/>
            </w:tcBorders>
          </w:tcPr>
          <w:p w14:paraId="7D3B4C2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1780</w:t>
            </w:r>
          </w:p>
        </w:tc>
        <w:tc>
          <w:tcPr>
            <w:tcW w:w="470" w:type="pct"/>
            <w:tcBorders>
              <w:top w:val="single" w:sz="4" w:space="0" w:color="auto"/>
              <w:bottom w:val="single" w:sz="4" w:space="0" w:color="auto"/>
            </w:tcBorders>
          </w:tcPr>
          <w:p w14:paraId="66E4DFA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0.887%</w:t>
            </w:r>
          </w:p>
        </w:tc>
        <w:tc>
          <w:tcPr>
            <w:tcW w:w="469" w:type="pct"/>
            <w:tcBorders>
              <w:top w:val="single" w:sz="4" w:space="0" w:color="auto"/>
              <w:bottom w:val="single" w:sz="4" w:space="0" w:color="auto"/>
            </w:tcBorders>
          </w:tcPr>
          <w:p w14:paraId="7564530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0.747</w:t>
            </w:r>
          </w:p>
        </w:tc>
        <w:tc>
          <w:tcPr>
            <w:tcW w:w="389" w:type="pct"/>
            <w:tcBorders>
              <w:top w:val="single" w:sz="4" w:space="0" w:color="auto"/>
              <w:bottom w:val="single" w:sz="4" w:space="0" w:color="auto"/>
            </w:tcBorders>
          </w:tcPr>
          <w:p w14:paraId="24D2BD3E"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-3.048</w:t>
            </w:r>
          </w:p>
        </w:tc>
        <w:tc>
          <w:tcPr>
            <w:tcW w:w="411" w:type="pct"/>
            <w:tcBorders>
              <w:top w:val="single" w:sz="4" w:space="0" w:color="auto"/>
              <w:bottom w:val="single" w:sz="4" w:space="0" w:color="auto"/>
            </w:tcBorders>
          </w:tcPr>
          <w:p w14:paraId="43B2AAE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2.313</w:t>
            </w:r>
          </w:p>
        </w:tc>
        <w:tc>
          <w:tcPr>
            <w:tcW w:w="390" w:type="pct"/>
            <w:gridSpan w:val="2"/>
            <w:tcBorders>
              <w:top w:val="single" w:sz="4" w:space="0" w:color="auto"/>
              <w:bottom w:val="single" w:sz="4" w:space="0" w:color="auto"/>
            </w:tcBorders>
          </w:tcPr>
          <w:p w14:paraId="3852F5F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0.7483</w:t>
            </w:r>
          </w:p>
        </w:tc>
        <w:tc>
          <w:tcPr>
            <w:tcW w:w="393" w:type="pct"/>
            <w:gridSpan w:val="2"/>
            <w:tcBorders>
              <w:top w:val="single" w:sz="4" w:space="0" w:color="auto"/>
              <w:bottom w:val="single" w:sz="4" w:space="0" w:color="auto"/>
            </w:tcBorders>
          </w:tcPr>
          <w:p w14:paraId="61B22E3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0.999</w:t>
            </w:r>
          </w:p>
        </w:tc>
        <w:tc>
          <w:tcPr>
            <w:tcW w:w="443" w:type="pct"/>
            <w:gridSpan w:val="2"/>
            <w:tcBorders>
              <w:top w:val="single" w:sz="4" w:space="0" w:color="auto"/>
              <w:bottom w:val="single" w:sz="4" w:space="0" w:color="auto"/>
              <w:right w:val="single" w:sz="4" w:space="0" w:color="auto"/>
            </w:tcBorders>
          </w:tcPr>
          <w:p w14:paraId="0BA2C92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1.242</w:t>
            </w:r>
          </w:p>
        </w:tc>
      </w:tr>
      <w:tr w:rsidR="00DE7639" w:rsidRPr="00880312" w14:paraId="32C07B72" w14:textId="77777777" w:rsidTr="00DE7639">
        <w:trPr>
          <w:trHeight w:val="278"/>
        </w:trPr>
        <w:tc>
          <w:tcPr>
            <w:tcW w:w="702" w:type="pct"/>
            <w:tcBorders>
              <w:top w:val="single" w:sz="4" w:space="0" w:color="auto"/>
              <w:left w:val="single" w:sz="4" w:space="0" w:color="auto"/>
              <w:bottom w:val="single" w:sz="4" w:space="0" w:color="auto"/>
            </w:tcBorders>
          </w:tcPr>
          <w:p w14:paraId="732A272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Bank Capital</w:t>
            </w:r>
          </w:p>
        </w:tc>
        <w:tc>
          <w:tcPr>
            <w:tcW w:w="854" w:type="pct"/>
            <w:tcBorders>
              <w:top w:val="single" w:sz="4" w:space="0" w:color="auto"/>
              <w:bottom w:val="single" w:sz="4" w:space="0" w:color="auto"/>
            </w:tcBorders>
          </w:tcPr>
          <w:p w14:paraId="332C5F6E"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Tier-1 capital divided by total assets</w:t>
            </w:r>
          </w:p>
        </w:tc>
        <w:tc>
          <w:tcPr>
            <w:tcW w:w="479" w:type="pct"/>
            <w:tcBorders>
              <w:top w:val="single" w:sz="4" w:space="0" w:color="auto"/>
              <w:bottom w:val="single" w:sz="4" w:space="0" w:color="auto"/>
            </w:tcBorders>
          </w:tcPr>
          <w:p w14:paraId="4855C039"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1737</w:t>
            </w:r>
          </w:p>
        </w:tc>
        <w:tc>
          <w:tcPr>
            <w:tcW w:w="470" w:type="pct"/>
            <w:tcBorders>
              <w:top w:val="single" w:sz="4" w:space="0" w:color="auto"/>
              <w:bottom w:val="single" w:sz="4" w:space="0" w:color="auto"/>
            </w:tcBorders>
          </w:tcPr>
          <w:p w14:paraId="1CBC2C9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 xml:space="preserve">12.39% </w:t>
            </w:r>
          </w:p>
        </w:tc>
        <w:tc>
          <w:tcPr>
            <w:tcW w:w="469" w:type="pct"/>
            <w:tcBorders>
              <w:top w:val="single" w:sz="4" w:space="0" w:color="auto"/>
              <w:bottom w:val="single" w:sz="4" w:space="0" w:color="auto"/>
            </w:tcBorders>
          </w:tcPr>
          <w:p w14:paraId="7A0672B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2.735%</w:t>
            </w:r>
          </w:p>
        </w:tc>
        <w:tc>
          <w:tcPr>
            <w:tcW w:w="389" w:type="pct"/>
            <w:tcBorders>
              <w:top w:val="single" w:sz="4" w:space="0" w:color="auto"/>
              <w:bottom w:val="single" w:sz="4" w:space="0" w:color="auto"/>
            </w:tcBorders>
          </w:tcPr>
          <w:p w14:paraId="646ADD18"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7.44%</w:t>
            </w:r>
          </w:p>
        </w:tc>
        <w:tc>
          <w:tcPr>
            <w:tcW w:w="411" w:type="pct"/>
            <w:tcBorders>
              <w:top w:val="single" w:sz="4" w:space="0" w:color="auto"/>
              <w:bottom w:val="single" w:sz="4" w:space="0" w:color="auto"/>
            </w:tcBorders>
          </w:tcPr>
          <w:p w14:paraId="72B0D80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21.28</w:t>
            </w:r>
          </w:p>
        </w:tc>
        <w:tc>
          <w:tcPr>
            <w:tcW w:w="390" w:type="pct"/>
            <w:gridSpan w:val="2"/>
            <w:tcBorders>
              <w:top w:val="single" w:sz="4" w:space="0" w:color="auto"/>
              <w:bottom w:val="single" w:sz="4" w:space="0" w:color="auto"/>
            </w:tcBorders>
          </w:tcPr>
          <w:p w14:paraId="055C7D7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10.53</w:t>
            </w:r>
          </w:p>
        </w:tc>
        <w:tc>
          <w:tcPr>
            <w:tcW w:w="393" w:type="pct"/>
            <w:gridSpan w:val="2"/>
            <w:tcBorders>
              <w:top w:val="single" w:sz="4" w:space="0" w:color="auto"/>
              <w:bottom w:val="single" w:sz="4" w:space="0" w:color="auto"/>
            </w:tcBorders>
          </w:tcPr>
          <w:p w14:paraId="484691C1"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12.1%</w:t>
            </w:r>
          </w:p>
        </w:tc>
        <w:tc>
          <w:tcPr>
            <w:tcW w:w="443" w:type="pct"/>
            <w:gridSpan w:val="2"/>
            <w:tcBorders>
              <w:top w:val="single" w:sz="4" w:space="0" w:color="auto"/>
              <w:bottom w:val="single" w:sz="4" w:space="0" w:color="auto"/>
              <w:right w:val="single" w:sz="4" w:space="0" w:color="auto"/>
            </w:tcBorders>
          </w:tcPr>
          <w:p w14:paraId="56526A2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13.6</w:t>
            </w:r>
          </w:p>
        </w:tc>
      </w:tr>
      <w:tr w:rsidR="00DE7639" w:rsidRPr="00880312" w14:paraId="416CBA42" w14:textId="77777777" w:rsidTr="00DE7639">
        <w:trPr>
          <w:trHeight w:val="430"/>
        </w:trPr>
        <w:tc>
          <w:tcPr>
            <w:tcW w:w="702" w:type="pct"/>
            <w:tcBorders>
              <w:top w:val="single" w:sz="4" w:space="0" w:color="auto"/>
              <w:left w:val="single" w:sz="4" w:space="0" w:color="auto"/>
              <w:bottom w:val="single" w:sz="4" w:space="0" w:color="auto"/>
            </w:tcBorders>
          </w:tcPr>
          <w:p w14:paraId="1D4C8D3F"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CEO Pay (ln)</w:t>
            </w:r>
          </w:p>
        </w:tc>
        <w:tc>
          <w:tcPr>
            <w:tcW w:w="854" w:type="pct"/>
            <w:tcBorders>
              <w:top w:val="single" w:sz="4" w:space="0" w:color="auto"/>
              <w:bottom w:val="single" w:sz="4" w:space="0" w:color="auto"/>
            </w:tcBorders>
          </w:tcPr>
          <w:p w14:paraId="1CD372A5" w14:textId="77777777" w:rsidR="00DE7639" w:rsidRPr="00880312" w:rsidRDefault="00DE7639" w:rsidP="00DE7639">
            <w:pPr>
              <w:jc w:val="both"/>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Natural log of CEO total compensation as reported in DEF 14 A proxy statement</w:t>
            </w:r>
          </w:p>
        </w:tc>
        <w:tc>
          <w:tcPr>
            <w:tcW w:w="479" w:type="pct"/>
            <w:tcBorders>
              <w:top w:val="single" w:sz="4" w:space="0" w:color="auto"/>
              <w:bottom w:val="single" w:sz="4" w:space="0" w:color="auto"/>
            </w:tcBorders>
          </w:tcPr>
          <w:p w14:paraId="76E1E5BA"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1720</w:t>
            </w:r>
          </w:p>
        </w:tc>
        <w:tc>
          <w:tcPr>
            <w:tcW w:w="470" w:type="pct"/>
            <w:tcBorders>
              <w:top w:val="single" w:sz="4" w:space="0" w:color="auto"/>
              <w:bottom w:val="single" w:sz="4" w:space="0" w:color="auto"/>
            </w:tcBorders>
          </w:tcPr>
          <w:p w14:paraId="5336FCD7"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6.444</w:t>
            </w:r>
          </w:p>
        </w:tc>
        <w:tc>
          <w:tcPr>
            <w:tcW w:w="469" w:type="pct"/>
            <w:tcBorders>
              <w:top w:val="single" w:sz="4" w:space="0" w:color="auto"/>
              <w:bottom w:val="single" w:sz="4" w:space="0" w:color="auto"/>
            </w:tcBorders>
          </w:tcPr>
          <w:p w14:paraId="7F8EB013"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0.977</w:t>
            </w:r>
          </w:p>
        </w:tc>
        <w:tc>
          <w:tcPr>
            <w:tcW w:w="389" w:type="pct"/>
            <w:tcBorders>
              <w:top w:val="single" w:sz="4" w:space="0" w:color="auto"/>
              <w:bottom w:val="single" w:sz="4" w:space="0" w:color="auto"/>
            </w:tcBorders>
          </w:tcPr>
          <w:p w14:paraId="2005BF4B"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2.890</w:t>
            </w:r>
          </w:p>
        </w:tc>
        <w:tc>
          <w:tcPr>
            <w:tcW w:w="411" w:type="pct"/>
            <w:tcBorders>
              <w:top w:val="single" w:sz="4" w:space="0" w:color="auto"/>
              <w:bottom w:val="single" w:sz="4" w:space="0" w:color="auto"/>
            </w:tcBorders>
          </w:tcPr>
          <w:p w14:paraId="1788536D"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7.427</w:t>
            </w:r>
          </w:p>
        </w:tc>
        <w:tc>
          <w:tcPr>
            <w:tcW w:w="390" w:type="pct"/>
            <w:gridSpan w:val="2"/>
            <w:tcBorders>
              <w:top w:val="single" w:sz="4" w:space="0" w:color="auto"/>
              <w:bottom w:val="single" w:sz="4" w:space="0" w:color="auto"/>
            </w:tcBorders>
          </w:tcPr>
          <w:p w14:paraId="63F53265"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6.051</w:t>
            </w:r>
          </w:p>
        </w:tc>
        <w:tc>
          <w:tcPr>
            <w:tcW w:w="393" w:type="pct"/>
            <w:gridSpan w:val="2"/>
            <w:tcBorders>
              <w:top w:val="single" w:sz="4" w:space="0" w:color="auto"/>
              <w:bottom w:val="single" w:sz="4" w:space="0" w:color="auto"/>
            </w:tcBorders>
          </w:tcPr>
          <w:p w14:paraId="509B3690"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6.745</w:t>
            </w:r>
          </w:p>
        </w:tc>
        <w:tc>
          <w:tcPr>
            <w:tcW w:w="443" w:type="pct"/>
            <w:gridSpan w:val="2"/>
            <w:tcBorders>
              <w:top w:val="single" w:sz="4" w:space="0" w:color="auto"/>
              <w:bottom w:val="single" w:sz="4" w:space="0" w:color="auto"/>
              <w:right w:val="single" w:sz="4" w:space="0" w:color="auto"/>
            </w:tcBorders>
          </w:tcPr>
          <w:p w14:paraId="6D892566" w14:textId="77777777" w:rsidR="00DE7639" w:rsidRPr="00880312" w:rsidRDefault="00DE7639" w:rsidP="00DE7639">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7.150</w:t>
            </w:r>
          </w:p>
        </w:tc>
      </w:tr>
    </w:tbl>
    <w:p w14:paraId="3409458D" w14:textId="77777777" w:rsidR="00DE7639" w:rsidRDefault="00DE7639" w:rsidP="00DE7639">
      <w:pPr>
        <w:pStyle w:val="Caption"/>
        <w:keepNext/>
      </w:pPr>
    </w:p>
    <w:p w14:paraId="43AAA786" w14:textId="05FDEDB0" w:rsidR="00880312" w:rsidRPr="00880312" w:rsidRDefault="00880312" w:rsidP="00E30E2D">
      <w:pPr>
        <w:rPr>
          <w:rFonts w:ascii="Times New Roman" w:eastAsia="DengXian" w:hAnsi="Times New Roman" w:cs="Times New Roman"/>
          <w:color w:val="000000"/>
          <w:lang w:eastAsia="zh-CN"/>
        </w:rPr>
      </w:pPr>
      <w:r w:rsidRPr="00880312">
        <w:rPr>
          <w:rFonts w:ascii="Times New Roman" w:eastAsia="DengXian" w:hAnsi="Times New Roman" w:cs="Times New Roman"/>
          <w:b/>
          <w:bCs/>
          <w:color w:val="000000"/>
          <w:lang w:eastAsia="zh-CN"/>
        </w:rPr>
        <w:br w:type="page"/>
      </w:r>
    </w:p>
    <w:p w14:paraId="2857B904" w14:textId="21B3AA7F" w:rsidR="00DE7639" w:rsidRDefault="00DE7639" w:rsidP="00DE7639">
      <w:pPr>
        <w:pStyle w:val="Caption"/>
        <w:keepNext/>
        <w:rPr>
          <w:rFonts w:ascii="Times New Roman" w:hAnsi="Times New Roman" w:cs="Times New Roman"/>
          <w:b/>
          <w:bCs/>
          <w:i w:val="0"/>
          <w:iCs w:val="0"/>
          <w:color w:val="auto"/>
          <w:sz w:val="28"/>
          <w:szCs w:val="28"/>
        </w:rPr>
      </w:pPr>
      <w:bookmarkStart w:id="121" w:name="_Toc132386103"/>
      <w:bookmarkStart w:id="122" w:name="_Toc132437295"/>
      <w:r w:rsidRPr="00E30E2D">
        <w:rPr>
          <w:rFonts w:ascii="Times New Roman" w:hAnsi="Times New Roman" w:cs="Times New Roman"/>
          <w:b/>
          <w:bCs/>
          <w:i w:val="0"/>
          <w:iCs w:val="0"/>
          <w:color w:val="auto"/>
          <w:sz w:val="28"/>
          <w:szCs w:val="28"/>
        </w:rPr>
        <w:t>Table4.</w:t>
      </w:r>
      <w:r w:rsidR="00221C3A">
        <w:rPr>
          <w:rFonts w:ascii="Times New Roman" w:hAnsi="Times New Roman" w:cs="Times New Roman"/>
          <w:b/>
          <w:bCs/>
          <w:i w:val="0"/>
          <w:iCs w:val="0"/>
          <w:color w:val="auto"/>
          <w:sz w:val="28"/>
          <w:szCs w:val="28"/>
        </w:rPr>
        <w:t>2</w:t>
      </w:r>
      <w:r w:rsidRPr="00E30E2D">
        <w:rPr>
          <w:rFonts w:ascii="Times New Roman" w:hAnsi="Times New Roman" w:cs="Times New Roman"/>
          <w:b/>
          <w:bCs/>
          <w:i w:val="0"/>
          <w:iCs w:val="0"/>
          <w:color w:val="auto"/>
          <w:sz w:val="28"/>
          <w:szCs w:val="28"/>
        </w:rPr>
        <w:t>. Correlation Matrix</w:t>
      </w:r>
      <w:bookmarkEnd w:id="121"/>
      <w:bookmarkEnd w:id="122"/>
    </w:p>
    <w:p w14:paraId="189551E1" w14:textId="54E76CD8" w:rsidR="00E30E2D" w:rsidRPr="00E30E2D" w:rsidRDefault="00E30E2D" w:rsidP="00E30E2D">
      <w:pPr>
        <w:rPr>
          <w:rFonts w:ascii="Times New Roman" w:eastAsia="DengXian" w:hAnsi="Times New Roman" w:cs="Times New Roman"/>
          <w:color w:val="000000"/>
          <w:lang w:eastAsia="zh-CN"/>
        </w:rPr>
      </w:pPr>
      <w:r w:rsidRPr="00880312">
        <w:rPr>
          <w:rFonts w:ascii="Times New Roman" w:eastAsia="DengXian" w:hAnsi="Times New Roman" w:cs="Times New Roman"/>
          <w:color w:val="000000"/>
          <w:lang w:eastAsia="zh-CN"/>
        </w:rPr>
        <w:t>Pearson Correlation: This table shows the correlation between variables used in the study. The * sign represents the significance level at 5%.</w:t>
      </w:r>
    </w:p>
    <w:tbl>
      <w:tblPr>
        <w:tblpPr w:leftFromText="180" w:rightFromText="180" w:vertAnchor="text" w:horzAnchor="margin" w:tblpX="137" w:tblpY="226"/>
        <w:tblW w:w="10126" w:type="dxa"/>
        <w:tblBorders>
          <w:bottom w:val="single" w:sz="4" w:space="0" w:color="auto"/>
        </w:tblBorders>
        <w:tblLayout w:type="fixed"/>
        <w:tblLook w:val="04A0" w:firstRow="1" w:lastRow="0" w:firstColumn="1" w:lastColumn="0" w:noHBand="0" w:noVBand="1"/>
      </w:tblPr>
      <w:tblGrid>
        <w:gridCol w:w="1270"/>
        <w:gridCol w:w="912"/>
        <w:gridCol w:w="912"/>
        <w:gridCol w:w="911"/>
        <w:gridCol w:w="781"/>
        <w:gridCol w:w="782"/>
        <w:gridCol w:w="911"/>
        <w:gridCol w:w="782"/>
        <w:gridCol w:w="781"/>
        <w:gridCol w:w="782"/>
        <w:gridCol w:w="781"/>
        <w:gridCol w:w="521"/>
      </w:tblGrid>
      <w:tr w:rsidR="00880312" w:rsidRPr="00880312" w14:paraId="0C9EE07C" w14:textId="77777777" w:rsidTr="009E69CE">
        <w:trPr>
          <w:trHeight w:hRule="exact" w:val="516"/>
        </w:trPr>
        <w:tc>
          <w:tcPr>
            <w:tcW w:w="1270" w:type="dxa"/>
            <w:tcBorders>
              <w:top w:val="single" w:sz="4" w:space="0" w:color="auto"/>
              <w:left w:val="single" w:sz="4" w:space="0" w:color="auto"/>
              <w:bottom w:val="nil"/>
            </w:tcBorders>
          </w:tcPr>
          <w:p w14:paraId="04E98EA8"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2" w:type="dxa"/>
            <w:tcBorders>
              <w:top w:val="single" w:sz="4" w:space="0" w:color="auto"/>
              <w:bottom w:val="nil"/>
            </w:tcBorders>
          </w:tcPr>
          <w:p w14:paraId="0F1287BE"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1</w:t>
            </w:r>
          </w:p>
        </w:tc>
        <w:tc>
          <w:tcPr>
            <w:tcW w:w="912" w:type="dxa"/>
            <w:tcBorders>
              <w:top w:val="single" w:sz="4" w:space="0" w:color="auto"/>
              <w:bottom w:val="nil"/>
            </w:tcBorders>
          </w:tcPr>
          <w:p w14:paraId="54EE4D27"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2</w:t>
            </w:r>
          </w:p>
        </w:tc>
        <w:tc>
          <w:tcPr>
            <w:tcW w:w="911" w:type="dxa"/>
            <w:tcBorders>
              <w:top w:val="single" w:sz="4" w:space="0" w:color="auto"/>
              <w:bottom w:val="nil"/>
            </w:tcBorders>
          </w:tcPr>
          <w:p w14:paraId="5512B5CC"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3</w:t>
            </w:r>
          </w:p>
        </w:tc>
        <w:tc>
          <w:tcPr>
            <w:tcW w:w="781" w:type="dxa"/>
            <w:tcBorders>
              <w:top w:val="single" w:sz="4" w:space="0" w:color="auto"/>
              <w:bottom w:val="nil"/>
            </w:tcBorders>
          </w:tcPr>
          <w:p w14:paraId="49D52AC6"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4</w:t>
            </w:r>
          </w:p>
        </w:tc>
        <w:tc>
          <w:tcPr>
            <w:tcW w:w="782" w:type="dxa"/>
            <w:tcBorders>
              <w:top w:val="single" w:sz="4" w:space="0" w:color="auto"/>
              <w:bottom w:val="nil"/>
            </w:tcBorders>
          </w:tcPr>
          <w:p w14:paraId="11D6DBB4"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5</w:t>
            </w:r>
          </w:p>
        </w:tc>
        <w:tc>
          <w:tcPr>
            <w:tcW w:w="911" w:type="dxa"/>
            <w:tcBorders>
              <w:top w:val="single" w:sz="4" w:space="0" w:color="auto"/>
              <w:bottom w:val="nil"/>
            </w:tcBorders>
          </w:tcPr>
          <w:p w14:paraId="7AB73FD6"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6</w:t>
            </w:r>
          </w:p>
        </w:tc>
        <w:tc>
          <w:tcPr>
            <w:tcW w:w="782" w:type="dxa"/>
            <w:tcBorders>
              <w:top w:val="single" w:sz="4" w:space="0" w:color="auto"/>
              <w:bottom w:val="nil"/>
            </w:tcBorders>
          </w:tcPr>
          <w:p w14:paraId="6318DE77"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7</w:t>
            </w:r>
          </w:p>
        </w:tc>
        <w:tc>
          <w:tcPr>
            <w:tcW w:w="781" w:type="dxa"/>
            <w:tcBorders>
              <w:top w:val="single" w:sz="4" w:space="0" w:color="auto"/>
              <w:bottom w:val="nil"/>
            </w:tcBorders>
          </w:tcPr>
          <w:p w14:paraId="4C1B6075"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8</w:t>
            </w:r>
          </w:p>
        </w:tc>
        <w:tc>
          <w:tcPr>
            <w:tcW w:w="782" w:type="dxa"/>
            <w:tcBorders>
              <w:top w:val="single" w:sz="4" w:space="0" w:color="auto"/>
              <w:bottom w:val="nil"/>
            </w:tcBorders>
          </w:tcPr>
          <w:p w14:paraId="5150518D"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9</w:t>
            </w:r>
          </w:p>
        </w:tc>
        <w:tc>
          <w:tcPr>
            <w:tcW w:w="781" w:type="dxa"/>
            <w:tcBorders>
              <w:top w:val="single" w:sz="4" w:space="0" w:color="auto"/>
              <w:bottom w:val="nil"/>
            </w:tcBorders>
          </w:tcPr>
          <w:p w14:paraId="11558164"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10</w:t>
            </w:r>
          </w:p>
        </w:tc>
        <w:tc>
          <w:tcPr>
            <w:tcW w:w="521" w:type="dxa"/>
            <w:tcBorders>
              <w:top w:val="single" w:sz="4" w:space="0" w:color="auto"/>
              <w:bottom w:val="nil"/>
              <w:right w:val="single" w:sz="4" w:space="0" w:color="auto"/>
            </w:tcBorders>
          </w:tcPr>
          <w:p w14:paraId="185193C6" w14:textId="77777777" w:rsidR="00880312" w:rsidRPr="00880312" w:rsidRDefault="00880312" w:rsidP="00E31D92">
            <w:pPr>
              <w:rPr>
                <w:rFonts w:ascii="Times New Roman" w:eastAsia="DengXian" w:hAnsi="Times New Roman" w:cs="Times New Roman"/>
                <w:b/>
                <w:bCs/>
                <w:color w:val="000000"/>
                <w:sz w:val="20"/>
                <w:szCs w:val="20"/>
                <w:lang w:eastAsia="zh-CN"/>
              </w:rPr>
            </w:pPr>
            <w:r w:rsidRPr="00880312">
              <w:rPr>
                <w:rFonts w:ascii="Times New Roman" w:eastAsia="DengXian" w:hAnsi="Times New Roman" w:cs="Times New Roman"/>
                <w:b/>
                <w:bCs/>
                <w:color w:val="000000"/>
                <w:sz w:val="20"/>
                <w:szCs w:val="20"/>
                <w:lang w:eastAsia="zh-CN"/>
              </w:rPr>
              <w:t>11</w:t>
            </w:r>
          </w:p>
        </w:tc>
      </w:tr>
      <w:tr w:rsidR="00880312" w:rsidRPr="00880312" w14:paraId="106C4B1A" w14:textId="77777777" w:rsidTr="009E69CE">
        <w:trPr>
          <w:trHeight w:hRule="exact" w:val="516"/>
        </w:trPr>
        <w:tc>
          <w:tcPr>
            <w:tcW w:w="1270" w:type="dxa"/>
            <w:tcBorders>
              <w:left w:val="single" w:sz="4" w:space="0" w:color="auto"/>
              <w:bottom w:val="single" w:sz="4" w:space="0" w:color="auto"/>
            </w:tcBorders>
          </w:tcPr>
          <w:p w14:paraId="4616A873"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Credit Risk</w:t>
            </w:r>
          </w:p>
        </w:tc>
        <w:tc>
          <w:tcPr>
            <w:tcW w:w="912" w:type="dxa"/>
            <w:tcBorders>
              <w:bottom w:val="single" w:sz="4" w:space="0" w:color="auto"/>
            </w:tcBorders>
          </w:tcPr>
          <w:p w14:paraId="6E490E7A"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912" w:type="dxa"/>
            <w:tcBorders>
              <w:bottom w:val="single" w:sz="4" w:space="0" w:color="auto"/>
            </w:tcBorders>
          </w:tcPr>
          <w:p w14:paraId="03BD6233"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1" w:type="dxa"/>
            <w:tcBorders>
              <w:bottom w:val="single" w:sz="4" w:space="0" w:color="auto"/>
            </w:tcBorders>
          </w:tcPr>
          <w:p w14:paraId="136CE605"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bottom w:val="single" w:sz="4" w:space="0" w:color="auto"/>
            </w:tcBorders>
          </w:tcPr>
          <w:p w14:paraId="53C0F6BA"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bottom w:val="single" w:sz="4" w:space="0" w:color="auto"/>
            </w:tcBorders>
          </w:tcPr>
          <w:p w14:paraId="2CC61E28"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1" w:type="dxa"/>
            <w:tcBorders>
              <w:bottom w:val="single" w:sz="4" w:space="0" w:color="auto"/>
            </w:tcBorders>
          </w:tcPr>
          <w:p w14:paraId="477F9D2D"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bottom w:val="single" w:sz="4" w:space="0" w:color="auto"/>
            </w:tcBorders>
          </w:tcPr>
          <w:p w14:paraId="05BDAD7B"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bottom w:val="single" w:sz="4" w:space="0" w:color="auto"/>
            </w:tcBorders>
          </w:tcPr>
          <w:p w14:paraId="58B4EAE6"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bottom w:val="single" w:sz="4" w:space="0" w:color="auto"/>
            </w:tcBorders>
          </w:tcPr>
          <w:p w14:paraId="2FA461A2"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bottom w:val="single" w:sz="4" w:space="0" w:color="auto"/>
            </w:tcBorders>
          </w:tcPr>
          <w:p w14:paraId="504242CA"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bottom w:val="single" w:sz="4" w:space="0" w:color="auto"/>
              <w:right w:val="single" w:sz="4" w:space="0" w:color="auto"/>
            </w:tcBorders>
          </w:tcPr>
          <w:p w14:paraId="19092F67"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7DF5BF5E" w14:textId="77777777" w:rsidTr="009E69CE">
        <w:trPr>
          <w:trHeight w:hRule="exact" w:val="516"/>
        </w:trPr>
        <w:tc>
          <w:tcPr>
            <w:tcW w:w="1270" w:type="dxa"/>
            <w:tcBorders>
              <w:top w:val="single" w:sz="4" w:space="0" w:color="auto"/>
              <w:left w:val="single" w:sz="4" w:space="0" w:color="auto"/>
              <w:bottom w:val="single" w:sz="4" w:space="0" w:color="auto"/>
            </w:tcBorders>
          </w:tcPr>
          <w:p w14:paraId="2589DF44"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Risk Culture</w:t>
            </w:r>
          </w:p>
        </w:tc>
        <w:tc>
          <w:tcPr>
            <w:tcW w:w="912" w:type="dxa"/>
            <w:tcBorders>
              <w:top w:val="single" w:sz="4" w:space="0" w:color="auto"/>
              <w:bottom w:val="single" w:sz="4" w:space="0" w:color="auto"/>
            </w:tcBorders>
          </w:tcPr>
          <w:p w14:paraId="3546FDBC"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0.518*</w:t>
            </w:r>
          </w:p>
        </w:tc>
        <w:tc>
          <w:tcPr>
            <w:tcW w:w="912" w:type="dxa"/>
            <w:tcBorders>
              <w:top w:val="single" w:sz="4" w:space="0" w:color="auto"/>
              <w:bottom w:val="single" w:sz="4" w:space="0" w:color="auto"/>
            </w:tcBorders>
          </w:tcPr>
          <w:p w14:paraId="7F80DA74"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911" w:type="dxa"/>
            <w:tcBorders>
              <w:top w:val="single" w:sz="4" w:space="0" w:color="auto"/>
              <w:bottom w:val="single" w:sz="4" w:space="0" w:color="auto"/>
            </w:tcBorders>
          </w:tcPr>
          <w:p w14:paraId="0D498716"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58CFFCAE"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3E1D8710"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1" w:type="dxa"/>
            <w:tcBorders>
              <w:top w:val="single" w:sz="4" w:space="0" w:color="auto"/>
              <w:bottom w:val="single" w:sz="4" w:space="0" w:color="auto"/>
            </w:tcBorders>
          </w:tcPr>
          <w:p w14:paraId="0DD34137"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7C798AA2"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5DC856C5"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69B5AF63"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7A165169"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453E314A"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0198960F" w14:textId="77777777" w:rsidTr="009E69CE">
        <w:trPr>
          <w:trHeight w:hRule="exact" w:val="516"/>
        </w:trPr>
        <w:tc>
          <w:tcPr>
            <w:tcW w:w="1270" w:type="dxa"/>
            <w:tcBorders>
              <w:top w:val="single" w:sz="4" w:space="0" w:color="auto"/>
              <w:left w:val="single" w:sz="4" w:space="0" w:color="auto"/>
              <w:bottom w:val="single" w:sz="4" w:space="0" w:color="auto"/>
            </w:tcBorders>
          </w:tcPr>
          <w:p w14:paraId="57BB710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Female Board (%)</w:t>
            </w:r>
          </w:p>
        </w:tc>
        <w:tc>
          <w:tcPr>
            <w:tcW w:w="912" w:type="dxa"/>
            <w:tcBorders>
              <w:top w:val="single" w:sz="4" w:space="0" w:color="auto"/>
              <w:bottom w:val="single" w:sz="4" w:space="0" w:color="auto"/>
            </w:tcBorders>
          </w:tcPr>
          <w:p w14:paraId="4CEC31B9"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0.002*</w:t>
            </w:r>
          </w:p>
        </w:tc>
        <w:tc>
          <w:tcPr>
            <w:tcW w:w="912" w:type="dxa"/>
            <w:tcBorders>
              <w:top w:val="single" w:sz="4" w:space="0" w:color="auto"/>
              <w:bottom w:val="single" w:sz="4" w:space="0" w:color="auto"/>
            </w:tcBorders>
          </w:tcPr>
          <w:p w14:paraId="1C3C5CA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-0.162*</w:t>
            </w:r>
          </w:p>
        </w:tc>
        <w:tc>
          <w:tcPr>
            <w:tcW w:w="911" w:type="dxa"/>
            <w:tcBorders>
              <w:top w:val="single" w:sz="4" w:space="0" w:color="auto"/>
              <w:bottom w:val="single" w:sz="4" w:space="0" w:color="auto"/>
            </w:tcBorders>
          </w:tcPr>
          <w:p w14:paraId="52BC23DA"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1" w:type="dxa"/>
            <w:tcBorders>
              <w:top w:val="single" w:sz="4" w:space="0" w:color="auto"/>
              <w:bottom w:val="single" w:sz="4" w:space="0" w:color="auto"/>
            </w:tcBorders>
          </w:tcPr>
          <w:p w14:paraId="16B83538"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33DE62B6"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1" w:type="dxa"/>
            <w:tcBorders>
              <w:top w:val="single" w:sz="4" w:space="0" w:color="auto"/>
              <w:bottom w:val="single" w:sz="4" w:space="0" w:color="auto"/>
            </w:tcBorders>
          </w:tcPr>
          <w:p w14:paraId="757DB0E3"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71F7ED52"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4F58628B"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0CC93CCD"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1F2E30D5"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4A14233C"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3560D76E" w14:textId="77777777" w:rsidTr="009E69CE">
        <w:trPr>
          <w:trHeight w:hRule="exact" w:val="823"/>
        </w:trPr>
        <w:tc>
          <w:tcPr>
            <w:tcW w:w="1270" w:type="dxa"/>
            <w:tcBorders>
              <w:top w:val="single" w:sz="4" w:space="0" w:color="auto"/>
              <w:left w:val="single" w:sz="4" w:space="0" w:color="auto"/>
              <w:bottom w:val="single" w:sz="4" w:space="0" w:color="auto"/>
            </w:tcBorders>
          </w:tcPr>
          <w:p w14:paraId="55C16815"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Indp Director</w:t>
            </w:r>
          </w:p>
        </w:tc>
        <w:tc>
          <w:tcPr>
            <w:tcW w:w="912" w:type="dxa"/>
            <w:tcBorders>
              <w:top w:val="single" w:sz="4" w:space="0" w:color="auto"/>
              <w:bottom w:val="single" w:sz="4" w:space="0" w:color="auto"/>
            </w:tcBorders>
          </w:tcPr>
          <w:p w14:paraId="77C2D50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0.111*</w:t>
            </w:r>
          </w:p>
        </w:tc>
        <w:tc>
          <w:tcPr>
            <w:tcW w:w="912" w:type="dxa"/>
            <w:tcBorders>
              <w:top w:val="single" w:sz="4" w:space="0" w:color="auto"/>
              <w:bottom w:val="single" w:sz="4" w:space="0" w:color="auto"/>
            </w:tcBorders>
          </w:tcPr>
          <w:p w14:paraId="08736C53"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0.216*</w:t>
            </w:r>
          </w:p>
        </w:tc>
        <w:tc>
          <w:tcPr>
            <w:tcW w:w="911" w:type="dxa"/>
            <w:tcBorders>
              <w:top w:val="single" w:sz="4" w:space="0" w:color="auto"/>
              <w:bottom w:val="single" w:sz="4" w:space="0" w:color="auto"/>
            </w:tcBorders>
          </w:tcPr>
          <w:p w14:paraId="4F0F6C84"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0.244*</w:t>
            </w:r>
          </w:p>
        </w:tc>
        <w:tc>
          <w:tcPr>
            <w:tcW w:w="781" w:type="dxa"/>
            <w:tcBorders>
              <w:top w:val="single" w:sz="4" w:space="0" w:color="auto"/>
              <w:bottom w:val="single" w:sz="4" w:space="0" w:color="auto"/>
            </w:tcBorders>
          </w:tcPr>
          <w:p w14:paraId="1DC2DEE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2" w:type="dxa"/>
            <w:tcBorders>
              <w:top w:val="single" w:sz="4" w:space="0" w:color="auto"/>
              <w:bottom w:val="single" w:sz="4" w:space="0" w:color="auto"/>
            </w:tcBorders>
          </w:tcPr>
          <w:p w14:paraId="57EEA47A"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911" w:type="dxa"/>
            <w:tcBorders>
              <w:top w:val="single" w:sz="4" w:space="0" w:color="auto"/>
              <w:bottom w:val="single" w:sz="4" w:space="0" w:color="auto"/>
            </w:tcBorders>
          </w:tcPr>
          <w:p w14:paraId="7928C49E"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2C0BDB9C"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5DF4AD09"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0E9F2969"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0B044D48"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3F15761C"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1001CA9C" w14:textId="77777777" w:rsidTr="009E69CE">
        <w:trPr>
          <w:trHeight w:hRule="exact" w:val="516"/>
        </w:trPr>
        <w:tc>
          <w:tcPr>
            <w:tcW w:w="1270" w:type="dxa"/>
            <w:tcBorders>
              <w:top w:val="single" w:sz="4" w:space="0" w:color="auto"/>
              <w:left w:val="single" w:sz="4" w:space="0" w:color="auto"/>
              <w:bottom w:val="single" w:sz="4" w:space="0" w:color="auto"/>
            </w:tcBorders>
          </w:tcPr>
          <w:p w14:paraId="5F3566D5"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Board Size</w:t>
            </w:r>
          </w:p>
        </w:tc>
        <w:tc>
          <w:tcPr>
            <w:tcW w:w="912" w:type="dxa"/>
            <w:tcBorders>
              <w:top w:val="single" w:sz="4" w:space="0" w:color="auto"/>
              <w:bottom w:val="single" w:sz="4" w:space="0" w:color="auto"/>
            </w:tcBorders>
          </w:tcPr>
          <w:p w14:paraId="1EB6EB59"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0.163*</w:t>
            </w:r>
          </w:p>
        </w:tc>
        <w:tc>
          <w:tcPr>
            <w:tcW w:w="912" w:type="dxa"/>
            <w:tcBorders>
              <w:top w:val="single" w:sz="4" w:space="0" w:color="auto"/>
              <w:bottom w:val="single" w:sz="4" w:space="0" w:color="auto"/>
            </w:tcBorders>
          </w:tcPr>
          <w:p w14:paraId="6A6F735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0.065*</w:t>
            </w:r>
          </w:p>
        </w:tc>
        <w:tc>
          <w:tcPr>
            <w:tcW w:w="911" w:type="dxa"/>
            <w:tcBorders>
              <w:top w:val="single" w:sz="4" w:space="0" w:color="auto"/>
              <w:bottom w:val="single" w:sz="4" w:space="0" w:color="auto"/>
            </w:tcBorders>
          </w:tcPr>
          <w:p w14:paraId="50A9ECA3"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0.033</w:t>
            </w:r>
          </w:p>
        </w:tc>
        <w:tc>
          <w:tcPr>
            <w:tcW w:w="781" w:type="dxa"/>
            <w:tcBorders>
              <w:top w:val="single" w:sz="4" w:space="0" w:color="auto"/>
              <w:bottom w:val="single" w:sz="4" w:space="0" w:color="auto"/>
            </w:tcBorders>
          </w:tcPr>
          <w:p w14:paraId="21E7FCF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-0.171*</w:t>
            </w:r>
          </w:p>
        </w:tc>
        <w:tc>
          <w:tcPr>
            <w:tcW w:w="782" w:type="dxa"/>
            <w:tcBorders>
              <w:top w:val="single" w:sz="4" w:space="0" w:color="auto"/>
              <w:bottom w:val="single" w:sz="4" w:space="0" w:color="auto"/>
            </w:tcBorders>
          </w:tcPr>
          <w:p w14:paraId="5BE12C3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911" w:type="dxa"/>
            <w:tcBorders>
              <w:top w:val="single" w:sz="4" w:space="0" w:color="auto"/>
              <w:bottom w:val="single" w:sz="4" w:space="0" w:color="auto"/>
            </w:tcBorders>
          </w:tcPr>
          <w:p w14:paraId="686AC7B8"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637CDA73"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47D54A3D"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5C8DE58B"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4AABE81A"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3FF408C9"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7D2B26EF" w14:textId="77777777" w:rsidTr="009E69CE">
        <w:trPr>
          <w:trHeight w:hRule="exact" w:val="516"/>
        </w:trPr>
        <w:tc>
          <w:tcPr>
            <w:tcW w:w="1270" w:type="dxa"/>
            <w:tcBorders>
              <w:top w:val="single" w:sz="4" w:space="0" w:color="auto"/>
              <w:left w:val="single" w:sz="4" w:space="0" w:color="auto"/>
              <w:bottom w:val="single" w:sz="4" w:space="0" w:color="auto"/>
            </w:tcBorders>
          </w:tcPr>
          <w:p w14:paraId="2FC67001"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Bank Size</w:t>
            </w:r>
          </w:p>
        </w:tc>
        <w:tc>
          <w:tcPr>
            <w:tcW w:w="912" w:type="dxa"/>
            <w:tcBorders>
              <w:top w:val="single" w:sz="4" w:space="0" w:color="auto"/>
              <w:bottom w:val="single" w:sz="4" w:space="0" w:color="auto"/>
            </w:tcBorders>
          </w:tcPr>
          <w:p w14:paraId="6AC3AC14"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0.596*</w:t>
            </w:r>
          </w:p>
        </w:tc>
        <w:tc>
          <w:tcPr>
            <w:tcW w:w="912" w:type="dxa"/>
            <w:tcBorders>
              <w:top w:val="single" w:sz="4" w:space="0" w:color="auto"/>
              <w:bottom w:val="single" w:sz="4" w:space="0" w:color="auto"/>
            </w:tcBorders>
          </w:tcPr>
          <w:p w14:paraId="6FAD73AC"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0.662*</w:t>
            </w:r>
          </w:p>
        </w:tc>
        <w:tc>
          <w:tcPr>
            <w:tcW w:w="911" w:type="dxa"/>
            <w:tcBorders>
              <w:top w:val="single" w:sz="4" w:space="0" w:color="auto"/>
              <w:bottom w:val="single" w:sz="4" w:space="0" w:color="auto"/>
            </w:tcBorders>
          </w:tcPr>
          <w:p w14:paraId="6C3B89B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0.076*</w:t>
            </w:r>
          </w:p>
        </w:tc>
        <w:tc>
          <w:tcPr>
            <w:tcW w:w="781" w:type="dxa"/>
            <w:tcBorders>
              <w:top w:val="single" w:sz="4" w:space="0" w:color="auto"/>
              <w:bottom w:val="single" w:sz="4" w:space="0" w:color="auto"/>
            </w:tcBorders>
          </w:tcPr>
          <w:p w14:paraId="431F119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0.097*</w:t>
            </w:r>
          </w:p>
        </w:tc>
        <w:tc>
          <w:tcPr>
            <w:tcW w:w="782" w:type="dxa"/>
            <w:tcBorders>
              <w:top w:val="single" w:sz="4" w:space="0" w:color="auto"/>
              <w:bottom w:val="single" w:sz="4" w:space="0" w:color="auto"/>
            </w:tcBorders>
          </w:tcPr>
          <w:p w14:paraId="19F38FA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0.280*</w:t>
            </w:r>
          </w:p>
        </w:tc>
        <w:tc>
          <w:tcPr>
            <w:tcW w:w="911" w:type="dxa"/>
            <w:tcBorders>
              <w:top w:val="single" w:sz="4" w:space="0" w:color="auto"/>
              <w:bottom w:val="single" w:sz="4" w:space="0" w:color="auto"/>
            </w:tcBorders>
          </w:tcPr>
          <w:p w14:paraId="2FDB98F2"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2" w:type="dxa"/>
            <w:tcBorders>
              <w:top w:val="single" w:sz="4" w:space="0" w:color="auto"/>
              <w:bottom w:val="single" w:sz="4" w:space="0" w:color="auto"/>
            </w:tcBorders>
          </w:tcPr>
          <w:p w14:paraId="16873F21"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5D8D85D7"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1954736E"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57DD1322"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5733E6D4"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50A23842" w14:textId="77777777" w:rsidTr="009E69CE">
        <w:trPr>
          <w:trHeight w:hRule="exact" w:val="516"/>
        </w:trPr>
        <w:tc>
          <w:tcPr>
            <w:tcW w:w="1270" w:type="dxa"/>
            <w:tcBorders>
              <w:top w:val="single" w:sz="4" w:space="0" w:color="auto"/>
              <w:left w:val="single" w:sz="4" w:space="0" w:color="auto"/>
              <w:bottom w:val="single" w:sz="4" w:space="0" w:color="auto"/>
            </w:tcBorders>
          </w:tcPr>
          <w:p w14:paraId="7B818972"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MV to BV</w:t>
            </w:r>
          </w:p>
        </w:tc>
        <w:tc>
          <w:tcPr>
            <w:tcW w:w="912" w:type="dxa"/>
            <w:tcBorders>
              <w:top w:val="single" w:sz="4" w:space="0" w:color="auto"/>
              <w:bottom w:val="single" w:sz="4" w:space="0" w:color="auto"/>
            </w:tcBorders>
          </w:tcPr>
          <w:p w14:paraId="3382C689"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0.532*</w:t>
            </w:r>
          </w:p>
        </w:tc>
        <w:tc>
          <w:tcPr>
            <w:tcW w:w="912" w:type="dxa"/>
            <w:tcBorders>
              <w:top w:val="single" w:sz="4" w:space="0" w:color="auto"/>
              <w:bottom w:val="single" w:sz="4" w:space="0" w:color="auto"/>
            </w:tcBorders>
          </w:tcPr>
          <w:p w14:paraId="3B0753CE"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0.435*</w:t>
            </w:r>
          </w:p>
        </w:tc>
        <w:tc>
          <w:tcPr>
            <w:tcW w:w="911" w:type="dxa"/>
            <w:tcBorders>
              <w:top w:val="single" w:sz="4" w:space="0" w:color="auto"/>
              <w:bottom w:val="single" w:sz="4" w:space="0" w:color="auto"/>
            </w:tcBorders>
          </w:tcPr>
          <w:p w14:paraId="2326DE1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-0.004</w:t>
            </w:r>
          </w:p>
        </w:tc>
        <w:tc>
          <w:tcPr>
            <w:tcW w:w="781" w:type="dxa"/>
            <w:tcBorders>
              <w:top w:val="single" w:sz="4" w:space="0" w:color="auto"/>
              <w:bottom w:val="single" w:sz="4" w:space="0" w:color="auto"/>
            </w:tcBorders>
          </w:tcPr>
          <w:p w14:paraId="2523643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0.163*</w:t>
            </w:r>
          </w:p>
        </w:tc>
        <w:tc>
          <w:tcPr>
            <w:tcW w:w="782" w:type="dxa"/>
            <w:tcBorders>
              <w:top w:val="single" w:sz="4" w:space="0" w:color="auto"/>
              <w:bottom w:val="single" w:sz="4" w:space="0" w:color="auto"/>
            </w:tcBorders>
          </w:tcPr>
          <w:p w14:paraId="59C93500"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0.145*</w:t>
            </w:r>
          </w:p>
        </w:tc>
        <w:tc>
          <w:tcPr>
            <w:tcW w:w="911" w:type="dxa"/>
            <w:tcBorders>
              <w:top w:val="single" w:sz="4" w:space="0" w:color="auto"/>
              <w:bottom w:val="single" w:sz="4" w:space="0" w:color="auto"/>
            </w:tcBorders>
          </w:tcPr>
          <w:p w14:paraId="17032DB9"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0.678*</w:t>
            </w:r>
          </w:p>
        </w:tc>
        <w:tc>
          <w:tcPr>
            <w:tcW w:w="782" w:type="dxa"/>
            <w:tcBorders>
              <w:top w:val="single" w:sz="4" w:space="0" w:color="auto"/>
              <w:bottom w:val="single" w:sz="4" w:space="0" w:color="auto"/>
            </w:tcBorders>
          </w:tcPr>
          <w:p w14:paraId="6FFDDB2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1" w:type="dxa"/>
            <w:tcBorders>
              <w:top w:val="single" w:sz="4" w:space="0" w:color="auto"/>
              <w:bottom w:val="single" w:sz="4" w:space="0" w:color="auto"/>
            </w:tcBorders>
          </w:tcPr>
          <w:p w14:paraId="78CE9720"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2" w:type="dxa"/>
            <w:tcBorders>
              <w:top w:val="single" w:sz="4" w:space="0" w:color="auto"/>
              <w:bottom w:val="single" w:sz="4" w:space="0" w:color="auto"/>
            </w:tcBorders>
          </w:tcPr>
          <w:p w14:paraId="2888ACF9"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1E609A29"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7B06D83B"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28ADA294" w14:textId="77777777" w:rsidTr="009E69CE">
        <w:trPr>
          <w:trHeight w:hRule="exact" w:val="516"/>
        </w:trPr>
        <w:tc>
          <w:tcPr>
            <w:tcW w:w="1270" w:type="dxa"/>
            <w:tcBorders>
              <w:top w:val="single" w:sz="4" w:space="0" w:color="auto"/>
              <w:left w:val="single" w:sz="4" w:space="0" w:color="auto"/>
              <w:bottom w:val="single" w:sz="4" w:space="0" w:color="auto"/>
            </w:tcBorders>
          </w:tcPr>
          <w:p w14:paraId="7A551A4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Leverage</w:t>
            </w:r>
          </w:p>
        </w:tc>
        <w:tc>
          <w:tcPr>
            <w:tcW w:w="912" w:type="dxa"/>
            <w:tcBorders>
              <w:top w:val="single" w:sz="4" w:space="0" w:color="auto"/>
              <w:bottom w:val="single" w:sz="4" w:space="0" w:color="auto"/>
            </w:tcBorders>
          </w:tcPr>
          <w:p w14:paraId="2DDF3CD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-0.165*</w:t>
            </w:r>
          </w:p>
        </w:tc>
        <w:tc>
          <w:tcPr>
            <w:tcW w:w="912" w:type="dxa"/>
            <w:tcBorders>
              <w:top w:val="single" w:sz="4" w:space="0" w:color="auto"/>
              <w:bottom w:val="single" w:sz="4" w:space="0" w:color="auto"/>
            </w:tcBorders>
          </w:tcPr>
          <w:p w14:paraId="682DCC8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-0.159*</w:t>
            </w:r>
          </w:p>
        </w:tc>
        <w:tc>
          <w:tcPr>
            <w:tcW w:w="911" w:type="dxa"/>
            <w:tcBorders>
              <w:top w:val="single" w:sz="4" w:space="0" w:color="auto"/>
              <w:bottom w:val="single" w:sz="4" w:space="0" w:color="auto"/>
            </w:tcBorders>
          </w:tcPr>
          <w:p w14:paraId="400D7C9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0.069*</w:t>
            </w:r>
          </w:p>
        </w:tc>
        <w:tc>
          <w:tcPr>
            <w:tcW w:w="781" w:type="dxa"/>
            <w:tcBorders>
              <w:top w:val="single" w:sz="4" w:space="0" w:color="auto"/>
              <w:bottom w:val="single" w:sz="4" w:space="0" w:color="auto"/>
            </w:tcBorders>
          </w:tcPr>
          <w:p w14:paraId="6071833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0.028</w:t>
            </w:r>
          </w:p>
        </w:tc>
        <w:tc>
          <w:tcPr>
            <w:tcW w:w="782" w:type="dxa"/>
            <w:tcBorders>
              <w:top w:val="single" w:sz="4" w:space="0" w:color="auto"/>
              <w:bottom w:val="single" w:sz="4" w:space="0" w:color="auto"/>
            </w:tcBorders>
          </w:tcPr>
          <w:p w14:paraId="7DC4F24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-0.019</w:t>
            </w:r>
          </w:p>
        </w:tc>
        <w:tc>
          <w:tcPr>
            <w:tcW w:w="911" w:type="dxa"/>
            <w:tcBorders>
              <w:top w:val="single" w:sz="4" w:space="0" w:color="auto"/>
              <w:bottom w:val="single" w:sz="4" w:space="0" w:color="auto"/>
            </w:tcBorders>
          </w:tcPr>
          <w:p w14:paraId="078FB1AA"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-0.181*</w:t>
            </w:r>
          </w:p>
        </w:tc>
        <w:tc>
          <w:tcPr>
            <w:tcW w:w="782" w:type="dxa"/>
            <w:tcBorders>
              <w:top w:val="single" w:sz="4" w:space="0" w:color="auto"/>
              <w:bottom w:val="single" w:sz="4" w:space="0" w:color="auto"/>
            </w:tcBorders>
          </w:tcPr>
          <w:p w14:paraId="2E9F83D3"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0.034</w:t>
            </w:r>
          </w:p>
        </w:tc>
        <w:tc>
          <w:tcPr>
            <w:tcW w:w="781" w:type="dxa"/>
            <w:tcBorders>
              <w:top w:val="single" w:sz="4" w:space="0" w:color="auto"/>
              <w:bottom w:val="single" w:sz="4" w:space="0" w:color="auto"/>
            </w:tcBorders>
          </w:tcPr>
          <w:p w14:paraId="389110EA"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2" w:type="dxa"/>
            <w:tcBorders>
              <w:top w:val="single" w:sz="4" w:space="0" w:color="auto"/>
              <w:bottom w:val="single" w:sz="4" w:space="0" w:color="auto"/>
            </w:tcBorders>
          </w:tcPr>
          <w:p w14:paraId="3042C3FD"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781" w:type="dxa"/>
            <w:tcBorders>
              <w:top w:val="single" w:sz="4" w:space="0" w:color="auto"/>
              <w:bottom w:val="single" w:sz="4" w:space="0" w:color="auto"/>
            </w:tcBorders>
          </w:tcPr>
          <w:p w14:paraId="0C6598BB"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30A0ECEA"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645D304A" w14:textId="77777777" w:rsidTr="009E69CE">
        <w:trPr>
          <w:trHeight w:hRule="exact" w:val="516"/>
        </w:trPr>
        <w:tc>
          <w:tcPr>
            <w:tcW w:w="1270" w:type="dxa"/>
            <w:tcBorders>
              <w:top w:val="single" w:sz="4" w:space="0" w:color="auto"/>
              <w:left w:val="single" w:sz="4" w:space="0" w:color="auto"/>
              <w:bottom w:val="single" w:sz="4" w:space="0" w:color="auto"/>
            </w:tcBorders>
          </w:tcPr>
          <w:p w14:paraId="2842CBE1"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ROA</w:t>
            </w:r>
          </w:p>
        </w:tc>
        <w:tc>
          <w:tcPr>
            <w:tcW w:w="912" w:type="dxa"/>
            <w:tcBorders>
              <w:top w:val="single" w:sz="4" w:space="0" w:color="auto"/>
              <w:bottom w:val="single" w:sz="4" w:space="0" w:color="auto"/>
            </w:tcBorders>
          </w:tcPr>
          <w:p w14:paraId="25942E7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-0.226*</w:t>
            </w:r>
          </w:p>
        </w:tc>
        <w:tc>
          <w:tcPr>
            <w:tcW w:w="912" w:type="dxa"/>
            <w:tcBorders>
              <w:top w:val="single" w:sz="4" w:space="0" w:color="auto"/>
              <w:bottom w:val="single" w:sz="4" w:space="0" w:color="auto"/>
            </w:tcBorders>
          </w:tcPr>
          <w:p w14:paraId="40C82A4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-0.040</w:t>
            </w:r>
          </w:p>
        </w:tc>
        <w:tc>
          <w:tcPr>
            <w:tcW w:w="911" w:type="dxa"/>
            <w:tcBorders>
              <w:top w:val="single" w:sz="4" w:space="0" w:color="auto"/>
              <w:bottom w:val="single" w:sz="4" w:space="0" w:color="auto"/>
            </w:tcBorders>
          </w:tcPr>
          <w:p w14:paraId="5A0AE0D3"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-0.051*</w:t>
            </w:r>
          </w:p>
        </w:tc>
        <w:tc>
          <w:tcPr>
            <w:tcW w:w="781" w:type="dxa"/>
            <w:tcBorders>
              <w:top w:val="single" w:sz="4" w:space="0" w:color="auto"/>
              <w:bottom w:val="single" w:sz="4" w:space="0" w:color="auto"/>
            </w:tcBorders>
          </w:tcPr>
          <w:p w14:paraId="6E5FE23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-0.051*</w:t>
            </w:r>
          </w:p>
        </w:tc>
        <w:tc>
          <w:tcPr>
            <w:tcW w:w="782" w:type="dxa"/>
            <w:tcBorders>
              <w:top w:val="single" w:sz="4" w:space="0" w:color="auto"/>
              <w:bottom w:val="single" w:sz="4" w:space="0" w:color="auto"/>
            </w:tcBorders>
          </w:tcPr>
          <w:p w14:paraId="6F76DAA1"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0.058*</w:t>
            </w:r>
          </w:p>
        </w:tc>
        <w:tc>
          <w:tcPr>
            <w:tcW w:w="911" w:type="dxa"/>
            <w:tcBorders>
              <w:top w:val="single" w:sz="4" w:space="0" w:color="auto"/>
              <w:bottom w:val="single" w:sz="4" w:space="0" w:color="auto"/>
            </w:tcBorders>
          </w:tcPr>
          <w:p w14:paraId="3DAE539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0.037</w:t>
            </w:r>
          </w:p>
        </w:tc>
        <w:tc>
          <w:tcPr>
            <w:tcW w:w="782" w:type="dxa"/>
            <w:tcBorders>
              <w:top w:val="single" w:sz="4" w:space="0" w:color="auto"/>
              <w:bottom w:val="single" w:sz="4" w:space="0" w:color="auto"/>
            </w:tcBorders>
          </w:tcPr>
          <w:p w14:paraId="63C9A07E"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0.066*</w:t>
            </w:r>
          </w:p>
        </w:tc>
        <w:tc>
          <w:tcPr>
            <w:tcW w:w="781" w:type="dxa"/>
            <w:tcBorders>
              <w:top w:val="single" w:sz="4" w:space="0" w:color="auto"/>
              <w:bottom w:val="single" w:sz="4" w:space="0" w:color="auto"/>
            </w:tcBorders>
          </w:tcPr>
          <w:p w14:paraId="491EFD6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0.025</w:t>
            </w:r>
          </w:p>
        </w:tc>
        <w:tc>
          <w:tcPr>
            <w:tcW w:w="782" w:type="dxa"/>
            <w:tcBorders>
              <w:top w:val="single" w:sz="4" w:space="0" w:color="auto"/>
              <w:bottom w:val="single" w:sz="4" w:space="0" w:color="auto"/>
            </w:tcBorders>
          </w:tcPr>
          <w:p w14:paraId="44EC4D62"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781" w:type="dxa"/>
            <w:tcBorders>
              <w:top w:val="single" w:sz="4" w:space="0" w:color="auto"/>
              <w:bottom w:val="single" w:sz="4" w:space="0" w:color="auto"/>
            </w:tcBorders>
          </w:tcPr>
          <w:p w14:paraId="386170D5" w14:textId="77777777" w:rsidR="00880312" w:rsidRPr="00880312" w:rsidRDefault="00880312" w:rsidP="00E31D92">
            <w:pPr>
              <w:rPr>
                <w:rFonts w:ascii="Times New Roman" w:eastAsia="DengXian" w:hAnsi="Times New Roman" w:cs="Times New Roman"/>
                <w:color w:val="000000"/>
                <w:sz w:val="20"/>
                <w:szCs w:val="20"/>
                <w:lang w:eastAsia="zh-CN"/>
              </w:rPr>
            </w:pPr>
          </w:p>
        </w:tc>
        <w:tc>
          <w:tcPr>
            <w:tcW w:w="521" w:type="dxa"/>
            <w:tcBorders>
              <w:top w:val="single" w:sz="4" w:space="0" w:color="auto"/>
              <w:bottom w:val="single" w:sz="4" w:space="0" w:color="auto"/>
              <w:right w:val="single" w:sz="4" w:space="0" w:color="auto"/>
            </w:tcBorders>
          </w:tcPr>
          <w:p w14:paraId="0D32791E"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192CA0CF" w14:textId="77777777" w:rsidTr="009E69CE">
        <w:trPr>
          <w:trHeight w:hRule="exact" w:val="516"/>
        </w:trPr>
        <w:tc>
          <w:tcPr>
            <w:tcW w:w="1270" w:type="dxa"/>
            <w:tcBorders>
              <w:top w:val="single" w:sz="4" w:space="0" w:color="auto"/>
              <w:left w:val="single" w:sz="4" w:space="0" w:color="auto"/>
              <w:bottom w:val="single" w:sz="4" w:space="0" w:color="auto"/>
            </w:tcBorders>
          </w:tcPr>
          <w:p w14:paraId="6612702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CEO Compensation</w:t>
            </w:r>
          </w:p>
        </w:tc>
        <w:tc>
          <w:tcPr>
            <w:tcW w:w="912" w:type="dxa"/>
            <w:tcBorders>
              <w:top w:val="single" w:sz="4" w:space="0" w:color="auto"/>
              <w:bottom w:val="single" w:sz="4" w:space="0" w:color="auto"/>
            </w:tcBorders>
          </w:tcPr>
          <w:p w14:paraId="6C65903C"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0.038</w:t>
            </w:r>
          </w:p>
        </w:tc>
        <w:tc>
          <w:tcPr>
            <w:tcW w:w="912" w:type="dxa"/>
            <w:tcBorders>
              <w:top w:val="single" w:sz="4" w:space="0" w:color="auto"/>
              <w:bottom w:val="single" w:sz="4" w:space="0" w:color="auto"/>
            </w:tcBorders>
          </w:tcPr>
          <w:p w14:paraId="0F5B489C"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-0.011</w:t>
            </w:r>
          </w:p>
        </w:tc>
        <w:tc>
          <w:tcPr>
            <w:tcW w:w="911" w:type="dxa"/>
            <w:tcBorders>
              <w:top w:val="single" w:sz="4" w:space="0" w:color="auto"/>
              <w:bottom w:val="single" w:sz="4" w:space="0" w:color="auto"/>
            </w:tcBorders>
          </w:tcPr>
          <w:p w14:paraId="3BFD310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0.068*</w:t>
            </w:r>
          </w:p>
        </w:tc>
        <w:tc>
          <w:tcPr>
            <w:tcW w:w="781" w:type="dxa"/>
            <w:tcBorders>
              <w:top w:val="single" w:sz="4" w:space="0" w:color="auto"/>
              <w:bottom w:val="single" w:sz="4" w:space="0" w:color="auto"/>
            </w:tcBorders>
          </w:tcPr>
          <w:p w14:paraId="7B4FE29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0.133*</w:t>
            </w:r>
          </w:p>
        </w:tc>
        <w:tc>
          <w:tcPr>
            <w:tcW w:w="782" w:type="dxa"/>
            <w:tcBorders>
              <w:top w:val="single" w:sz="4" w:space="0" w:color="auto"/>
              <w:bottom w:val="single" w:sz="4" w:space="0" w:color="auto"/>
            </w:tcBorders>
          </w:tcPr>
          <w:p w14:paraId="42B59CE4"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-0.003</w:t>
            </w:r>
          </w:p>
        </w:tc>
        <w:tc>
          <w:tcPr>
            <w:tcW w:w="911" w:type="dxa"/>
            <w:tcBorders>
              <w:top w:val="single" w:sz="4" w:space="0" w:color="auto"/>
              <w:bottom w:val="single" w:sz="4" w:space="0" w:color="auto"/>
            </w:tcBorders>
          </w:tcPr>
          <w:p w14:paraId="4C50BA6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-0.064*</w:t>
            </w:r>
          </w:p>
        </w:tc>
        <w:tc>
          <w:tcPr>
            <w:tcW w:w="782" w:type="dxa"/>
            <w:tcBorders>
              <w:top w:val="single" w:sz="4" w:space="0" w:color="auto"/>
              <w:bottom w:val="single" w:sz="4" w:space="0" w:color="auto"/>
            </w:tcBorders>
          </w:tcPr>
          <w:p w14:paraId="500C10F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-0.011*</w:t>
            </w:r>
          </w:p>
        </w:tc>
        <w:tc>
          <w:tcPr>
            <w:tcW w:w="781" w:type="dxa"/>
            <w:tcBorders>
              <w:top w:val="single" w:sz="4" w:space="0" w:color="auto"/>
              <w:bottom w:val="single" w:sz="4" w:space="0" w:color="auto"/>
            </w:tcBorders>
          </w:tcPr>
          <w:p w14:paraId="79F447EB"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0.185*</w:t>
            </w:r>
          </w:p>
        </w:tc>
        <w:tc>
          <w:tcPr>
            <w:tcW w:w="782" w:type="dxa"/>
            <w:tcBorders>
              <w:top w:val="single" w:sz="4" w:space="0" w:color="auto"/>
              <w:bottom w:val="single" w:sz="4" w:space="0" w:color="auto"/>
            </w:tcBorders>
          </w:tcPr>
          <w:p w14:paraId="2B78014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-0.020</w:t>
            </w:r>
          </w:p>
        </w:tc>
        <w:tc>
          <w:tcPr>
            <w:tcW w:w="781" w:type="dxa"/>
            <w:tcBorders>
              <w:top w:val="single" w:sz="4" w:space="0" w:color="auto"/>
              <w:bottom w:val="single" w:sz="4" w:space="0" w:color="auto"/>
            </w:tcBorders>
          </w:tcPr>
          <w:p w14:paraId="35D6B56C"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c>
          <w:tcPr>
            <w:tcW w:w="521" w:type="dxa"/>
            <w:tcBorders>
              <w:top w:val="single" w:sz="4" w:space="0" w:color="auto"/>
              <w:bottom w:val="single" w:sz="4" w:space="0" w:color="auto"/>
              <w:right w:val="single" w:sz="4" w:space="0" w:color="auto"/>
            </w:tcBorders>
          </w:tcPr>
          <w:p w14:paraId="08FAD0E5" w14:textId="77777777" w:rsidR="00880312" w:rsidRPr="00880312" w:rsidRDefault="00880312" w:rsidP="00E31D92">
            <w:pPr>
              <w:rPr>
                <w:rFonts w:ascii="Times New Roman" w:eastAsia="DengXian" w:hAnsi="Times New Roman" w:cs="Times New Roman"/>
                <w:color w:val="000000"/>
                <w:sz w:val="20"/>
                <w:szCs w:val="20"/>
                <w:lang w:eastAsia="zh-CN"/>
              </w:rPr>
            </w:pPr>
          </w:p>
        </w:tc>
      </w:tr>
      <w:tr w:rsidR="00880312" w:rsidRPr="00880312" w14:paraId="4CD26C95" w14:textId="77777777" w:rsidTr="009E69CE">
        <w:trPr>
          <w:trHeight w:hRule="exact" w:val="516"/>
        </w:trPr>
        <w:tc>
          <w:tcPr>
            <w:tcW w:w="1270" w:type="dxa"/>
            <w:tcBorders>
              <w:top w:val="single" w:sz="4" w:space="0" w:color="auto"/>
              <w:left w:val="single" w:sz="4" w:space="0" w:color="auto"/>
              <w:bottom w:val="single" w:sz="4" w:space="0" w:color="auto"/>
            </w:tcBorders>
          </w:tcPr>
          <w:p w14:paraId="6021E0D7"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Bank Capital</w:t>
            </w:r>
          </w:p>
        </w:tc>
        <w:tc>
          <w:tcPr>
            <w:tcW w:w="912" w:type="dxa"/>
            <w:tcBorders>
              <w:top w:val="single" w:sz="4" w:space="0" w:color="auto"/>
              <w:bottom w:val="single" w:sz="4" w:space="0" w:color="auto"/>
            </w:tcBorders>
          </w:tcPr>
          <w:p w14:paraId="0EBB886D"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-0.097*</w:t>
            </w:r>
          </w:p>
        </w:tc>
        <w:tc>
          <w:tcPr>
            <w:tcW w:w="912" w:type="dxa"/>
            <w:tcBorders>
              <w:top w:val="single" w:sz="4" w:space="0" w:color="auto"/>
              <w:bottom w:val="single" w:sz="4" w:space="0" w:color="auto"/>
            </w:tcBorders>
          </w:tcPr>
          <w:p w14:paraId="4B6D7BCA"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-0.097*</w:t>
            </w:r>
          </w:p>
        </w:tc>
        <w:tc>
          <w:tcPr>
            <w:tcW w:w="911" w:type="dxa"/>
            <w:tcBorders>
              <w:top w:val="single" w:sz="4" w:space="0" w:color="auto"/>
              <w:bottom w:val="single" w:sz="4" w:space="0" w:color="auto"/>
            </w:tcBorders>
          </w:tcPr>
          <w:p w14:paraId="4232C515"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0.039*</w:t>
            </w:r>
          </w:p>
        </w:tc>
        <w:tc>
          <w:tcPr>
            <w:tcW w:w="781" w:type="dxa"/>
            <w:tcBorders>
              <w:top w:val="single" w:sz="4" w:space="0" w:color="auto"/>
              <w:bottom w:val="single" w:sz="4" w:space="0" w:color="auto"/>
            </w:tcBorders>
          </w:tcPr>
          <w:p w14:paraId="30BF822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0.021</w:t>
            </w:r>
          </w:p>
        </w:tc>
        <w:tc>
          <w:tcPr>
            <w:tcW w:w="782" w:type="dxa"/>
            <w:tcBorders>
              <w:top w:val="single" w:sz="4" w:space="0" w:color="auto"/>
              <w:bottom w:val="single" w:sz="4" w:space="0" w:color="auto"/>
            </w:tcBorders>
          </w:tcPr>
          <w:p w14:paraId="3DF115F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-0.272*</w:t>
            </w:r>
          </w:p>
        </w:tc>
        <w:tc>
          <w:tcPr>
            <w:tcW w:w="911" w:type="dxa"/>
            <w:tcBorders>
              <w:top w:val="single" w:sz="4" w:space="0" w:color="auto"/>
              <w:bottom w:val="single" w:sz="4" w:space="0" w:color="auto"/>
            </w:tcBorders>
          </w:tcPr>
          <w:p w14:paraId="64E491F9"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-0.255*</w:t>
            </w:r>
          </w:p>
        </w:tc>
        <w:tc>
          <w:tcPr>
            <w:tcW w:w="782" w:type="dxa"/>
            <w:tcBorders>
              <w:top w:val="single" w:sz="4" w:space="0" w:color="auto"/>
              <w:bottom w:val="single" w:sz="4" w:space="0" w:color="auto"/>
            </w:tcBorders>
          </w:tcPr>
          <w:p w14:paraId="2FC0F73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-0.105*</w:t>
            </w:r>
          </w:p>
        </w:tc>
        <w:tc>
          <w:tcPr>
            <w:tcW w:w="781" w:type="dxa"/>
            <w:tcBorders>
              <w:top w:val="single" w:sz="4" w:space="0" w:color="auto"/>
              <w:bottom w:val="single" w:sz="4" w:space="0" w:color="auto"/>
            </w:tcBorders>
          </w:tcPr>
          <w:p w14:paraId="18D8D931"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0.199*</w:t>
            </w:r>
          </w:p>
        </w:tc>
        <w:tc>
          <w:tcPr>
            <w:tcW w:w="782" w:type="dxa"/>
            <w:tcBorders>
              <w:top w:val="single" w:sz="4" w:space="0" w:color="auto"/>
              <w:bottom w:val="single" w:sz="4" w:space="0" w:color="auto"/>
            </w:tcBorders>
          </w:tcPr>
          <w:p w14:paraId="5210E8F8"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0.125*</w:t>
            </w:r>
          </w:p>
        </w:tc>
        <w:tc>
          <w:tcPr>
            <w:tcW w:w="781" w:type="dxa"/>
            <w:tcBorders>
              <w:top w:val="single" w:sz="4" w:space="0" w:color="auto"/>
              <w:bottom w:val="single" w:sz="4" w:space="0" w:color="auto"/>
            </w:tcBorders>
          </w:tcPr>
          <w:p w14:paraId="6DC64676"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0.001</w:t>
            </w:r>
          </w:p>
        </w:tc>
        <w:tc>
          <w:tcPr>
            <w:tcW w:w="521" w:type="dxa"/>
            <w:tcBorders>
              <w:top w:val="single" w:sz="4" w:space="0" w:color="auto"/>
              <w:bottom w:val="single" w:sz="4" w:space="0" w:color="auto"/>
              <w:right w:val="single" w:sz="4" w:space="0" w:color="auto"/>
            </w:tcBorders>
          </w:tcPr>
          <w:p w14:paraId="6A8A0AEF" w14:textId="77777777" w:rsidR="00880312" w:rsidRPr="00880312" w:rsidRDefault="00880312" w:rsidP="00E31D92">
            <w:pPr>
              <w:rPr>
                <w:rFonts w:ascii="Times New Roman" w:eastAsia="DengXian" w:hAnsi="Times New Roman" w:cs="Times New Roman"/>
                <w:color w:val="000000"/>
                <w:sz w:val="20"/>
                <w:szCs w:val="20"/>
                <w:lang w:eastAsia="zh-CN"/>
              </w:rPr>
            </w:pPr>
            <w:r w:rsidRPr="00880312">
              <w:rPr>
                <w:rFonts w:ascii="Times New Roman" w:eastAsia="DengXian" w:hAnsi="Times New Roman" w:cs="Times New Roman"/>
                <w:color w:val="000000"/>
                <w:sz w:val="20"/>
                <w:szCs w:val="20"/>
                <w:lang w:eastAsia="zh-CN"/>
              </w:rPr>
              <w:t>1</w:t>
            </w:r>
          </w:p>
        </w:tc>
      </w:tr>
    </w:tbl>
    <w:p w14:paraId="3F9C7056" w14:textId="77777777" w:rsidR="00880312" w:rsidRPr="00880312" w:rsidRDefault="00880312" w:rsidP="00880312">
      <w:pPr>
        <w:rPr>
          <w:rFonts w:ascii="Times New Roman" w:eastAsia="DengXian" w:hAnsi="Times New Roman" w:cs="Times New Roman"/>
          <w:color w:val="000000"/>
          <w:lang w:eastAsia="zh-CN"/>
        </w:rPr>
      </w:pPr>
    </w:p>
    <w:p w14:paraId="6F8E75C5" w14:textId="4D476F49" w:rsidR="00880312" w:rsidRPr="009E69CE" w:rsidRDefault="00880312" w:rsidP="00880312">
      <w:pPr>
        <w:rPr>
          <w:rFonts w:ascii="Times New Roman" w:eastAsia="DengXian" w:hAnsi="Times New Roman" w:cs="Times New Roman"/>
          <w:color w:val="000000"/>
          <w:sz w:val="28"/>
          <w:szCs w:val="28"/>
          <w:lang w:eastAsia="zh-CN"/>
        </w:rPr>
      </w:pPr>
      <w:r w:rsidRPr="00880312">
        <w:rPr>
          <w:rFonts w:ascii="Times New Roman" w:eastAsia="DengXian" w:hAnsi="Times New Roman" w:cs="Times New Roman"/>
          <w:b/>
          <w:bCs/>
          <w:color w:val="000000"/>
          <w:lang w:eastAsia="zh-CN"/>
        </w:rPr>
        <w:br w:type="page"/>
      </w:r>
    </w:p>
    <w:p w14:paraId="4749014D" w14:textId="1C58DDB3" w:rsidR="00880312" w:rsidRPr="00E30E2D" w:rsidRDefault="00DE7639" w:rsidP="00DE7639">
      <w:pPr>
        <w:pStyle w:val="Caption"/>
        <w:rPr>
          <w:rFonts w:ascii="Times New Roman" w:eastAsia="DengXian" w:hAnsi="Times New Roman" w:cs="Times New Roman"/>
          <w:b/>
          <w:bCs/>
          <w:i w:val="0"/>
          <w:iCs w:val="0"/>
          <w:color w:val="auto"/>
          <w:sz w:val="24"/>
          <w:szCs w:val="24"/>
          <w:lang w:eastAsia="zh-CN"/>
        </w:rPr>
      </w:pPr>
      <w:bookmarkStart w:id="123" w:name="_Toc132386104"/>
      <w:bookmarkStart w:id="124" w:name="_Toc132437296"/>
      <w:r w:rsidRPr="00E30E2D">
        <w:rPr>
          <w:rFonts w:ascii="Times New Roman" w:eastAsia="DengXian" w:hAnsi="Times New Roman" w:cs="Times New Roman"/>
          <w:b/>
          <w:bCs/>
          <w:i w:val="0"/>
          <w:iCs w:val="0"/>
          <w:color w:val="auto"/>
          <w:sz w:val="24"/>
          <w:szCs w:val="24"/>
          <w:lang w:eastAsia="zh-CN"/>
        </w:rPr>
        <w:t>Table 4.</w:t>
      </w:r>
      <w:r w:rsidR="00221C3A">
        <w:rPr>
          <w:rFonts w:ascii="Times New Roman" w:eastAsia="DengXian" w:hAnsi="Times New Roman" w:cs="Times New Roman"/>
          <w:b/>
          <w:bCs/>
          <w:i w:val="0"/>
          <w:iCs w:val="0"/>
          <w:color w:val="auto"/>
          <w:sz w:val="24"/>
          <w:szCs w:val="24"/>
          <w:lang w:eastAsia="zh-CN"/>
        </w:rPr>
        <w:t>3</w:t>
      </w:r>
      <w:r w:rsidRPr="00E30E2D">
        <w:rPr>
          <w:rFonts w:ascii="Times New Roman" w:eastAsia="DengXian" w:hAnsi="Times New Roman" w:cs="Times New Roman"/>
          <w:b/>
          <w:bCs/>
          <w:i w:val="0"/>
          <w:iCs w:val="0"/>
          <w:color w:val="auto"/>
          <w:sz w:val="24"/>
          <w:szCs w:val="24"/>
          <w:lang w:eastAsia="zh-CN"/>
        </w:rPr>
        <w:t>. Univariate Analysis Based on Board Gender Diversity</w:t>
      </w:r>
      <w:bookmarkEnd w:id="123"/>
      <w:bookmarkEnd w:id="124"/>
    </w:p>
    <w:p w14:paraId="4F1A9478" w14:textId="54BE703A" w:rsidR="00DE7639" w:rsidRPr="00DE7639" w:rsidRDefault="00DE7639" w:rsidP="00DE7639">
      <w:pPr>
        <w:jc w:val="both"/>
        <w:rPr>
          <w:lang w:eastAsia="zh-CN"/>
        </w:rPr>
      </w:pPr>
      <w:r w:rsidRPr="00880312">
        <w:rPr>
          <w:rFonts w:ascii="Times New Roman" w:eastAsia="DengXian" w:hAnsi="Times New Roman" w:cs="Times New Roman"/>
          <w:color w:val="000000"/>
          <w:lang w:eastAsia="zh-CN"/>
        </w:rPr>
        <w:t xml:space="preserve">The table reports the results of the univariate analysis by the board gender diversity based on the presence and fraction of female directors on the board. The t-test for the </w:t>
      </w:r>
      <w:r w:rsidR="001C5A8D">
        <w:rPr>
          <w:rFonts w:ascii="Times New Roman" w:eastAsia="DengXian" w:hAnsi="Times New Roman" w:cs="Times New Roman"/>
          <w:color w:val="000000"/>
          <w:lang w:eastAsia="zh-CN"/>
        </w:rPr>
        <w:t>difference</w:t>
      </w:r>
      <w:r w:rsidRPr="00880312">
        <w:rPr>
          <w:rFonts w:ascii="Times New Roman" w:eastAsia="DengXian" w:hAnsi="Times New Roman" w:cs="Times New Roman"/>
          <w:color w:val="000000"/>
          <w:lang w:eastAsia="zh-CN"/>
        </w:rPr>
        <w:t xml:space="preserve"> of means is reported in the last two columns, where *, **, and *** indicate significance at the 1%, 5%, and 10% level, respectively. </w:t>
      </w:r>
    </w:p>
    <w:tbl>
      <w:tblPr>
        <w:tblpPr w:leftFromText="180" w:rightFromText="180" w:vertAnchor="text" w:horzAnchor="page" w:tblpX="1415" w:tblpY="271"/>
        <w:tblW w:w="0" w:type="auto"/>
        <w:tblLook w:val="04A0" w:firstRow="1" w:lastRow="0" w:firstColumn="1" w:lastColumn="0" w:noHBand="0" w:noVBand="1"/>
      </w:tblPr>
      <w:tblGrid>
        <w:gridCol w:w="1603"/>
        <w:gridCol w:w="1127"/>
        <w:gridCol w:w="1123"/>
        <w:gridCol w:w="703"/>
        <w:gridCol w:w="1144"/>
        <w:gridCol w:w="1164"/>
        <w:gridCol w:w="1476"/>
        <w:gridCol w:w="888"/>
      </w:tblGrid>
      <w:tr w:rsidR="00880312" w:rsidRPr="00880312" w14:paraId="6FAF7C05" w14:textId="77777777" w:rsidTr="009E69CE">
        <w:tc>
          <w:tcPr>
            <w:tcW w:w="1603" w:type="dxa"/>
            <w:tcBorders>
              <w:top w:val="single" w:sz="4" w:space="0" w:color="auto"/>
              <w:left w:val="single" w:sz="4" w:space="0" w:color="auto"/>
              <w:bottom w:val="single" w:sz="4" w:space="0" w:color="auto"/>
            </w:tcBorders>
            <w:shd w:val="clear" w:color="auto" w:fill="auto"/>
          </w:tcPr>
          <w:p w14:paraId="56C3AED4" w14:textId="77777777" w:rsidR="00880312" w:rsidRPr="00880312" w:rsidRDefault="00880312" w:rsidP="00880312">
            <w:pPr>
              <w:spacing w:after="0" w:line="240" w:lineRule="auto"/>
              <w:rPr>
                <w:rFonts w:ascii="Calibri" w:eastAsia="Calibri" w:hAnsi="Calibri" w:cs="Arial"/>
                <w:color w:val="000000"/>
                <w:sz w:val="20"/>
                <w:szCs w:val="20"/>
              </w:rPr>
            </w:pPr>
          </w:p>
        </w:tc>
        <w:tc>
          <w:tcPr>
            <w:tcW w:w="2243" w:type="dxa"/>
            <w:gridSpan w:val="2"/>
            <w:tcBorders>
              <w:top w:val="single" w:sz="4" w:space="0" w:color="auto"/>
              <w:bottom w:val="single" w:sz="4" w:space="0" w:color="auto"/>
            </w:tcBorders>
            <w:shd w:val="clear" w:color="auto" w:fill="auto"/>
          </w:tcPr>
          <w:p w14:paraId="2C16DC46" w14:textId="77777777" w:rsidR="00880312" w:rsidRPr="00880312" w:rsidRDefault="00880312" w:rsidP="00880312">
            <w:pPr>
              <w:spacing w:after="0" w:line="240" w:lineRule="auto"/>
              <w:jc w:val="center"/>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Boards with female directors</w:t>
            </w:r>
          </w:p>
        </w:tc>
        <w:tc>
          <w:tcPr>
            <w:tcW w:w="703" w:type="dxa"/>
            <w:tcBorders>
              <w:top w:val="single" w:sz="4" w:space="0" w:color="auto"/>
              <w:bottom w:val="single" w:sz="4" w:space="0" w:color="auto"/>
            </w:tcBorders>
            <w:shd w:val="clear" w:color="auto" w:fill="auto"/>
          </w:tcPr>
          <w:p w14:paraId="040D3A6E" w14:textId="77777777" w:rsidR="00880312" w:rsidRPr="00880312" w:rsidRDefault="00880312" w:rsidP="00880312">
            <w:pPr>
              <w:spacing w:after="0" w:line="240" w:lineRule="auto"/>
              <w:rPr>
                <w:rFonts w:ascii="Times New Roman" w:eastAsia="Calibri" w:hAnsi="Times New Roman" w:cs="Times New Roman"/>
                <w:color w:val="000000"/>
                <w:sz w:val="20"/>
                <w:szCs w:val="20"/>
              </w:rPr>
            </w:pPr>
          </w:p>
        </w:tc>
        <w:tc>
          <w:tcPr>
            <w:tcW w:w="2289" w:type="dxa"/>
            <w:gridSpan w:val="2"/>
            <w:tcBorders>
              <w:top w:val="single" w:sz="4" w:space="0" w:color="auto"/>
              <w:bottom w:val="single" w:sz="4" w:space="0" w:color="auto"/>
            </w:tcBorders>
            <w:shd w:val="clear" w:color="auto" w:fill="auto"/>
          </w:tcPr>
          <w:p w14:paraId="0A874F01" w14:textId="77777777" w:rsidR="00880312" w:rsidRPr="00880312" w:rsidRDefault="00880312" w:rsidP="00880312">
            <w:pPr>
              <w:spacing w:after="0" w:line="240" w:lineRule="auto"/>
              <w:jc w:val="center"/>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Boards without female directors</w:t>
            </w:r>
          </w:p>
        </w:tc>
        <w:tc>
          <w:tcPr>
            <w:tcW w:w="2364" w:type="dxa"/>
            <w:gridSpan w:val="2"/>
            <w:tcBorders>
              <w:top w:val="single" w:sz="4" w:space="0" w:color="auto"/>
              <w:bottom w:val="single" w:sz="4" w:space="0" w:color="auto"/>
              <w:right w:val="single" w:sz="4" w:space="0" w:color="auto"/>
            </w:tcBorders>
            <w:shd w:val="clear" w:color="auto" w:fill="auto"/>
          </w:tcPr>
          <w:p w14:paraId="03EE7FF5" w14:textId="77777777" w:rsidR="00880312" w:rsidRPr="00880312" w:rsidRDefault="00880312" w:rsidP="00880312">
            <w:pPr>
              <w:spacing w:after="0" w:line="240" w:lineRule="auto"/>
              <w:jc w:val="center"/>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Difference</w:t>
            </w:r>
          </w:p>
        </w:tc>
      </w:tr>
      <w:tr w:rsidR="00880312" w:rsidRPr="00880312" w14:paraId="2E6303E3" w14:textId="77777777" w:rsidTr="009E69CE">
        <w:tc>
          <w:tcPr>
            <w:tcW w:w="1603" w:type="dxa"/>
            <w:tcBorders>
              <w:top w:val="single" w:sz="4" w:space="0" w:color="auto"/>
              <w:left w:val="single" w:sz="4" w:space="0" w:color="auto"/>
              <w:bottom w:val="single" w:sz="4" w:space="0" w:color="auto"/>
            </w:tcBorders>
            <w:shd w:val="clear" w:color="auto" w:fill="auto"/>
          </w:tcPr>
          <w:p w14:paraId="3A35B77D" w14:textId="77777777" w:rsidR="00880312" w:rsidRPr="00880312" w:rsidRDefault="00880312" w:rsidP="00880312">
            <w:pPr>
              <w:spacing w:after="0" w:line="240" w:lineRule="auto"/>
              <w:rPr>
                <w:rFonts w:ascii="Calibri" w:eastAsia="Calibri" w:hAnsi="Calibri" w:cs="Arial"/>
                <w:color w:val="000000"/>
                <w:sz w:val="20"/>
                <w:szCs w:val="20"/>
              </w:rPr>
            </w:pPr>
          </w:p>
        </w:tc>
        <w:tc>
          <w:tcPr>
            <w:tcW w:w="1127" w:type="dxa"/>
            <w:tcBorders>
              <w:top w:val="single" w:sz="4" w:space="0" w:color="auto"/>
              <w:bottom w:val="single" w:sz="4" w:space="0" w:color="auto"/>
            </w:tcBorders>
            <w:shd w:val="clear" w:color="auto" w:fill="auto"/>
          </w:tcPr>
          <w:p w14:paraId="39CD1100"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N</w:t>
            </w:r>
          </w:p>
        </w:tc>
        <w:tc>
          <w:tcPr>
            <w:tcW w:w="1116" w:type="dxa"/>
            <w:tcBorders>
              <w:top w:val="single" w:sz="4" w:space="0" w:color="auto"/>
              <w:bottom w:val="single" w:sz="4" w:space="0" w:color="auto"/>
            </w:tcBorders>
            <w:shd w:val="clear" w:color="auto" w:fill="auto"/>
          </w:tcPr>
          <w:p w14:paraId="0B11F7A2"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Mean</w:t>
            </w:r>
          </w:p>
        </w:tc>
        <w:tc>
          <w:tcPr>
            <w:tcW w:w="703" w:type="dxa"/>
            <w:tcBorders>
              <w:top w:val="single" w:sz="4" w:space="0" w:color="auto"/>
              <w:bottom w:val="single" w:sz="4" w:space="0" w:color="auto"/>
            </w:tcBorders>
            <w:shd w:val="clear" w:color="auto" w:fill="auto"/>
          </w:tcPr>
          <w:p w14:paraId="4B55B208"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p>
        </w:tc>
        <w:tc>
          <w:tcPr>
            <w:tcW w:w="1125" w:type="dxa"/>
            <w:tcBorders>
              <w:top w:val="single" w:sz="4" w:space="0" w:color="auto"/>
              <w:bottom w:val="single" w:sz="4" w:space="0" w:color="auto"/>
            </w:tcBorders>
            <w:shd w:val="clear" w:color="auto" w:fill="auto"/>
          </w:tcPr>
          <w:p w14:paraId="319BAEE1"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N</w:t>
            </w:r>
          </w:p>
        </w:tc>
        <w:tc>
          <w:tcPr>
            <w:tcW w:w="1164" w:type="dxa"/>
            <w:tcBorders>
              <w:top w:val="single" w:sz="4" w:space="0" w:color="auto"/>
              <w:bottom w:val="single" w:sz="4" w:space="0" w:color="auto"/>
            </w:tcBorders>
            <w:shd w:val="clear" w:color="auto" w:fill="auto"/>
          </w:tcPr>
          <w:p w14:paraId="3C90BCA3"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Mean</w:t>
            </w:r>
          </w:p>
        </w:tc>
        <w:tc>
          <w:tcPr>
            <w:tcW w:w="1476" w:type="dxa"/>
            <w:tcBorders>
              <w:top w:val="single" w:sz="4" w:space="0" w:color="auto"/>
              <w:bottom w:val="single" w:sz="4" w:space="0" w:color="auto"/>
            </w:tcBorders>
            <w:shd w:val="clear" w:color="auto" w:fill="auto"/>
          </w:tcPr>
          <w:p w14:paraId="17A19D52"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Mean</w:t>
            </w:r>
          </w:p>
        </w:tc>
        <w:tc>
          <w:tcPr>
            <w:tcW w:w="888" w:type="dxa"/>
            <w:tcBorders>
              <w:top w:val="single" w:sz="4" w:space="0" w:color="auto"/>
              <w:bottom w:val="single" w:sz="4" w:space="0" w:color="auto"/>
              <w:right w:val="single" w:sz="4" w:space="0" w:color="auto"/>
            </w:tcBorders>
            <w:shd w:val="clear" w:color="auto" w:fill="auto"/>
          </w:tcPr>
          <w:p w14:paraId="2E1D200B"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P-Value</w:t>
            </w:r>
          </w:p>
        </w:tc>
      </w:tr>
      <w:tr w:rsidR="00880312" w:rsidRPr="00880312" w14:paraId="54DFE2B6" w14:textId="77777777" w:rsidTr="009E69CE">
        <w:tc>
          <w:tcPr>
            <w:tcW w:w="1603" w:type="dxa"/>
            <w:tcBorders>
              <w:top w:val="single" w:sz="4" w:space="0" w:color="auto"/>
              <w:left w:val="single" w:sz="4" w:space="0" w:color="auto"/>
            </w:tcBorders>
            <w:shd w:val="clear" w:color="auto" w:fill="auto"/>
          </w:tcPr>
          <w:p w14:paraId="2798F6A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127" w:type="dxa"/>
            <w:tcBorders>
              <w:top w:val="single" w:sz="4" w:space="0" w:color="auto"/>
            </w:tcBorders>
            <w:shd w:val="clear" w:color="auto" w:fill="auto"/>
          </w:tcPr>
          <w:p w14:paraId="323B40A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1379</w:t>
            </w:r>
          </w:p>
        </w:tc>
        <w:tc>
          <w:tcPr>
            <w:tcW w:w="1116" w:type="dxa"/>
            <w:tcBorders>
              <w:top w:val="single" w:sz="4" w:space="0" w:color="auto"/>
            </w:tcBorders>
            <w:shd w:val="clear" w:color="auto" w:fill="auto"/>
          </w:tcPr>
          <w:p w14:paraId="262D2F2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1.355</w:t>
            </w:r>
          </w:p>
        </w:tc>
        <w:tc>
          <w:tcPr>
            <w:tcW w:w="703" w:type="dxa"/>
            <w:tcBorders>
              <w:top w:val="single" w:sz="4" w:space="0" w:color="auto"/>
            </w:tcBorders>
            <w:shd w:val="clear" w:color="auto" w:fill="auto"/>
          </w:tcPr>
          <w:p w14:paraId="2E7699C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tcBorders>
              <w:top w:val="single" w:sz="4" w:space="0" w:color="auto"/>
            </w:tcBorders>
            <w:shd w:val="clear" w:color="auto" w:fill="auto"/>
          </w:tcPr>
          <w:p w14:paraId="16F61A0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359</w:t>
            </w:r>
          </w:p>
        </w:tc>
        <w:tc>
          <w:tcPr>
            <w:tcW w:w="1164" w:type="dxa"/>
            <w:tcBorders>
              <w:top w:val="single" w:sz="4" w:space="0" w:color="auto"/>
            </w:tcBorders>
            <w:shd w:val="clear" w:color="auto" w:fill="auto"/>
          </w:tcPr>
          <w:p w14:paraId="7A510A8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1.269</w:t>
            </w:r>
          </w:p>
        </w:tc>
        <w:tc>
          <w:tcPr>
            <w:tcW w:w="1476" w:type="dxa"/>
            <w:tcBorders>
              <w:top w:val="single" w:sz="4" w:space="0" w:color="auto"/>
            </w:tcBorders>
            <w:shd w:val="clear" w:color="auto" w:fill="auto"/>
          </w:tcPr>
          <w:p w14:paraId="120DDFA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-0.0040***</w:t>
            </w:r>
          </w:p>
        </w:tc>
        <w:tc>
          <w:tcPr>
            <w:tcW w:w="888" w:type="dxa"/>
            <w:tcBorders>
              <w:top w:val="single" w:sz="4" w:space="0" w:color="auto"/>
              <w:right w:val="single" w:sz="4" w:space="0" w:color="auto"/>
            </w:tcBorders>
            <w:shd w:val="clear" w:color="auto" w:fill="auto"/>
          </w:tcPr>
          <w:p w14:paraId="3949877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402D5086" w14:textId="77777777" w:rsidTr="009E69CE">
        <w:tc>
          <w:tcPr>
            <w:tcW w:w="1603" w:type="dxa"/>
            <w:tcBorders>
              <w:left w:val="single" w:sz="4" w:space="0" w:color="auto"/>
            </w:tcBorders>
            <w:shd w:val="clear" w:color="auto" w:fill="auto"/>
          </w:tcPr>
          <w:p w14:paraId="2C09363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Credit Risk</w:t>
            </w:r>
          </w:p>
        </w:tc>
        <w:tc>
          <w:tcPr>
            <w:tcW w:w="1127" w:type="dxa"/>
            <w:shd w:val="clear" w:color="auto" w:fill="auto"/>
          </w:tcPr>
          <w:p w14:paraId="7871842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1384    </w:t>
            </w:r>
          </w:p>
        </w:tc>
        <w:tc>
          <w:tcPr>
            <w:tcW w:w="1116" w:type="dxa"/>
            <w:shd w:val="clear" w:color="auto" w:fill="auto"/>
          </w:tcPr>
          <w:p w14:paraId="35E740B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w:t>
            </w:r>
          </w:p>
        </w:tc>
        <w:tc>
          <w:tcPr>
            <w:tcW w:w="703" w:type="dxa"/>
            <w:shd w:val="clear" w:color="auto" w:fill="auto"/>
          </w:tcPr>
          <w:p w14:paraId="03AA1B5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2FE7022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328  </w:t>
            </w:r>
          </w:p>
        </w:tc>
        <w:tc>
          <w:tcPr>
            <w:tcW w:w="1164" w:type="dxa"/>
            <w:shd w:val="clear" w:color="auto" w:fill="auto"/>
          </w:tcPr>
          <w:p w14:paraId="4C49E16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0.014</w:t>
            </w:r>
          </w:p>
        </w:tc>
        <w:tc>
          <w:tcPr>
            <w:tcW w:w="1476" w:type="dxa"/>
            <w:shd w:val="clear" w:color="auto" w:fill="auto"/>
          </w:tcPr>
          <w:p w14:paraId="495889A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0.3721***</w:t>
            </w:r>
          </w:p>
        </w:tc>
        <w:tc>
          <w:tcPr>
            <w:tcW w:w="888" w:type="dxa"/>
            <w:tcBorders>
              <w:right w:val="single" w:sz="4" w:space="0" w:color="auto"/>
            </w:tcBorders>
            <w:shd w:val="clear" w:color="auto" w:fill="auto"/>
          </w:tcPr>
          <w:p w14:paraId="64A59AB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788F3C5D" w14:textId="77777777" w:rsidTr="009E69CE">
        <w:tc>
          <w:tcPr>
            <w:tcW w:w="1603" w:type="dxa"/>
            <w:tcBorders>
              <w:left w:val="single" w:sz="4" w:space="0" w:color="auto"/>
            </w:tcBorders>
            <w:shd w:val="clear" w:color="auto" w:fill="auto"/>
          </w:tcPr>
          <w:p w14:paraId="2576E9B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Indp_Director</w:t>
            </w:r>
          </w:p>
        </w:tc>
        <w:tc>
          <w:tcPr>
            <w:tcW w:w="1127" w:type="dxa"/>
            <w:shd w:val="clear" w:color="auto" w:fill="auto"/>
          </w:tcPr>
          <w:p w14:paraId="5DEFE9F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1414    </w:t>
            </w:r>
          </w:p>
        </w:tc>
        <w:tc>
          <w:tcPr>
            <w:tcW w:w="1116" w:type="dxa"/>
            <w:shd w:val="clear" w:color="auto" w:fill="auto"/>
          </w:tcPr>
          <w:p w14:paraId="57EE96B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0.7887</w:t>
            </w:r>
          </w:p>
        </w:tc>
        <w:tc>
          <w:tcPr>
            <w:tcW w:w="703" w:type="dxa"/>
            <w:shd w:val="clear" w:color="auto" w:fill="auto"/>
          </w:tcPr>
          <w:p w14:paraId="771803D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6F57BBB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366    </w:t>
            </w:r>
          </w:p>
        </w:tc>
        <w:tc>
          <w:tcPr>
            <w:tcW w:w="1164" w:type="dxa"/>
            <w:shd w:val="clear" w:color="auto" w:fill="auto"/>
          </w:tcPr>
          <w:p w14:paraId="13C89A3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0.7241</w:t>
            </w:r>
          </w:p>
        </w:tc>
        <w:tc>
          <w:tcPr>
            <w:tcW w:w="1476" w:type="dxa"/>
            <w:shd w:val="clear" w:color="auto" w:fill="auto"/>
          </w:tcPr>
          <w:p w14:paraId="11D1283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-0.0646***</w:t>
            </w:r>
          </w:p>
        </w:tc>
        <w:tc>
          <w:tcPr>
            <w:tcW w:w="888" w:type="dxa"/>
            <w:tcBorders>
              <w:right w:val="single" w:sz="4" w:space="0" w:color="auto"/>
            </w:tcBorders>
            <w:shd w:val="clear" w:color="auto" w:fill="auto"/>
          </w:tcPr>
          <w:p w14:paraId="20019A7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519CEF66" w14:textId="77777777" w:rsidTr="009E69CE">
        <w:tc>
          <w:tcPr>
            <w:tcW w:w="1603" w:type="dxa"/>
            <w:tcBorders>
              <w:left w:val="single" w:sz="4" w:space="0" w:color="auto"/>
            </w:tcBorders>
            <w:shd w:val="clear" w:color="auto" w:fill="auto"/>
          </w:tcPr>
          <w:p w14:paraId="2A0BAF0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127" w:type="dxa"/>
            <w:shd w:val="clear" w:color="auto" w:fill="auto"/>
          </w:tcPr>
          <w:p w14:paraId="1D46611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1414     </w:t>
            </w:r>
          </w:p>
        </w:tc>
        <w:tc>
          <w:tcPr>
            <w:tcW w:w="1116" w:type="dxa"/>
            <w:shd w:val="clear" w:color="auto" w:fill="auto"/>
          </w:tcPr>
          <w:p w14:paraId="3008202D" w14:textId="2A646489" w:rsidR="00880312" w:rsidRPr="00880312" w:rsidRDefault="00BC533F"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13.335</w:t>
            </w:r>
          </w:p>
        </w:tc>
        <w:tc>
          <w:tcPr>
            <w:tcW w:w="703" w:type="dxa"/>
            <w:shd w:val="clear" w:color="auto" w:fill="auto"/>
          </w:tcPr>
          <w:p w14:paraId="42C7303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6E92A8D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366    </w:t>
            </w:r>
          </w:p>
        </w:tc>
        <w:tc>
          <w:tcPr>
            <w:tcW w:w="1164" w:type="dxa"/>
            <w:shd w:val="clear" w:color="auto" w:fill="auto"/>
          </w:tcPr>
          <w:p w14:paraId="0B634228" w14:textId="52D6C988" w:rsidR="00880312" w:rsidRPr="00880312" w:rsidRDefault="00BC533F"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11.882</w:t>
            </w:r>
          </w:p>
        </w:tc>
        <w:tc>
          <w:tcPr>
            <w:tcW w:w="1476" w:type="dxa"/>
            <w:shd w:val="clear" w:color="auto" w:fill="auto"/>
          </w:tcPr>
          <w:p w14:paraId="79ED9F1E" w14:textId="48AE1EFD"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w:t>
            </w:r>
            <w:r w:rsidR="00BC533F">
              <w:rPr>
                <w:rFonts w:ascii="Times New Roman" w:eastAsia="Times New Roman" w:hAnsi="Times New Roman" w:cs="Times New Roman"/>
                <w:color w:val="000000"/>
                <w:sz w:val="20"/>
                <w:szCs w:val="20"/>
                <w:lang w:eastAsia="en-GB"/>
              </w:rPr>
              <w:t>.1453</w:t>
            </w:r>
            <w:r w:rsidRPr="00880312">
              <w:rPr>
                <w:rFonts w:ascii="Times New Roman" w:eastAsia="Times New Roman" w:hAnsi="Times New Roman" w:cs="Times New Roman"/>
                <w:color w:val="000000"/>
                <w:sz w:val="20"/>
                <w:szCs w:val="20"/>
                <w:lang w:eastAsia="en-GB"/>
              </w:rPr>
              <w:t>***</w:t>
            </w:r>
          </w:p>
        </w:tc>
        <w:tc>
          <w:tcPr>
            <w:tcW w:w="888" w:type="dxa"/>
            <w:tcBorders>
              <w:right w:val="single" w:sz="4" w:space="0" w:color="auto"/>
            </w:tcBorders>
            <w:shd w:val="clear" w:color="auto" w:fill="auto"/>
          </w:tcPr>
          <w:p w14:paraId="2BFE30A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64E61707" w14:textId="77777777" w:rsidTr="009E69CE">
        <w:tc>
          <w:tcPr>
            <w:tcW w:w="1603" w:type="dxa"/>
            <w:tcBorders>
              <w:left w:val="single" w:sz="4" w:space="0" w:color="auto"/>
            </w:tcBorders>
            <w:shd w:val="clear" w:color="auto" w:fill="auto"/>
          </w:tcPr>
          <w:p w14:paraId="0C99048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127" w:type="dxa"/>
            <w:shd w:val="clear" w:color="auto" w:fill="auto"/>
          </w:tcPr>
          <w:p w14:paraId="654EAAA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1399    </w:t>
            </w:r>
          </w:p>
        </w:tc>
        <w:tc>
          <w:tcPr>
            <w:tcW w:w="1116" w:type="dxa"/>
            <w:shd w:val="clear" w:color="auto" w:fill="auto"/>
          </w:tcPr>
          <w:p w14:paraId="15F5575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9.2591</w:t>
            </w:r>
          </w:p>
        </w:tc>
        <w:tc>
          <w:tcPr>
            <w:tcW w:w="703" w:type="dxa"/>
            <w:shd w:val="clear" w:color="auto" w:fill="auto"/>
          </w:tcPr>
          <w:p w14:paraId="0025089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27C83E9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362    </w:t>
            </w:r>
          </w:p>
        </w:tc>
        <w:tc>
          <w:tcPr>
            <w:tcW w:w="1164" w:type="dxa"/>
            <w:shd w:val="clear" w:color="auto" w:fill="auto"/>
          </w:tcPr>
          <w:p w14:paraId="4816BCC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9.4913</w:t>
            </w:r>
          </w:p>
        </w:tc>
        <w:tc>
          <w:tcPr>
            <w:tcW w:w="1476" w:type="dxa"/>
            <w:shd w:val="clear" w:color="auto" w:fill="auto"/>
          </w:tcPr>
          <w:p w14:paraId="2B54881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0.2321***</w:t>
            </w:r>
          </w:p>
        </w:tc>
        <w:tc>
          <w:tcPr>
            <w:tcW w:w="888" w:type="dxa"/>
            <w:tcBorders>
              <w:right w:val="single" w:sz="4" w:space="0" w:color="auto"/>
            </w:tcBorders>
            <w:shd w:val="clear" w:color="auto" w:fill="auto"/>
          </w:tcPr>
          <w:p w14:paraId="64F6A35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0.017</w:t>
            </w:r>
          </w:p>
        </w:tc>
      </w:tr>
      <w:tr w:rsidR="00880312" w:rsidRPr="00880312" w14:paraId="036654D3" w14:textId="77777777" w:rsidTr="009E69CE">
        <w:tc>
          <w:tcPr>
            <w:tcW w:w="1603" w:type="dxa"/>
            <w:tcBorders>
              <w:left w:val="single" w:sz="4" w:space="0" w:color="auto"/>
            </w:tcBorders>
            <w:shd w:val="clear" w:color="auto" w:fill="auto"/>
          </w:tcPr>
          <w:p w14:paraId="6A0E452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127" w:type="dxa"/>
            <w:shd w:val="clear" w:color="auto" w:fill="auto"/>
          </w:tcPr>
          <w:p w14:paraId="407ED7C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1383</w:t>
            </w:r>
          </w:p>
        </w:tc>
        <w:tc>
          <w:tcPr>
            <w:tcW w:w="1116" w:type="dxa"/>
            <w:shd w:val="clear" w:color="auto" w:fill="auto"/>
          </w:tcPr>
          <w:p w14:paraId="5D29EB5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262.44</w:t>
            </w:r>
          </w:p>
        </w:tc>
        <w:tc>
          <w:tcPr>
            <w:tcW w:w="703" w:type="dxa"/>
            <w:shd w:val="clear" w:color="auto" w:fill="auto"/>
          </w:tcPr>
          <w:p w14:paraId="2C36BCA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4AF02E2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311</w:t>
            </w:r>
          </w:p>
        </w:tc>
        <w:tc>
          <w:tcPr>
            <w:tcW w:w="1164" w:type="dxa"/>
            <w:shd w:val="clear" w:color="auto" w:fill="auto"/>
          </w:tcPr>
          <w:p w14:paraId="7B27860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640.22</w:t>
            </w:r>
          </w:p>
        </w:tc>
        <w:tc>
          <w:tcPr>
            <w:tcW w:w="1476" w:type="dxa"/>
            <w:shd w:val="clear" w:color="auto" w:fill="auto"/>
          </w:tcPr>
          <w:p w14:paraId="364E928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377.77***</w:t>
            </w:r>
          </w:p>
        </w:tc>
        <w:tc>
          <w:tcPr>
            <w:tcW w:w="888" w:type="dxa"/>
            <w:tcBorders>
              <w:right w:val="single" w:sz="4" w:space="0" w:color="auto"/>
            </w:tcBorders>
            <w:shd w:val="clear" w:color="auto" w:fill="auto"/>
          </w:tcPr>
          <w:p w14:paraId="7F588EA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11AB4746" w14:textId="77777777" w:rsidTr="009E69CE">
        <w:tc>
          <w:tcPr>
            <w:tcW w:w="1603" w:type="dxa"/>
            <w:tcBorders>
              <w:left w:val="single" w:sz="4" w:space="0" w:color="auto"/>
            </w:tcBorders>
            <w:shd w:val="clear" w:color="auto" w:fill="auto"/>
          </w:tcPr>
          <w:p w14:paraId="07D0CB5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127" w:type="dxa"/>
            <w:shd w:val="clear" w:color="auto" w:fill="auto"/>
          </w:tcPr>
          <w:p w14:paraId="7015944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1399</w:t>
            </w:r>
          </w:p>
        </w:tc>
        <w:tc>
          <w:tcPr>
            <w:tcW w:w="1116" w:type="dxa"/>
            <w:shd w:val="clear" w:color="auto" w:fill="auto"/>
          </w:tcPr>
          <w:p w14:paraId="06E6798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0.893</w:t>
            </w:r>
          </w:p>
        </w:tc>
        <w:tc>
          <w:tcPr>
            <w:tcW w:w="703" w:type="dxa"/>
            <w:shd w:val="clear" w:color="auto" w:fill="auto"/>
          </w:tcPr>
          <w:p w14:paraId="52D1151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3A24216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336    </w:t>
            </w:r>
          </w:p>
        </w:tc>
        <w:tc>
          <w:tcPr>
            <w:tcW w:w="1164" w:type="dxa"/>
            <w:shd w:val="clear" w:color="auto" w:fill="auto"/>
          </w:tcPr>
          <w:p w14:paraId="172134E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0.898</w:t>
            </w:r>
          </w:p>
        </w:tc>
        <w:tc>
          <w:tcPr>
            <w:tcW w:w="1476" w:type="dxa"/>
            <w:shd w:val="clear" w:color="auto" w:fill="auto"/>
          </w:tcPr>
          <w:p w14:paraId="6FF7FB6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w:t>
            </w:r>
          </w:p>
        </w:tc>
        <w:tc>
          <w:tcPr>
            <w:tcW w:w="888" w:type="dxa"/>
            <w:tcBorders>
              <w:right w:val="single" w:sz="4" w:space="0" w:color="auto"/>
            </w:tcBorders>
            <w:shd w:val="clear" w:color="auto" w:fill="auto"/>
          </w:tcPr>
          <w:p w14:paraId="17757F8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0.009</w:t>
            </w:r>
          </w:p>
        </w:tc>
      </w:tr>
      <w:tr w:rsidR="00880312" w:rsidRPr="00880312" w14:paraId="65118F0F" w14:textId="77777777" w:rsidTr="009E69CE">
        <w:tc>
          <w:tcPr>
            <w:tcW w:w="1603" w:type="dxa"/>
            <w:tcBorders>
              <w:left w:val="single" w:sz="4" w:space="0" w:color="auto"/>
            </w:tcBorders>
            <w:shd w:val="clear" w:color="auto" w:fill="auto"/>
          </w:tcPr>
          <w:p w14:paraId="72DA165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127" w:type="dxa"/>
            <w:shd w:val="clear" w:color="auto" w:fill="auto"/>
          </w:tcPr>
          <w:p w14:paraId="3398774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1414    </w:t>
            </w:r>
          </w:p>
        </w:tc>
        <w:tc>
          <w:tcPr>
            <w:tcW w:w="1116" w:type="dxa"/>
            <w:shd w:val="clear" w:color="auto" w:fill="auto"/>
          </w:tcPr>
          <w:p w14:paraId="7B25A18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0.8985</w:t>
            </w:r>
          </w:p>
        </w:tc>
        <w:tc>
          <w:tcPr>
            <w:tcW w:w="703" w:type="dxa"/>
            <w:shd w:val="clear" w:color="auto" w:fill="auto"/>
          </w:tcPr>
          <w:p w14:paraId="6DB1DE9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5BB4B26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366    </w:t>
            </w:r>
          </w:p>
        </w:tc>
        <w:tc>
          <w:tcPr>
            <w:tcW w:w="1164" w:type="dxa"/>
            <w:shd w:val="clear" w:color="auto" w:fill="auto"/>
          </w:tcPr>
          <w:p w14:paraId="3E2CDCC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0.8453</w:t>
            </w:r>
          </w:p>
        </w:tc>
        <w:tc>
          <w:tcPr>
            <w:tcW w:w="1476" w:type="dxa"/>
            <w:shd w:val="clear" w:color="auto" w:fill="auto"/>
          </w:tcPr>
          <w:p w14:paraId="5A1EA37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-0.0532</w:t>
            </w:r>
          </w:p>
        </w:tc>
        <w:tc>
          <w:tcPr>
            <w:tcW w:w="888" w:type="dxa"/>
            <w:tcBorders>
              <w:right w:val="single" w:sz="4" w:space="0" w:color="auto"/>
            </w:tcBorders>
            <w:shd w:val="clear" w:color="auto" w:fill="auto"/>
          </w:tcPr>
          <w:p w14:paraId="64712E7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0.224</w:t>
            </w:r>
          </w:p>
        </w:tc>
      </w:tr>
      <w:tr w:rsidR="00880312" w:rsidRPr="00880312" w14:paraId="754C4FA8" w14:textId="77777777" w:rsidTr="009E69CE">
        <w:tc>
          <w:tcPr>
            <w:tcW w:w="1603" w:type="dxa"/>
            <w:tcBorders>
              <w:left w:val="single" w:sz="4" w:space="0" w:color="auto"/>
            </w:tcBorders>
            <w:shd w:val="clear" w:color="auto" w:fill="auto"/>
          </w:tcPr>
          <w:p w14:paraId="6DAA12E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127" w:type="dxa"/>
            <w:shd w:val="clear" w:color="auto" w:fill="auto"/>
          </w:tcPr>
          <w:p w14:paraId="30A3392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1354    </w:t>
            </w:r>
          </w:p>
        </w:tc>
        <w:tc>
          <w:tcPr>
            <w:tcW w:w="1116" w:type="dxa"/>
            <w:shd w:val="clear" w:color="auto" w:fill="auto"/>
          </w:tcPr>
          <w:p w14:paraId="00D53B8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6.4071</w:t>
            </w:r>
          </w:p>
        </w:tc>
        <w:tc>
          <w:tcPr>
            <w:tcW w:w="703" w:type="dxa"/>
            <w:shd w:val="clear" w:color="auto" w:fill="auto"/>
          </w:tcPr>
          <w:p w14:paraId="0F589AA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5530F95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366    </w:t>
            </w:r>
          </w:p>
        </w:tc>
        <w:tc>
          <w:tcPr>
            <w:tcW w:w="1164" w:type="dxa"/>
            <w:shd w:val="clear" w:color="auto" w:fill="auto"/>
          </w:tcPr>
          <w:p w14:paraId="52DB592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6.2115</w:t>
            </w:r>
          </w:p>
        </w:tc>
        <w:tc>
          <w:tcPr>
            <w:tcW w:w="1476" w:type="dxa"/>
            <w:shd w:val="clear" w:color="auto" w:fill="auto"/>
          </w:tcPr>
          <w:p w14:paraId="43F953E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-0.1955***</w:t>
            </w:r>
          </w:p>
        </w:tc>
        <w:tc>
          <w:tcPr>
            <w:tcW w:w="888" w:type="dxa"/>
            <w:tcBorders>
              <w:right w:val="single" w:sz="4" w:space="0" w:color="auto"/>
            </w:tcBorders>
            <w:shd w:val="clear" w:color="auto" w:fill="auto"/>
          </w:tcPr>
          <w:p w14:paraId="4F150AC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0.005</w:t>
            </w:r>
          </w:p>
        </w:tc>
      </w:tr>
      <w:tr w:rsidR="00880312" w:rsidRPr="00880312" w14:paraId="6A4B55ED" w14:textId="77777777" w:rsidTr="009E69CE">
        <w:tc>
          <w:tcPr>
            <w:tcW w:w="1603" w:type="dxa"/>
            <w:tcBorders>
              <w:left w:val="single" w:sz="4" w:space="0" w:color="auto"/>
              <w:bottom w:val="single" w:sz="4" w:space="0" w:color="auto"/>
            </w:tcBorders>
            <w:shd w:val="clear" w:color="auto" w:fill="auto"/>
          </w:tcPr>
          <w:p w14:paraId="0B98E38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127" w:type="dxa"/>
            <w:tcBorders>
              <w:bottom w:val="single" w:sz="4" w:space="0" w:color="auto"/>
            </w:tcBorders>
            <w:shd w:val="clear" w:color="auto" w:fill="auto"/>
          </w:tcPr>
          <w:p w14:paraId="035DA9D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1384</w:t>
            </w:r>
          </w:p>
        </w:tc>
        <w:tc>
          <w:tcPr>
            <w:tcW w:w="1116" w:type="dxa"/>
            <w:tcBorders>
              <w:bottom w:val="single" w:sz="4" w:space="0" w:color="auto"/>
            </w:tcBorders>
            <w:shd w:val="clear" w:color="auto" w:fill="auto"/>
          </w:tcPr>
          <w:p w14:paraId="3B49FB0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12.455</w:t>
            </w:r>
          </w:p>
        </w:tc>
        <w:tc>
          <w:tcPr>
            <w:tcW w:w="703" w:type="dxa"/>
            <w:tcBorders>
              <w:bottom w:val="single" w:sz="4" w:space="0" w:color="auto"/>
            </w:tcBorders>
            <w:shd w:val="clear" w:color="auto" w:fill="auto"/>
          </w:tcPr>
          <w:p w14:paraId="2030AF9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tcBorders>
              <w:bottom w:val="single" w:sz="4" w:space="0" w:color="auto"/>
            </w:tcBorders>
            <w:shd w:val="clear" w:color="auto" w:fill="auto"/>
          </w:tcPr>
          <w:p w14:paraId="06CCD82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353</w:t>
            </w:r>
          </w:p>
        </w:tc>
        <w:tc>
          <w:tcPr>
            <w:tcW w:w="1164" w:type="dxa"/>
            <w:tcBorders>
              <w:bottom w:val="single" w:sz="4" w:space="0" w:color="auto"/>
            </w:tcBorders>
            <w:shd w:val="clear" w:color="auto" w:fill="auto"/>
          </w:tcPr>
          <w:p w14:paraId="7B8BF3C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12.150</w:t>
            </w:r>
          </w:p>
        </w:tc>
        <w:tc>
          <w:tcPr>
            <w:tcW w:w="1476" w:type="dxa"/>
            <w:tcBorders>
              <w:bottom w:val="single" w:sz="4" w:space="0" w:color="auto"/>
            </w:tcBorders>
            <w:shd w:val="clear" w:color="auto" w:fill="auto"/>
          </w:tcPr>
          <w:p w14:paraId="4314F7C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-0.304**</w:t>
            </w:r>
          </w:p>
        </w:tc>
        <w:tc>
          <w:tcPr>
            <w:tcW w:w="888" w:type="dxa"/>
            <w:tcBorders>
              <w:bottom w:val="single" w:sz="4" w:space="0" w:color="auto"/>
              <w:right w:val="single" w:sz="4" w:space="0" w:color="auto"/>
            </w:tcBorders>
            <w:shd w:val="clear" w:color="auto" w:fill="auto"/>
          </w:tcPr>
          <w:p w14:paraId="16738F4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0.062</w:t>
            </w:r>
          </w:p>
        </w:tc>
      </w:tr>
      <w:tr w:rsidR="00880312" w:rsidRPr="00880312" w14:paraId="699494CB" w14:textId="77777777" w:rsidTr="009E69CE">
        <w:tc>
          <w:tcPr>
            <w:tcW w:w="1603" w:type="dxa"/>
            <w:tcBorders>
              <w:top w:val="single" w:sz="4" w:space="0" w:color="auto"/>
              <w:left w:val="single" w:sz="4" w:space="0" w:color="auto"/>
            </w:tcBorders>
            <w:shd w:val="clear" w:color="auto" w:fill="auto"/>
          </w:tcPr>
          <w:p w14:paraId="672C5078" w14:textId="77777777" w:rsidR="00880312" w:rsidRPr="00880312" w:rsidRDefault="00880312" w:rsidP="00880312">
            <w:pPr>
              <w:spacing w:after="0" w:line="240" w:lineRule="auto"/>
              <w:rPr>
                <w:rFonts w:ascii="Calibri" w:eastAsia="Calibri" w:hAnsi="Calibri" w:cs="Arial"/>
                <w:color w:val="000000"/>
                <w:sz w:val="20"/>
                <w:szCs w:val="20"/>
              </w:rPr>
            </w:pPr>
          </w:p>
        </w:tc>
        <w:tc>
          <w:tcPr>
            <w:tcW w:w="1127" w:type="dxa"/>
            <w:tcBorders>
              <w:top w:val="single" w:sz="4" w:space="0" w:color="auto"/>
            </w:tcBorders>
            <w:shd w:val="clear" w:color="auto" w:fill="auto"/>
          </w:tcPr>
          <w:p w14:paraId="2A17F099" w14:textId="77777777" w:rsidR="00880312" w:rsidRPr="00880312" w:rsidRDefault="00880312" w:rsidP="00880312">
            <w:pPr>
              <w:spacing w:after="0" w:line="240" w:lineRule="auto"/>
              <w:rPr>
                <w:rFonts w:ascii="Calibri" w:eastAsia="Calibri" w:hAnsi="Calibri" w:cs="Arial"/>
                <w:color w:val="000000"/>
                <w:sz w:val="20"/>
                <w:szCs w:val="20"/>
              </w:rPr>
            </w:pPr>
          </w:p>
        </w:tc>
        <w:tc>
          <w:tcPr>
            <w:tcW w:w="1116" w:type="dxa"/>
            <w:tcBorders>
              <w:top w:val="single" w:sz="4" w:space="0" w:color="auto"/>
            </w:tcBorders>
            <w:shd w:val="clear" w:color="auto" w:fill="auto"/>
          </w:tcPr>
          <w:p w14:paraId="7375F1B9" w14:textId="77777777" w:rsidR="00880312" w:rsidRPr="00880312" w:rsidRDefault="00880312" w:rsidP="00880312">
            <w:pPr>
              <w:spacing w:after="0" w:line="240" w:lineRule="auto"/>
              <w:rPr>
                <w:rFonts w:ascii="Calibri" w:eastAsia="Calibri" w:hAnsi="Calibri" w:cs="Arial"/>
                <w:color w:val="000000"/>
                <w:sz w:val="20"/>
                <w:szCs w:val="20"/>
              </w:rPr>
            </w:pPr>
          </w:p>
        </w:tc>
        <w:tc>
          <w:tcPr>
            <w:tcW w:w="703" w:type="dxa"/>
            <w:tcBorders>
              <w:top w:val="single" w:sz="4" w:space="0" w:color="auto"/>
            </w:tcBorders>
            <w:shd w:val="clear" w:color="auto" w:fill="auto"/>
          </w:tcPr>
          <w:p w14:paraId="0EC745BD" w14:textId="77777777" w:rsidR="00880312" w:rsidRPr="00880312" w:rsidRDefault="00880312" w:rsidP="00880312">
            <w:pPr>
              <w:spacing w:after="0" w:line="240" w:lineRule="auto"/>
              <w:rPr>
                <w:rFonts w:ascii="Calibri" w:eastAsia="Calibri" w:hAnsi="Calibri" w:cs="Arial"/>
                <w:color w:val="000000"/>
                <w:sz w:val="20"/>
                <w:szCs w:val="20"/>
              </w:rPr>
            </w:pPr>
          </w:p>
        </w:tc>
        <w:tc>
          <w:tcPr>
            <w:tcW w:w="1125" w:type="dxa"/>
            <w:tcBorders>
              <w:top w:val="single" w:sz="4" w:space="0" w:color="auto"/>
            </w:tcBorders>
            <w:shd w:val="clear" w:color="auto" w:fill="auto"/>
          </w:tcPr>
          <w:p w14:paraId="0DCB1D22" w14:textId="77777777" w:rsidR="00880312" w:rsidRPr="00880312" w:rsidRDefault="00880312" w:rsidP="00880312">
            <w:pPr>
              <w:spacing w:after="0" w:line="240" w:lineRule="auto"/>
              <w:rPr>
                <w:rFonts w:ascii="Calibri" w:eastAsia="Calibri" w:hAnsi="Calibri" w:cs="Arial"/>
                <w:color w:val="000000"/>
                <w:sz w:val="20"/>
                <w:szCs w:val="20"/>
              </w:rPr>
            </w:pPr>
          </w:p>
        </w:tc>
        <w:tc>
          <w:tcPr>
            <w:tcW w:w="1164" w:type="dxa"/>
            <w:tcBorders>
              <w:top w:val="single" w:sz="4" w:space="0" w:color="auto"/>
            </w:tcBorders>
            <w:shd w:val="clear" w:color="auto" w:fill="auto"/>
          </w:tcPr>
          <w:p w14:paraId="4429610A" w14:textId="77777777" w:rsidR="00880312" w:rsidRPr="00880312" w:rsidRDefault="00880312" w:rsidP="00880312">
            <w:pPr>
              <w:spacing w:after="0" w:line="240" w:lineRule="auto"/>
              <w:rPr>
                <w:rFonts w:ascii="Calibri" w:eastAsia="Calibri" w:hAnsi="Calibri" w:cs="Arial"/>
                <w:color w:val="000000"/>
                <w:sz w:val="20"/>
                <w:szCs w:val="20"/>
              </w:rPr>
            </w:pPr>
          </w:p>
        </w:tc>
        <w:tc>
          <w:tcPr>
            <w:tcW w:w="1476" w:type="dxa"/>
            <w:tcBorders>
              <w:top w:val="single" w:sz="4" w:space="0" w:color="auto"/>
            </w:tcBorders>
            <w:shd w:val="clear" w:color="auto" w:fill="auto"/>
          </w:tcPr>
          <w:p w14:paraId="027CA59D" w14:textId="77777777" w:rsidR="00880312" w:rsidRPr="00880312" w:rsidRDefault="00880312" w:rsidP="00880312">
            <w:pPr>
              <w:spacing w:after="0" w:line="240" w:lineRule="auto"/>
              <w:rPr>
                <w:rFonts w:ascii="Calibri" w:eastAsia="Calibri" w:hAnsi="Calibri" w:cs="Arial"/>
                <w:color w:val="000000"/>
                <w:sz w:val="20"/>
                <w:szCs w:val="20"/>
              </w:rPr>
            </w:pPr>
          </w:p>
        </w:tc>
        <w:tc>
          <w:tcPr>
            <w:tcW w:w="888" w:type="dxa"/>
            <w:tcBorders>
              <w:top w:val="single" w:sz="4" w:space="0" w:color="auto"/>
              <w:right w:val="single" w:sz="4" w:space="0" w:color="auto"/>
            </w:tcBorders>
            <w:shd w:val="clear" w:color="auto" w:fill="auto"/>
          </w:tcPr>
          <w:p w14:paraId="02EA1782" w14:textId="77777777" w:rsidR="00880312" w:rsidRPr="00880312" w:rsidRDefault="00880312" w:rsidP="00880312">
            <w:pPr>
              <w:spacing w:after="0" w:line="240" w:lineRule="auto"/>
              <w:rPr>
                <w:rFonts w:ascii="Calibri" w:eastAsia="Calibri" w:hAnsi="Calibri" w:cs="Arial"/>
                <w:color w:val="000000"/>
                <w:sz w:val="20"/>
                <w:szCs w:val="20"/>
              </w:rPr>
            </w:pPr>
          </w:p>
        </w:tc>
      </w:tr>
      <w:tr w:rsidR="00880312" w:rsidRPr="00880312" w14:paraId="16A16C1A" w14:textId="77777777" w:rsidTr="009E69CE">
        <w:tc>
          <w:tcPr>
            <w:tcW w:w="1603" w:type="dxa"/>
            <w:tcBorders>
              <w:left w:val="single" w:sz="4" w:space="0" w:color="auto"/>
              <w:bottom w:val="single" w:sz="4" w:space="0" w:color="auto"/>
            </w:tcBorders>
            <w:shd w:val="clear" w:color="auto" w:fill="auto"/>
          </w:tcPr>
          <w:p w14:paraId="041D13ED" w14:textId="77777777" w:rsidR="00880312" w:rsidRPr="00880312" w:rsidRDefault="00880312" w:rsidP="00880312">
            <w:pPr>
              <w:spacing w:after="0" w:line="240" w:lineRule="auto"/>
              <w:rPr>
                <w:rFonts w:ascii="Calibri" w:eastAsia="Calibri" w:hAnsi="Calibri" w:cs="Arial"/>
                <w:color w:val="000000"/>
                <w:sz w:val="20"/>
                <w:szCs w:val="20"/>
              </w:rPr>
            </w:pPr>
          </w:p>
        </w:tc>
        <w:tc>
          <w:tcPr>
            <w:tcW w:w="1127" w:type="dxa"/>
            <w:tcBorders>
              <w:bottom w:val="single" w:sz="4" w:space="0" w:color="auto"/>
            </w:tcBorders>
            <w:shd w:val="clear" w:color="auto" w:fill="auto"/>
          </w:tcPr>
          <w:p w14:paraId="6A92114F" w14:textId="77777777" w:rsidR="00880312" w:rsidRPr="00880312" w:rsidRDefault="00880312" w:rsidP="00880312">
            <w:pPr>
              <w:spacing w:after="0" w:line="240" w:lineRule="auto"/>
              <w:rPr>
                <w:rFonts w:ascii="Calibri" w:eastAsia="Calibri" w:hAnsi="Calibri" w:cs="Arial"/>
                <w:color w:val="000000"/>
                <w:sz w:val="20"/>
                <w:szCs w:val="20"/>
              </w:rPr>
            </w:pPr>
          </w:p>
        </w:tc>
        <w:tc>
          <w:tcPr>
            <w:tcW w:w="1116" w:type="dxa"/>
            <w:tcBorders>
              <w:bottom w:val="single" w:sz="4" w:space="0" w:color="auto"/>
            </w:tcBorders>
            <w:shd w:val="clear" w:color="auto" w:fill="auto"/>
          </w:tcPr>
          <w:p w14:paraId="00AEF5F8" w14:textId="77777777" w:rsidR="00880312" w:rsidRPr="00880312" w:rsidRDefault="00880312" w:rsidP="00880312">
            <w:pPr>
              <w:spacing w:after="0" w:line="240" w:lineRule="auto"/>
              <w:rPr>
                <w:rFonts w:ascii="Calibri" w:eastAsia="Calibri" w:hAnsi="Calibri" w:cs="Arial"/>
                <w:color w:val="000000"/>
                <w:sz w:val="20"/>
                <w:szCs w:val="20"/>
              </w:rPr>
            </w:pPr>
          </w:p>
        </w:tc>
        <w:tc>
          <w:tcPr>
            <w:tcW w:w="703" w:type="dxa"/>
            <w:tcBorders>
              <w:bottom w:val="single" w:sz="4" w:space="0" w:color="auto"/>
            </w:tcBorders>
            <w:shd w:val="clear" w:color="auto" w:fill="auto"/>
          </w:tcPr>
          <w:p w14:paraId="531EDEA5" w14:textId="77777777" w:rsidR="00880312" w:rsidRPr="00880312" w:rsidRDefault="00880312" w:rsidP="00880312">
            <w:pPr>
              <w:spacing w:after="0" w:line="240" w:lineRule="auto"/>
              <w:rPr>
                <w:rFonts w:ascii="Calibri" w:eastAsia="Calibri" w:hAnsi="Calibri" w:cs="Arial"/>
                <w:color w:val="000000"/>
                <w:sz w:val="20"/>
                <w:szCs w:val="20"/>
              </w:rPr>
            </w:pPr>
          </w:p>
        </w:tc>
        <w:tc>
          <w:tcPr>
            <w:tcW w:w="1125" w:type="dxa"/>
            <w:tcBorders>
              <w:bottom w:val="single" w:sz="4" w:space="0" w:color="auto"/>
            </w:tcBorders>
            <w:shd w:val="clear" w:color="auto" w:fill="auto"/>
          </w:tcPr>
          <w:p w14:paraId="62503895" w14:textId="77777777" w:rsidR="00880312" w:rsidRPr="00880312" w:rsidRDefault="00880312" w:rsidP="00880312">
            <w:pPr>
              <w:spacing w:after="0" w:line="240" w:lineRule="auto"/>
              <w:rPr>
                <w:rFonts w:ascii="Calibri" w:eastAsia="Calibri" w:hAnsi="Calibri" w:cs="Arial"/>
                <w:color w:val="000000"/>
                <w:sz w:val="20"/>
                <w:szCs w:val="20"/>
              </w:rPr>
            </w:pPr>
          </w:p>
        </w:tc>
        <w:tc>
          <w:tcPr>
            <w:tcW w:w="1164" w:type="dxa"/>
            <w:tcBorders>
              <w:bottom w:val="single" w:sz="4" w:space="0" w:color="auto"/>
            </w:tcBorders>
            <w:shd w:val="clear" w:color="auto" w:fill="auto"/>
          </w:tcPr>
          <w:p w14:paraId="3A978CDD" w14:textId="77777777" w:rsidR="00880312" w:rsidRPr="00880312" w:rsidRDefault="00880312" w:rsidP="00880312">
            <w:pPr>
              <w:spacing w:after="0" w:line="240" w:lineRule="auto"/>
              <w:rPr>
                <w:rFonts w:ascii="Calibri" w:eastAsia="Calibri" w:hAnsi="Calibri" w:cs="Arial"/>
                <w:color w:val="000000"/>
                <w:sz w:val="20"/>
                <w:szCs w:val="20"/>
              </w:rPr>
            </w:pPr>
          </w:p>
        </w:tc>
        <w:tc>
          <w:tcPr>
            <w:tcW w:w="1476" w:type="dxa"/>
            <w:tcBorders>
              <w:bottom w:val="single" w:sz="4" w:space="0" w:color="auto"/>
            </w:tcBorders>
            <w:shd w:val="clear" w:color="auto" w:fill="auto"/>
          </w:tcPr>
          <w:p w14:paraId="6303C0DE" w14:textId="77777777" w:rsidR="00880312" w:rsidRPr="00880312" w:rsidRDefault="00880312" w:rsidP="00880312">
            <w:pPr>
              <w:spacing w:after="0" w:line="240" w:lineRule="auto"/>
              <w:rPr>
                <w:rFonts w:ascii="Calibri" w:eastAsia="Calibri" w:hAnsi="Calibri" w:cs="Arial"/>
                <w:color w:val="000000"/>
                <w:sz w:val="20"/>
                <w:szCs w:val="20"/>
              </w:rPr>
            </w:pPr>
          </w:p>
        </w:tc>
        <w:tc>
          <w:tcPr>
            <w:tcW w:w="888" w:type="dxa"/>
            <w:tcBorders>
              <w:bottom w:val="single" w:sz="4" w:space="0" w:color="auto"/>
              <w:right w:val="single" w:sz="4" w:space="0" w:color="auto"/>
            </w:tcBorders>
            <w:shd w:val="clear" w:color="auto" w:fill="auto"/>
          </w:tcPr>
          <w:p w14:paraId="220AE289" w14:textId="77777777" w:rsidR="00880312" w:rsidRPr="00880312" w:rsidRDefault="00880312" w:rsidP="00880312">
            <w:pPr>
              <w:spacing w:after="0" w:line="240" w:lineRule="auto"/>
              <w:rPr>
                <w:rFonts w:ascii="Calibri" w:eastAsia="Calibri" w:hAnsi="Calibri" w:cs="Arial"/>
                <w:color w:val="000000"/>
                <w:sz w:val="20"/>
                <w:szCs w:val="20"/>
              </w:rPr>
            </w:pPr>
          </w:p>
        </w:tc>
      </w:tr>
      <w:tr w:rsidR="00880312" w:rsidRPr="00880312" w14:paraId="76C5ABAC" w14:textId="77777777" w:rsidTr="009E69CE">
        <w:tc>
          <w:tcPr>
            <w:tcW w:w="8314" w:type="dxa"/>
            <w:gridSpan w:val="7"/>
            <w:tcBorders>
              <w:top w:val="single" w:sz="4" w:space="0" w:color="auto"/>
              <w:left w:val="single" w:sz="4" w:space="0" w:color="auto"/>
              <w:bottom w:val="single" w:sz="4" w:space="0" w:color="auto"/>
            </w:tcBorders>
            <w:shd w:val="clear" w:color="auto" w:fill="auto"/>
          </w:tcPr>
          <w:p w14:paraId="49BCDC1D" w14:textId="77777777" w:rsidR="00880312" w:rsidRPr="00880312" w:rsidRDefault="00880312" w:rsidP="00880312">
            <w:pPr>
              <w:spacing w:after="0" w:line="240" w:lineRule="auto"/>
              <w:rPr>
                <w:rFonts w:ascii="Times New Roman" w:eastAsia="Calibri" w:hAnsi="Times New Roman" w:cs="Times New Roman"/>
                <w:b/>
                <w:bCs/>
                <w:color w:val="000000"/>
                <w:sz w:val="20"/>
                <w:szCs w:val="20"/>
              </w:rPr>
            </w:pPr>
            <w:r w:rsidRPr="00880312">
              <w:rPr>
                <w:rFonts w:ascii="Times New Roman" w:eastAsia="Calibri" w:hAnsi="Times New Roman" w:cs="Times New Roman"/>
                <w:b/>
                <w:bCs/>
                <w:color w:val="000000"/>
                <w:sz w:val="20"/>
                <w:szCs w:val="20"/>
              </w:rPr>
              <w:t>Panel B: Fraction of female directors (median split)</w:t>
            </w:r>
          </w:p>
        </w:tc>
        <w:tc>
          <w:tcPr>
            <w:tcW w:w="888" w:type="dxa"/>
            <w:tcBorders>
              <w:top w:val="single" w:sz="4" w:space="0" w:color="auto"/>
              <w:bottom w:val="single" w:sz="4" w:space="0" w:color="auto"/>
              <w:right w:val="single" w:sz="4" w:space="0" w:color="auto"/>
            </w:tcBorders>
            <w:shd w:val="clear" w:color="auto" w:fill="auto"/>
          </w:tcPr>
          <w:p w14:paraId="6D5526FD" w14:textId="77777777" w:rsidR="00880312" w:rsidRPr="00880312" w:rsidRDefault="00880312" w:rsidP="00880312">
            <w:pPr>
              <w:spacing w:after="0" w:line="240" w:lineRule="auto"/>
              <w:rPr>
                <w:rFonts w:ascii="Calibri" w:eastAsia="Calibri" w:hAnsi="Calibri" w:cs="Arial"/>
                <w:color w:val="000000"/>
                <w:sz w:val="20"/>
                <w:szCs w:val="20"/>
              </w:rPr>
            </w:pPr>
          </w:p>
        </w:tc>
      </w:tr>
      <w:tr w:rsidR="00880312" w:rsidRPr="00880312" w14:paraId="2D5D13B7" w14:textId="77777777" w:rsidTr="009E69CE">
        <w:tc>
          <w:tcPr>
            <w:tcW w:w="1603" w:type="dxa"/>
            <w:tcBorders>
              <w:top w:val="single" w:sz="4" w:space="0" w:color="auto"/>
              <w:left w:val="single" w:sz="4" w:space="0" w:color="auto"/>
              <w:bottom w:val="single" w:sz="4" w:space="0" w:color="auto"/>
            </w:tcBorders>
            <w:shd w:val="clear" w:color="auto" w:fill="auto"/>
          </w:tcPr>
          <w:p w14:paraId="1857D7C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2243" w:type="dxa"/>
            <w:gridSpan w:val="2"/>
            <w:tcBorders>
              <w:top w:val="single" w:sz="4" w:space="0" w:color="auto"/>
              <w:bottom w:val="single" w:sz="4" w:space="0" w:color="auto"/>
            </w:tcBorders>
            <w:shd w:val="clear" w:color="auto" w:fill="auto"/>
          </w:tcPr>
          <w:p w14:paraId="7CFCBAB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High % of Female Directors</w:t>
            </w:r>
          </w:p>
        </w:tc>
        <w:tc>
          <w:tcPr>
            <w:tcW w:w="703" w:type="dxa"/>
            <w:tcBorders>
              <w:top w:val="single" w:sz="4" w:space="0" w:color="auto"/>
              <w:bottom w:val="single" w:sz="4" w:space="0" w:color="auto"/>
            </w:tcBorders>
            <w:shd w:val="clear" w:color="auto" w:fill="auto"/>
          </w:tcPr>
          <w:p w14:paraId="0694C44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2289" w:type="dxa"/>
            <w:gridSpan w:val="2"/>
            <w:tcBorders>
              <w:top w:val="single" w:sz="4" w:space="0" w:color="auto"/>
              <w:bottom w:val="single" w:sz="4" w:space="0" w:color="auto"/>
            </w:tcBorders>
            <w:shd w:val="clear" w:color="auto" w:fill="auto"/>
          </w:tcPr>
          <w:p w14:paraId="143A5C3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Low % of Female Directors</w:t>
            </w:r>
          </w:p>
        </w:tc>
        <w:tc>
          <w:tcPr>
            <w:tcW w:w="2364" w:type="dxa"/>
            <w:gridSpan w:val="2"/>
            <w:tcBorders>
              <w:top w:val="single" w:sz="4" w:space="0" w:color="auto"/>
              <w:bottom w:val="single" w:sz="4" w:space="0" w:color="auto"/>
              <w:right w:val="single" w:sz="4" w:space="0" w:color="auto"/>
            </w:tcBorders>
            <w:shd w:val="clear" w:color="auto" w:fill="auto"/>
          </w:tcPr>
          <w:p w14:paraId="1DF078F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Difference</w:t>
            </w:r>
          </w:p>
        </w:tc>
      </w:tr>
      <w:tr w:rsidR="00880312" w:rsidRPr="00880312" w14:paraId="30D0CDE5" w14:textId="77777777" w:rsidTr="009E69CE">
        <w:tc>
          <w:tcPr>
            <w:tcW w:w="1603" w:type="dxa"/>
            <w:tcBorders>
              <w:top w:val="single" w:sz="4" w:space="0" w:color="auto"/>
              <w:left w:val="single" w:sz="4" w:space="0" w:color="auto"/>
            </w:tcBorders>
            <w:shd w:val="clear" w:color="auto" w:fill="auto"/>
          </w:tcPr>
          <w:p w14:paraId="66CA1C9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0" w:type="dxa"/>
            <w:tcBorders>
              <w:top w:val="single" w:sz="4" w:space="0" w:color="auto"/>
            </w:tcBorders>
            <w:shd w:val="clear" w:color="auto" w:fill="auto"/>
          </w:tcPr>
          <w:p w14:paraId="72B8714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N</w:t>
            </w:r>
          </w:p>
        </w:tc>
        <w:tc>
          <w:tcPr>
            <w:tcW w:w="1123" w:type="dxa"/>
            <w:tcBorders>
              <w:top w:val="single" w:sz="4" w:space="0" w:color="auto"/>
            </w:tcBorders>
            <w:shd w:val="clear" w:color="auto" w:fill="auto"/>
          </w:tcPr>
          <w:p w14:paraId="28DF6EA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Mean</w:t>
            </w:r>
          </w:p>
        </w:tc>
        <w:tc>
          <w:tcPr>
            <w:tcW w:w="703" w:type="dxa"/>
            <w:tcBorders>
              <w:top w:val="single" w:sz="4" w:space="0" w:color="auto"/>
            </w:tcBorders>
            <w:shd w:val="clear" w:color="auto" w:fill="auto"/>
          </w:tcPr>
          <w:p w14:paraId="1EA4512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44" w:type="dxa"/>
            <w:tcBorders>
              <w:top w:val="single" w:sz="4" w:space="0" w:color="auto"/>
            </w:tcBorders>
            <w:shd w:val="clear" w:color="auto" w:fill="auto"/>
          </w:tcPr>
          <w:p w14:paraId="20C9711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N</w:t>
            </w:r>
          </w:p>
        </w:tc>
        <w:tc>
          <w:tcPr>
            <w:tcW w:w="1145" w:type="dxa"/>
            <w:tcBorders>
              <w:top w:val="single" w:sz="4" w:space="0" w:color="auto"/>
            </w:tcBorders>
            <w:shd w:val="clear" w:color="auto" w:fill="auto"/>
          </w:tcPr>
          <w:p w14:paraId="6B04AD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Mean</w:t>
            </w:r>
          </w:p>
        </w:tc>
        <w:tc>
          <w:tcPr>
            <w:tcW w:w="1476" w:type="dxa"/>
            <w:tcBorders>
              <w:top w:val="single" w:sz="4" w:space="0" w:color="auto"/>
            </w:tcBorders>
            <w:shd w:val="clear" w:color="auto" w:fill="auto"/>
          </w:tcPr>
          <w:p w14:paraId="2D83533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Mean</w:t>
            </w:r>
          </w:p>
        </w:tc>
        <w:tc>
          <w:tcPr>
            <w:tcW w:w="888" w:type="dxa"/>
            <w:tcBorders>
              <w:top w:val="single" w:sz="4" w:space="0" w:color="auto"/>
              <w:right w:val="single" w:sz="4" w:space="0" w:color="auto"/>
            </w:tcBorders>
            <w:shd w:val="clear" w:color="auto" w:fill="auto"/>
          </w:tcPr>
          <w:p w14:paraId="221C400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P-Value</w:t>
            </w:r>
          </w:p>
        </w:tc>
      </w:tr>
      <w:tr w:rsidR="00880312" w:rsidRPr="00880312" w14:paraId="07BFF513" w14:textId="77777777" w:rsidTr="009E69CE">
        <w:tc>
          <w:tcPr>
            <w:tcW w:w="1603" w:type="dxa"/>
            <w:tcBorders>
              <w:left w:val="single" w:sz="4" w:space="0" w:color="auto"/>
            </w:tcBorders>
            <w:shd w:val="clear" w:color="auto" w:fill="auto"/>
          </w:tcPr>
          <w:p w14:paraId="5577880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127" w:type="dxa"/>
            <w:shd w:val="clear" w:color="auto" w:fill="auto"/>
          </w:tcPr>
          <w:p w14:paraId="65A988F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916</w:t>
            </w:r>
          </w:p>
        </w:tc>
        <w:tc>
          <w:tcPr>
            <w:tcW w:w="1116" w:type="dxa"/>
            <w:shd w:val="clear" w:color="auto" w:fill="auto"/>
          </w:tcPr>
          <w:p w14:paraId="33F78C0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1.4271</w:t>
            </w:r>
          </w:p>
        </w:tc>
        <w:tc>
          <w:tcPr>
            <w:tcW w:w="703" w:type="dxa"/>
            <w:shd w:val="clear" w:color="auto" w:fill="auto"/>
          </w:tcPr>
          <w:p w14:paraId="3AC483E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2005CD3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822 </w:t>
            </w:r>
          </w:p>
        </w:tc>
        <w:tc>
          <w:tcPr>
            <w:tcW w:w="1164" w:type="dxa"/>
            <w:shd w:val="clear" w:color="auto" w:fill="auto"/>
          </w:tcPr>
          <w:p w14:paraId="199EF16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1.2347</w:t>
            </w:r>
          </w:p>
        </w:tc>
        <w:tc>
          <w:tcPr>
            <w:tcW w:w="1476" w:type="dxa"/>
            <w:shd w:val="clear" w:color="auto" w:fill="auto"/>
          </w:tcPr>
          <w:p w14:paraId="019FD34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-0.1896***</w:t>
            </w:r>
          </w:p>
        </w:tc>
        <w:tc>
          <w:tcPr>
            <w:tcW w:w="888" w:type="dxa"/>
            <w:tcBorders>
              <w:right w:val="single" w:sz="4" w:space="0" w:color="auto"/>
            </w:tcBorders>
            <w:shd w:val="clear" w:color="auto" w:fill="auto"/>
          </w:tcPr>
          <w:p w14:paraId="6B7878D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1E9BFEDD" w14:textId="77777777" w:rsidTr="009E69CE">
        <w:tc>
          <w:tcPr>
            <w:tcW w:w="1603" w:type="dxa"/>
            <w:tcBorders>
              <w:left w:val="single" w:sz="4" w:space="0" w:color="auto"/>
            </w:tcBorders>
            <w:shd w:val="clear" w:color="auto" w:fill="auto"/>
          </w:tcPr>
          <w:p w14:paraId="6A297E6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Credit Risk</w:t>
            </w:r>
          </w:p>
        </w:tc>
        <w:tc>
          <w:tcPr>
            <w:tcW w:w="1127" w:type="dxa"/>
            <w:shd w:val="clear" w:color="auto" w:fill="auto"/>
          </w:tcPr>
          <w:p w14:paraId="54E2ADC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909  </w:t>
            </w:r>
          </w:p>
        </w:tc>
        <w:tc>
          <w:tcPr>
            <w:tcW w:w="1116" w:type="dxa"/>
            <w:shd w:val="clear" w:color="auto" w:fill="auto"/>
          </w:tcPr>
          <w:p w14:paraId="173170E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w:t>
            </w:r>
          </w:p>
        </w:tc>
        <w:tc>
          <w:tcPr>
            <w:tcW w:w="703" w:type="dxa"/>
            <w:shd w:val="clear" w:color="auto" w:fill="auto"/>
          </w:tcPr>
          <w:p w14:paraId="5EC51DF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4B1A801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803 </w:t>
            </w:r>
          </w:p>
        </w:tc>
        <w:tc>
          <w:tcPr>
            <w:tcW w:w="1164" w:type="dxa"/>
            <w:shd w:val="clear" w:color="auto" w:fill="auto"/>
          </w:tcPr>
          <w:p w14:paraId="52B0CE8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0.012</w:t>
            </w:r>
          </w:p>
        </w:tc>
        <w:tc>
          <w:tcPr>
            <w:tcW w:w="1476" w:type="dxa"/>
            <w:shd w:val="clear" w:color="auto" w:fill="auto"/>
          </w:tcPr>
          <w:p w14:paraId="63EF87D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w:t>
            </w:r>
          </w:p>
        </w:tc>
        <w:tc>
          <w:tcPr>
            <w:tcW w:w="888" w:type="dxa"/>
            <w:tcBorders>
              <w:right w:val="single" w:sz="4" w:space="0" w:color="auto"/>
            </w:tcBorders>
            <w:shd w:val="clear" w:color="auto" w:fill="auto"/>
          </w:tcPr>
          <w:p w14:paraId="773A9CB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0.012</w:t>
            </w:r>
          </w:p>
        </w:tc>
      </w:tr>
      <w:tr w:rsidR="00880312" w:rsidRPr="00880312" w14:paraId="61502FA0" w14:textId="77777777" w:rsidTr="009E69CE">
        <w:tc>
          <w:tcPr>
            <w:tcW w:w="1603" w:type="dxa"/>
            <w:tcBorders>
              <w:left w:val="single" w:sz="4" w:space="0" w:color="auto"/>
            </w:tcBorders>
            <w:shd w:val="clear" w:color="auto" w:fill="auto"/>
          </w:tcPr>
          <w:p w14:paraId="618D360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Indp_Director</w:t>
            </w:r>
          </w:p>
        </w:tc>
        <w:tc>
          <w:tcPr>
            <w:tcW w:w="1127" w:type="dxa"/>
            <w:shd w:val="clear" w:color="auto" w:fill="auto"/>
          </w:tcPr>
          <w:p w14:paraId="015EB14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939    </w:t>
            </w:r>
          </w:p>
        </w:tc>
        <w:tc>
          <w:tcPr>
            <w:tcW w:w="1116" w:type="dxa"/>
            <w:shd w:val="clear" w:color="auto" w:fill="auto"/>
          </w:tcPr>
          <w:p w14:paraId="28C347C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0.7987</w:t>
            </w:r>
          </w:p>
        </w:tc>
        <w:tc>
          <w:tcPr>
            <w:tcW w:w="703" w:type="dxa"/>
            <w:shd w:val="clear" w:color="auto" w:fill="auto"/>
          </w:tcPr>
          <w:p w14:paraId="66A69C5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20C8167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841    </w:t>
            </w:r>
          </w:p>
        </w:tc>
        <w:tc>
          <w:tcPr>
            <w:tcW w:w="1164" w:type="dxa"/>
            <w:shd w:val="clear" w:color="auto" w:fill="auto"/>
          </w:tcPr>
          <w:p w14:paraId="3712FAE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0.7495</w:t>
            </w:r>
          </w:p>
        </w:tc>
        <w:tc>
          <w:tcPr>
            <w:tcW w:w="1476" w:type="dxa"/>
            <w:shd w:val="clear" w:color="auto" w:fill="auto"/>
          </w:tcPr>
          <w:p w14:paraId="6E30F6D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-0.0492***</w:t>
            </w:r>
          </w:p>
        </w:tc>
        <w:tc>
          <w:tcPr>
            <w:tcW w:w="888" w:type="dxa"/>
            <w:tcBorders>
              <w:right w:val="single" w:sz="4" w:space="0" w:color="auto"/>
            </w:tcBorders>
            <w:shd w:val="clear" w:color="auto" w:fill="auto"/>
          </w:tcPr>
          <w:p w14:paraId="677A7E6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09840549" w14:textId="77777777" w:rsidTr="009E69CE">
        <w:tc>
          <w:tcPr>
            <w:tcW w:w="1603" w:type="dxa"/>
            <w:tcBorders>
              <w:left w:val="single" w:sz="4" w:space="0" w:color="auto"/>
            </w:tcBorders>
            <w:shd w:val="clear" w:color="auto" w:fill="auto"/>
          </w:tcPr>
          <w:p w14:paraId="5C3FF0C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127" w:type="dxa"/>
            <w:shd w:val="clear" w:color="auto" w:fill="auto"/>
          </w:tcPr>
          <w:p w14:paraId="1C04F27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939    </w:t>
            </w:r>
          </w:p>
        </w:tc>
        <w:tc>
          <w:tcPr>
            <w:tcW w:w="1116" w:type="dxa"/>
            <w:shd w:val="clear" w:color="auto" w:fill="auto"/>
          </w:tcPr>
          <w:p w14:paraId="04D66F7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2.5462</w:t>
            </w:r>
          </w:p>
        </w:tc>
        <w:tc>
          <w:tcPr>
            <w:tcW w:w="703" w:type="dxa"/>
            <w:shd w:val="clear" w:color="auto" w:fill="auto"/>
          </w:tcPr>
          <w:p w14:paraId="317FC0F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0D1B74B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841    </w:t>
            </w:r>
          </w:p>
        </w:tc>
        <w:tc>
          <w:tcPr>
            <w:tcW w:w="1164" w:type="dxa"/>
            <w:shd w:val="clear" w:color="auto" w:fill="auto"/>
          </w:tcPr>
          <w:p w14:paraId="7158686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2.5158</w:t>
            </w:r>
          </w:p>
        </w:tc>
        <w:tc>
          <w:tcPr>
            <w:tcW w:w="1476" w:type="dxa"/>
            <w:shd w:val="clear" w:color="auto" w:fill="auto"/>
          </w:tcPr>
          <w:p w14:paraId="67AA9A9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-0.0303***</w:t>
            </w:r>
          </w:p>
        </w:tc>
        <w:tc>
          <w:tcPr>
            <w:tcW w:w="888" w:type="dxa"/>
            <w:tcBorders>
              <w:right w:val="single" w:sz="4" w:space="0" w:color="auto"/>
            </w:tcBorders>
            <w:shd w:val="clear" w:color="auto" w:fill="auto"/>
          </w:tcPr>
          <w:p w14:paraId="16F9D59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0.023</w:t>
            </w:r>
          </w:p>
        </w:tc>
      </w:tr>
      <w:tr w:rsidR="00880312" w:rsidRPr="00880312" w14:paraId="339C9672" w14:textId="77777777" w:rsidTr="009E69CE">
        <w:tc>
          <w:tcPr>
            <w:tcW w:w="1603" w:type="dxa"/>
            <w:tcBorders>
              <w:left w:val="single" w:sz="4" w:space="0" w:color="auto"/>
            </w:tcBorders>
            <w:shd w:val="clear" w:color="auto" w:fill="auto"/>
          </w:tcPr>
          <w:p w14:paraId="28CB65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127" w:type="dxa"/>
            <w:shd w:val="clear" w:color="auto" w:fill="auto"/>
          </w:tcPr>
          <w:p w14:paraId="1E0406F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924    </w:t>
            </w:r>
          </w:p>
        </w:tc>
        <w:tc>
          <w:tcPr>
            <w:tcW w:w="1116" w:type="dxa"/>
            <w:shd w:val="clear" w:color="auto" w:fill="auto"/>
          </w:tcPr>
          <w:p w14:paraId="1B8B769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9.4423</w:t>
            </w:r>
          </w:p>
        </w:tc>
        <w:tc>
          <w:tcPr>
            <w:tcW w:w="703" w:type="dxa"/>
            <w:shd w:val="clear" w:color="auto" w:fill="auto"/>
          </w:tcPr>
          <w:p w14:paraId="505232C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7C741DD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837    </w:t>
            </w:r>
          </w:p>
        </w:tc>
        <w:tc>
          <w:tcPr>
            <w:tcW w:w="1164" w:type="dxa"/>
            <w:shd w:val="clear" w:color="auto" w:fill="auto"/>
          </w:tcPr>
          <w:p w14:paraId="0DAAB25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9.1573</w:t>
            </w:r>
          </w:p>
        </w:tc>
        <w:tc>
          <w:tcPr>
            <w:tcW w:w="1476" w:type="dxa"/>
            <w:shd w:val="clear" w:color="auto" w:fill="auto"/>
          </w:tcPr>
          <w:p w14:paraId="6889055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-0.2850***</w:t>
            </w:r>
          </w:p>
        </w:tc>
        <w:tc>
          <w:tcPr>
            <w:tcW w:w="888" w:type="dxa"/>
            <w:tcBorders>
              <w:right w:val="single" w:sz="4" w:space="0" w:color="auto"/>
            </w:tcBorders>
            <w:shd w:val="clear" w:color="auto" w:fill="auto"/>
          </w:tcPr>
          <w:p w14:paraId="6B9E512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w:t>
            </w:r>
          </w:p>
        </w:tc>
      </w:tr>
      <w:tr w:rsidR="00880312" w:rsidRPr="00880312" w14:paraId="4DA026BB" w14:textId="77777777" w:rsidTr="009E69CE">
        <w:tc>
          <w:tcPr>
            <w:tcW w:w="1603" w:type="dxa"/>
            <w:tcBorders>
              <w:left w:val="single" w:sz="4" w:space="0" w:color="auto"/>
            </w:tcBorders>
            <w:shd w:val="clear" w:color="auto" w:fill="auto"/>
          </w:tcPr>
          <w:p w14:paraId="1944535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127" w:type="dxa"/>
            <w:shd w:val="clear" w:color="auto" w:fill="auto"/>
          </w:tcPr>
          <w:p w14:paraId="6D3D950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899    </w:t>
            </w:r>
          </w:p>
        </w:tc>
        <w:tc>
          <w:tcPr>
            <w:tcW w:w="1116" w:type="dxa"/>
            <w:shd w:val="clear" w:color="auto" w:fill="auto"/>
          </w:tcPr>
          <w:p w14:paraId="6E8B33B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345.038</w:t>
            </w:r>
          </w:p>
        </w:tc>
        <w:tc>
          <w:tcPr>
            <w:tcW w:w="703" w:type="dxa"/>
            <w:shd w:val="clear" w:color="auto" w:fill="auto"/>
          </w:tcPr>
          <w:p w14:paraId="6D4CBFC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3466720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784 </w:t>
            </w:r>
          </w:p>
        </w:tc>
        <w:tc>
          <w:tcPr>
            <w:tcW w:w="1164" w:type="dxa"/>
            <w:shd w:val="clear" w:color="auto" w:fill="auto"/>
          </w:tcPr>
          <w:p w14:paraId="5931B26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317.59</w:t>
            </w:r>
          </w:p>
        </w:tc>
        <w:tc>
          <w:tcPr>
            <w:tcW w:w="1476" w:type="dxa"/>
            <w:shd w:val="clear" w:color="auto" w:fill="auto"/>
          </w:tcPr>
          <w:p w14:paraId="6295681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-27.4336</w:t>
            </w:r>
          </w:p>
        </w:tc>
        <w:tc>
          <w:tcPr>
            <w:tcW w:w="888" w:type="dxa"/>
            <w:tcBorders>
              <w:right w:val="single" w:sz="4" w:space="0" w:color="auto"/>
            </w:tcBorders>
            <w:shd w:val="clear" w:color="auto" w:fill="auto"/>
          </w:tcPr>
          <w:p w14:paraId="18C80CC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0.614</w:t>
            </w:r>
          </w:p>
        </w:tc>
      </w:tr>
      <w:tr w:rsidR="00880312" w:rsidRPr="00880312" w14:paraId="2A367781" w14:textId="77777777" w:rsidTr="009E69CE">
        <w:tc>
          <w:tcPr>
            <w:tcW w:w="1603" w:type="dxa"/>
            <w:tcBorders>
              <w:left w:val="single" w:sz="4" w:space="0" w:color="auto"/>
            </w:tcBorders>
            <w:shd w:val="clear" w:color="auto" w:fill="auto"/>
          </w:tcPr>
          <w:p w14:paraId="13FAC35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127" w:type="dxa"/>
            <w:shd w:val="clear" w:color="auto" w:fill="auto"/>
          </w:tcPr>
          <w:p w14:paraId="1625315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924   </w:t>
            </w:r>
          </w:p>
        </w:tc>
        <w:tc>
          <w:tcPr>
            <w:tcW w:w="1116" w:type="dxa"/>
            <w:shd w:val="clear" w:color="auto" w:fill="auto"/>
          </w:tcPr>
          <w:p w14:paraId="2BE34BD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0.8939</w:t>
            </w:r>
          </w:p>
        </w:tc>
        <w:tc>
          <w:tcPr>
            <w:tcW w:w="703" w:type="dxa"/>
            <w:shd w:val="clear" w:color="auto" w:fill="auto"/>
          </w:tcPr>
          <w:p w14:paraId="49E18AD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6C99219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811  </w:t>
            </w:r>
          </w:p>
        </w:tc>
        <w:tc>
          <w:tcPr>
            <w:tcW w:w="1164" w:type="dxa"/>
            <w:shd w:val="clear" w:color="auto" w:fill="auto"/>
          </w:tcPr>
          <w:p w14:paraId="49AB825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0.8953</w:t>
            </w:r>
          </w:p>
        </w:tc>
        <w:tc>
          <w:tcPr>
            <w:tcW w:w="1476" w:type="dxa"/>
            <w:shd w:val="clear" w:color="auto" w:fill="auto"/>
          </w:tcPr>
          <w:p w14:paraId="53B50D3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0.0014***</w:t>
            </w:r>
          </w:p>
        </w:tc>
        <w:tc>
          <w:tcPr>
            <w:tcW w:w="888" w:type="dxa"/>
            <w:tcBorders>
              <w:right w:val="single" w:sz="4" w:space="0" w:color="auto"/>
            </w:tcBorders>
            <w:shd w:val="clear" w:color="auto" w:fill="auto"/>
          </w:tcPr>
          <w:p w14:paraId="63C8D23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0.015</w:t>
            </w:r>
          </w:p>
        </w:tc>
      </w:tr>
      <w:tr w:rsidR="00880312" w:rsidRPr="00880312" w14:paraId="6BB7E229" w14:textId="77777777" w:rsidTr="009E69CE">
        <w:tc>
          <w:tcPr>
            <w:tcW w:w="1603" w:type="dxa"/>
            <w:tcBorders>
              <w:left w:val="single" w:sz="4" w:space="0" w:color="auto"/>
            </w:tcBorders>
            <w:shd w:val="clear" w:color="auto" w:fill="auto"/>
          </w:tcPr>
          <w:p w14:paraId="069367A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127" w:type="dxa"/>
            <w:shd w:val="clear" w:color="auto" w:fill="auto"/>
          </w:tcPr>
          <w:p w14:paraId="5FFD538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939    </w:t>
            </w:r>
          </w:p>
        </w:tc>
        <w:tc>
          <w:tcPr>
            <w:tcW w:w="1116" w:type="dxa"/>
            <w:shd w:val="clear" w:color="auto" w:fill="auto"/>
          </w:tcPr>
          <w:p w14:paraId="147B442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0.8904</w:t>
            </w:r>
          </w:p>
        </w:tc>
        <w:tc>
          <w:tcPr>
            <w:tcW w:w="703" w:type="dxa"/>
            <w:shd w:val="clear" w:color="auto" w:fill="auto"/>
          </w:tcPr>
          <w:p w14:paraId="57F276A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0BBE4FB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841    </w:t>
            </w:r>
          </w:p>
        </w:tc>
        <w:tc>
          <w:tcPr>
            <w:tcW w:w="1164" w:type="dxa"/>
            <w:shd w:val="clear" w:color="auto" w:fill="auto"/>
          </w:tcPr>
          <w:p w14:paraId="1F03F22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0.8844</w:t>
            </w:r>
          </w:p>
        </w:tc>
        <w:tc>
          <w:tcPr>
            <w:tcW w:w="1476" w:type="dxa"/>
            <w:shd w:val="clear" w:color="auto" w:fill="auto"/>
          </w:tcPr>
          <w:p w14:paraId="756E56A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-0.0059</w:t>
            </w:r>
          </w:p>
        </w:tc>
        <w:tc>
          <w:tcPr>
            <w:tcW w:w="888" w:type="dxa"/>
            <w:tcBorders>
              <w:right w:val="single" w:sz="4" w:space="0" w:color="auto"/>
            </w:tcBorders>
            <w:shd w:val="clear" w:color="auto" w:fill="auto"/>
          </w:tcPr>
          <w:p w14:paraId="24FF284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0.866</w:t>
            </w:r>
          </w:p>
        </w:tc>
      </w:tr>
      <w:tr w:rsidR="00880312" w:rsidRPr="00880312" w14:paraId="32707CDA" w14:textId="77777777" w:rsidTr="009E69CE">
        <w:tc>
          <w:tcPr>
            <w:tcW w:w="1603" w:type="dxa"/>
            <w:tcBorders>
              <w:left w:val="single" w:sz="4" w:space="0" w:color="auto"/>
            </w:tcBorders>
            <w:shd w:val="clear" w:color="auto" w:fill="auto"/>
          </w:tcPr>
          <w:p w14:paraId="086C209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127" w:type="dxa"/>
            <w:shd w:val="clear" w:color="auto" w:fill="auto"/>
          </w:tcPr>
          <w:p w14:paraId="372B886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883     </w:t>
            </w:r>
          </w:p>
        </w:tc>
        <w:tc>
          <w:tcPr>
            <w:tcW w:w="1116" w:type="dxa"/>
            <w:shd w:val="clear" w:color="auto" w:fill="auto"/>
          </w:tcPr>
          <w:p w14:paraId="1C1C330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6.4457</w:t>
            </w:r>
          </w:p>
        </w:tc>
        <w:tc>
          <w:tcPr>
            <w:tcW w:w="703" w:type="dxa"/>
            <w:shd w:val="clear" w:color="auto" w:fill="auto"/>
          </w:tcPr>
          <w:p w14:paraId="00DD7C9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shd w:val="clear" w:color="auto" w:fill="auto"/>
          </w:tcPr>
          <w:p w14:paraId="4C0079E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837    </w:t>
            </w:r>
          </w:p>
        </w:tc>
        <w:tc>
          <w:tcPr>
            <w:tcW w:w="1164" w:type="dxa"/>
            <w:shd w:val="clear" w:color="auto" w:fill="auto"/>
          </w:tcPr>
          <w:p w14:paraId="49525C3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6.2808</w:t>
            </w:r>
          </w:p>
        </w:tc>
        <w:tc>
          <w:tcPr>
            <w:tcW w:w="1476" w:type="dxa"/>
            <w:shd w:val="clear" w:color="auto" w:fill="auto"/>
          </w:tcPr>
          <w:p w14:paraId="77A90E4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-0.1648***</w:t>
            </w:r>
          </w:p>
        </w:tc>
        <w:tc>
          <w:tcPr>
            <w:tcW w:w="888" w:type="dxa"/>
            <w:tcBorders>
              <w:right w:val="single" w:sz="4" w:space="0" w:color="auto"/>
            </w:tcBorders>
            <w:shd w:val="clear" w:color="auto" w:fill="auto"/>
          </w:tcPr>
          <w:p w14:paraId="2B95F1F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w:t>
            </w:r>
          </w:p>
        </w:tc>
      </w:tr>
      <w:tr w:rsidR="00880312" w:rsidRPr="00880312" w14:paraId="4631A934" w14:textId="77777777" w:rsidTr="009E69CE">
        <w:tc>
          <w:tcPr>
            <w:tcW w:w="1603" w:type="dxa"/>
            <w:tcBorders>
              <w:left w:val="single" w:sz="4" w:space="0" w:color="auto"/>
              <w:bottom w:val="single" w:sz="4" w:space="0" w:color="auto"/>
            </w:tcBorders>
            <w:shd w:val="clear" w:color="auto" w:fill="auto"/>
          </w:tcPr>
          <w:p w14:paraId="2072952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127" w:type="dxa"/>
            <w:tcBorders>
              <w:bottom w:val="single" w:sz="4" w:space="0" w:color="auto"/>
            </w:tcBorders>
            <w:shd w:val="clear" w:color="auto" w:fill="auto"/>
          </w:tcPr>
          <w:p w14:paraId="66D0F0D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909   </w:t>
            </w:r>
          </w:p>
        </w:tc>
        <w:tc>
          <w:tcPr>
            <w:tcW w:w="1116" w:type="dxa"/>
            <w:tcBorders>
              <w:bottom w:val="single" w:sz="4" w:space="0" w:color="auto"/>
            </w:tcBorders>
            <w:shd w:val="clear" w:color="auto" w:fill="auto"/>
          </w:tcPr>
          <w:p w14:paraId="78B3D1E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12.57</w:t>
            </w:r>
          </w:p>
        </w:tc>
        <w:tc>
          <w:tcPr>
            <w:tcW w:w="703" w:type="dxa"/>
            <w:tcBorders>
              <w:bottom w:val="single" w:sz="4" w:space="0" w:color="auto"/>
            </w:tcBorders>
            <w:shd w:val="clear" w:color="auto" w:fill="auto"/>
          </w:tcPr>
          <w:p w14:paraId="258953E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5" w:type="dxa"/>
            <w:tcBorders>
              <w:bottom w:val="single" w:sz="4" w:space="0" w:color="auto"/>
            </w:tcBorders>
            <w:shd w:val="clear" w:color="auto" w:fill="auto"/>
          </w:tcPr>
          <w:p w14:paraId="20659B6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828   </w:t>
            </w:r>
          </w:p>
        </w:tc>
        <w:tc>
          <w:tcPr>
            <w:tcW w:w="1164" w:type="dxa"/>
            <w:tcBorders>
              <w:bottom w:val="single" w:sz="4" w:space="0" w:color="auto"/>
            </w:tcBorders>
            <w:shd w:val="clear" w:color="auto" w:fill="auto"/>
          </w:tcPr>
          <w:p w14:paraId="7508160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12.197</w:t>
            </w:r>
          </w:p>
        </w:tc>
        <w:tc>
          <w:tcPr>
            <w:tcW w:w="1476" w:type="dxa"/>
            <w:tcBorders>
              <w:bottom w:val="single" w:sz="4" w:space="0" w:color="auto"/>
            </w:tcBorders>
            <w:shd w:val="clear" w:color="auto" w:fill="auto"/>
          </w:tcPr>
          <w:p w14:paraId="5243348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-0.3748***</w:t>
            </w:r>
          </w:p>
        </w:tc>
        <w:tc>
          <w:tcPr>
            <w:tcW w:w="888" w:type="dxa"/>
            <w:tcBorders>
              <w:bottom w:val="single" w:sz="4" w:space="0" w:color="auto"/>
              <w:right w:val="single" w:sz="4" w:space="0" w:color="auto"/>
            </w:tcBorders>
            <w:shd w:val="clear" w:color="auto" w:fill="auto"/>
          </w:tcPr>
          <w:p w14:paraId="7742513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0.0043</w:t>
            </w:r>
          </w:p>
        </w:tc>
      </w:tr>
    </w:tbl>
    <w:p w14:paraId="7A351903" w14:textId="77777777" w:rsidR="00880312" w:rsidRPr="00880312" w:rsidRDefault="00880312" w:rsidP="00880312">
      <w:pPr>
        <w:rPr>
          <w:rFonts w:ascii="Calibri" w:eastAsia="DengXian" w:hAnsi="Calibri" w:cs="Arial"/>
          <w:color w:val="000000"/>
          <w:sz w:val="24"/>
          <w:szCs w:val="24"/>
          <w:lang w:eastAsia="zh-CN"/>
        </w:rPr>
      </w:pPr>
      <w:r w:rsidRPr="00880312">
        <w:rPr>
          <w:rFonts w:ascii="Calibri" w:eastAsia="DengXian" w:hAnsi="Calibri" w:cs="Arial"/>
          <w:color w:val="000000"/>
          <w:sz w:val="24"/>
          <w:szCs w:val="24"/>
          <w:lang w:eastAsia="zh-CN"/>
        </w:rPr>
        <w:br w:type="page"/>
      </w:r>
    </w:p>
    <w:p w14:paraId="620D8239" w14:textId="77777777" w:rsidR="00880312" w:rsidRPr="00880312" w:rsidRDefault="00880312" w:rsidP="00880312">
      <w:pPr>
        <w:rPr>
          <w:rFonts w:ascii="Calibri" w:eastAsia="DengXian" w:hAnsi="Calibri" w:cs="Arial"/>
          <w:color w:val="000000"/>
          <w:sz w:val="24"/>
          <w:szCs w:val="24"/>
          <w:lang w:eastAsia="zh-CN"/>
        </w:rPr>
      </w:pPr>
    </w:p>
    <w:p w14:paraId="7E23F06B" w14:textId="77777777" w:rsidR="00880312" w:rsidRPr="00880312" w:rsidRDefault="00880312" w:rsidP="00880312">
      <w:pPr>
        <w:jc w:val="both"/>
        <w:rPr>
          <w:rFonts w:ascii="Calibri" w:eastAsia="DengXian" w:hAnsi="Calibri" w:cs="Arial"/>
          <w:color w:val="000000"/>
          <w:sz w:val="24"/>
          <w:szCs w:val="24"/>
          <w:lang w:eastAsia="zh-CN"/>
        </w:rPr>
      </w:pPr>
    </w:p>
    <w:p w14:paraId="178F51FA" w14:textId="017F1B51" w:rsidR="00DE7639" w:rsidRPr="00E30E2D" w:rsidRDefault="00DE7639" w:rsidP="00DE7639">
      <w:pPr>
        <w:pStyle w:val="Caption"/>
        <w:keepNext/>
        <w:rPr>
          <w:rFonts w:ascii="Times New Roman" w:hAnsi="Times New Roman" w:cs="Times New Roman"/>
          <w:b/>
          <w:bCs/>
          <w:i w:val="0"/>
          <w:iCs w:val="0"/>
          <w:color w:val="auto"/>
          <w:sz w:val="28"/>
          <w:szCs w:val="28"/>
        </w:rPr>
      </w:pPr>
      <w:bookmarkStart w:id="125" w:name="_Toc132386105"/>
      <w:bookmarkStart w:id="126" w:name="_Toc132437297"/>
      <w:r w:rsidRPr="00E30E2D">
        <w:rPr>
          <w:rFonts w:ascii="Times New Roman" w:hAnsi="Times New Roman" w:cs="Times New Roman"/>
          <w:b/>
          <w:bCs/>
          <w:i w:val="0"/>
          <w:iCs w:val="0"/>
          <w:color w:val="auto"/>
          <w:sz w:val="28"/>
          <w:szCs w:val="28"/>
        </w:rPr>
        <w:t>Table 4.</w:t>
      </w:r>
      <w:r w:rsidR="00221C3A">
        <w:rPr>
          <w:rFonts w:ascii="Times New Roman" w:hAnsi="Times New Roman" w:cs="Times New Roman"/>
          <w:b/>
          <w:bCs/>
          <w:i w:val="0"/>
          <w:iCs w:val="0"/>
          <w:color w:val="auto"/>
          <w:sz w:val="28"/>
          <w:szCs w:val="28"/>
        </w:rPr>
        <w:t>4</w:t>
      </w:r>
      <w:r w:rsidRPr="00E30E2D">
        <w:rPr>
          <w:rFonts w:ascii="Times New Roman" w:hAnsi="Times New Roman" w:cs="Times New Roman"/>
          <w:b/>
          <w:bCs/>
          <w:i w:val="0"/>
          <w:iCs w:val="0"/>
          <w:color w:val="auto"/>
          <w:sz w:val="28"/>
          <w:szCs w:val="28"/>
        </w:rPr>
        <w:t>. Bank Risk, Risk Culture and Board Gender Diversity</w:t>
      </w:r>
      <w:bookmarkEnd w:id="125"/>
      <w:bookmarkEnd w:id="126"/>
    </w:p>
    <w:p w14:paraId="1849891A" w14:textId="1BE225B3" w:rsidR="00DE7639" w:rsidRPr="00880312" w:rsidRDefault="00DE7639" w:rsidP="00DE7639">
      <w:pPr>
        <w:widowControl w:val="0"/>
        <w:autoSpaceDE w:val="0"/>
        <w:autoSpaceDN w:val="0"/>
        <w:adjustRightInd w:val="0"/>
        <w:spacing w:after="0" w:line="240" w:lineRule="auto"/>
        <w:jc w:val="both"/>
        <w:rPr>
          <w:rFonts w:ascii="Times New Roman" w:eastAsia="Times New Roman" w:hAnsi="Times New Roman" w:cs="Times New Roman"/>
          <w:color w:val="000000"/>
          <w:lang w:eastAsia="en-GB"/>
        </w:rPr>
      </w:pPr>
      <w:r w:rsidRPr="00880312">
        <w:rPr>
          <w:rFonts w:ascii="Times New Roman" w:eastAsia="Times New Roman" w:hAnsi="Times New Roman" w:cs="Times New Roman"/>
          <w:color w:val="000000"/>
          <w:lang w:eastAsia="en-GB"/>
        </w:rPr>
        <w:t>This table reports the results of the baseline regression (</w:t>
      </w:r>
      <w:r>
        <w:rPr>
          <w:rFonts w:ascii="Times New Roman" w:eastAsia="Times New Roman" w:hAnsi="Times New Roman" w:cs="Times New Roman"/>
          <w:color w:val="000000"/>
          <w:lang w:eastAsia="en-GB"/>
        </w:rPr>
        <w:t>Eq. 1</w:t>
      </w:r>
      <w:r w:rsidRPr="00880312">
        <w:rPr>
          <w:rFonts w:ascii="Times New Roman" w:eastAsia="Times New Roman" w:hAnsi="Times New Roman" w:cs="Times New Roman"/>
          <w:color w:val="000000"/>
          <w:lang w:eastAsia="en-GB"/>
        </w:rPr>
        <w:t xml:space="preserve">). The dependent variable is Credit Risk in Models (1) to (3). Our main independent variables are risk culture and females on the board (%). The control variables are board independence, board size, bank size, charter value (MV/BV), leverage, profitability, bank capital and CEO compensation. All regressions are estimated using </w:t>
      </w:r>
      <w:r>
        <w:rPr>
          <w:rFonts w:ascii="Times New Roman" w:eastAsia="Times New Roman" w:hAnsi="Times New Roman" w:cs="Times New Roman"/>
          <w:color w:val="000000"/>
          <w:lang w:eastAsia="en-GB"/>
        </w:rPr>
        <w:t xml:space="preserve">a </w:t>
      </w:r>
      <w:r w:rsidRPr="00880312">
        <w:rPr>
          <w:rFonts w:ascii="Times New Roman" w:eastAsia="Times New Roman" w:hAnsi="Times New Roman" w:cs="Times New Roman"/>
          <w:color w:val="000000"/>
          <w:lang w:eastAsia="en-GB"/>
        </w:rPr>
        <w:t>panel setting</w:t>
      </w:r>
      <w:r>
        <w:rPr>
          <w:rFonts w:ascii="Times New Roman" w:eastAsia="Times New Roman" w:hAnsi="Times New Roman" w:cs="Times New Roman"/>
          <w:color w:val="000000"/>
          <w:lang w:eastAsia="en-GB"/>
        </w:rPr>
        <w:t>, including</w:t>
      </w:r>
      <w:r w:rsidRPr="00880312">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the </w:t>
      </w:r>
      <w:r w:rsidRPr="00880312">
        <w:rPr>
          <w:rFonts w:ascii="Times New Roman" w:eastAsia="Times New Roman" w:hAnsi="Times New Roman" w:cs="Times New Roman"/>
          <w:color w:val="000000"/>
          <w:lang w:eastAsia="en-GB"/>
        </w:rPr>
        <w:t>year and bank fixed effects. The figures in parentheses are T-statistics. The symbols *, **, and *** indicate significance levels at 10%, 5% and 1%</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 xml:space="preserve"> respectively.</w:t>
      </w:r>
    </w:p>
    <w:p w14:paraId="10D00B2D" w14:textId="77777777" w:rsidR="00DE7639" w:rsidRPr="00DE7639" w:rsidRDefault="00DE7639" w:rsidP="00DE7639"/>
    <w:tbl>
      <w:tblPr>
        <w:tblW w:w="9214" w:type="dxa"/>
        <w:tblInd w:w="-5" w:type="dxa"/>
        <w:tblLayout w:type="fixed"/>
        <w:tblCellMar>
          <w:left w:w="75" w:type="dxa"/>
          <w:right w:w="75" w:type="dxa"/>
        </w:tblCellMar>
        <w:tblLook w:val="0000" w:firstRow="0" w:lastRow="0" w:firstColumn="0" w:lastColumn="0" w:noHBand="0" w:noVBand="0"/>
      </w:tblPr>
      <w:tblGrid>
        <w:gridCol w:w="3686"/>
        <w:gridCol w:w="1701"/>
        <w:gridCol w:w="1701"/>
        <w:gridCol w:w="2126"/>
      </w:tblGrid>
      <w:tr w:rsidR="00880312" w:rsidRPr="00880312" w14:paraId="5B5A67E3" w14:textId="77777777" w:rsidTr="009E69CE">
        <w:trPr>
          <w:trHeight w:val="254"/>
        </w:trPr>
        <w:tc>
          <w:tcPr>
            <w:tcW w:w="3686" w:type="dxa"/>
            <w:tcBorders>
              <w:top w:val="single" w:sz="4" w:space="0" w:color="auto"/>
              <w:left w:val="single" w:sz="4" w:space="0" w:color="auto"/>
              <w:bottom w:val="single" w:sz="4" w:space="0" w:color="auto"/>
            </w:tcBorders>
          </w:tcPr>
          <w:p w14:paraId="43CB3C72"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701" w:type="dxa"/>
            <w:tcBorders>
              <w:top w:val="single" w:sz="4" w:space="0" w:color="auto"/>
              <w:bottom w:val="single" w:sz="4" w:space="0" w:color="auto"/>
            </w:tcBorders>
          </w:tcPr>
          <w:p w14:paraId="66DAB9C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w:t>
            </w:r>
          </w:p>
        </w:tc>
        <w:tc>
          <w:tcPr>
            <w:tcW w:w="1701" w:type="dxa"/>
            <w:tcBorders>
              <w:top w:val="single" w:sz="4" w:space="0" w:color="auto"/>
              <w:bottom w:val="single" w:sz="4" w:space="0" w:color="auto"/>
            </w:tcBorders>
          </w:tcPr>
          <w:p w14:paraId="701500D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w:t>
            </w:r>
          </w:p>
        </w:tc>
        <w:tc>
          <w:tcPr>
            <w:tcW w:w="2126" w:type="dxa"/>
            <w:tcBorders>
              <w:top w:val="single" w:sz="4" w:space="0" w:color="auto"/>
              <w:bottom w:val="single" w:sz="4" w:space="0" w:color="auto"/>
              <w:right w:val="single" w:sz="4" w:space="0" w:color="auto"/>
            </w:tcBorders>
          </w:tcPr>
          <w:p w14:paraId="70CF4A1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w:t>
            </w:r>
          </w:p>
        </w:tc>
      </w:tr>
      <w:tr w:rsidR="00880312" w:rsidRPr="00880312" w14:paraId="0BF786A0" w14:textId="77777777" w:rsidTr="009E69CE">
        <w:trPr>
          <w:trHeight w:val="254"/>
        </w:trPr>
        <w:tc>
          <w:tcPr>
            <w:tcW w:w="3686" w:type="dxa"/>
            <w:tcBorders>
              <w:top w:val="single" w:sz="4" w:space="0" w:color="auto"/>
              <w:left w:val="single" w:sz="4" w:space="0" w:color="auto"/>
              <w:bottom w:val="single" w:sz="4" w:space="0" w:color="auto"/>
            </w:tcBorders>
          </w:tcPr>
          <w:p w14:paraId="3650625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VARIABLES</w:t>
            </w:r>
          </w:p>
        </w:tc>
        <w:tc>
          <w:tcPr>
            <w:tcW w:w="1701" w:type="dxa"/>
            <w:tcBorders>
              <w:top w:val="single" w:sz="4" w:space="0" w:color="auto"/>
              <w:bottom w:val="single" w:sz="4" w:space="0" w:color="auto"/>
            </w:tcBorders>
          </w:tcPr>
          <w:p w14:paraId="44D91BD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1701" w:type="dxa"/>
            <w:tcBorders>
              <w:top w:val="single" w:sz="4" w:space="0" w:color="auto"/>
              <w:bottom w:val="single" w:sz="4" w:space="0" w:color="auto"/>
            </w:tcBorders>
          </w:tcPr>
          <w:p w14:paraId="580CD89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2126" w:type="dxa"/>
            <w:tcBorders>
              <w:top w:val="single" w:sz="4" w:space="0" w:color="auto"/>
              <w:bottom w:val="single" w:sz="4" w:space="0" w:color="auto"/>
              <w:right w:val="single" w:sz="4" w:space="0" w:color="auto"/>
            </w:tcBorders>
          </w:tcPr>
          <w:p w14:paraId="7FDE3DD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r>
      <w:tr w:rsidR="00880312" w:rsidRPr="00880312" w14:paraId="2D180DEB" w14:textId="77777777" w:rsidTr="009E69CE">
        <w:trPr>
          <w:trHeight w:val="266"/>
        </w:trPr>
        <w:tc>
          <w:tcPr>
            <w:tcW w:w="3686" w:type="dxa"/>
            <w:tcBorders>
              <w:top w:val="single" w:sz="4" w:space="0" w:color="auto"/>
              <w:left w:val="single" w:sz="4" w:space="0" w:color="auto"/>
            </w:tcBorders>
          </w:tcPr>
          <w:p w14:paraId="31F4650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Borders>
              <w:top w:val="single" w:sz="4" w:space="0" w:color="auto"/>
            </w:tcBorders>
          </w:tcPr>
          <w:p w14:paraId="07D5245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Borders>
              <w:top w:val="single" w:sz="4" w:space="0" w:color="auto"/>
            </w:tcBorders>
          </w:tcPr>
          <w:p w14:paraId="16DF490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top w:val="single" w:sz="4" w:space="0" w:color="auto"/>
              <w:right w:val="single" w:sz="4" w:space="0" w:color="auto"/>
            </w:tcBorders>
          </w:tcPr>
          <w:p w14:paraId="0F00CF2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r>
      <w:tr w:rsidR="00880312" w:rsidRPr="00880312" w14:paraId="3C24E284" w14:textId="77777777" w:rsidTr="009E69CE">
        <w:trPr>
          <w:trHeight w:val="254"/>
        </w:trPr>
        <w:tc>
          <w:tcPr>
            <w:tcW w:w="3686" w:type="dxa"/>
            <w:tcBorders>
              <w:left w:val="single" w:sz="4" w:space="0" w:color="auto"/>
            </w:tcBorders>
          </w:tcPr>
          <w:p w14:paraId="0EDAC8C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701" w:type="dxa"/>
          </w:tcPr>
          <w:p w14:paraId="7A55ADB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0.07789***</w:t>
            </w:r>
          </w:p>
        </w:tc>
        <w:tc>
          <w:tcPr>
            <w:tcW w:w="1701" w:type="dxa"/>
          </w:tcPr>
          <w:p w14:paraId="43F7535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right w:val="single" w:sz="4" w:space="0" w:color="auto"/>
            </w:tcBorders>
          </w:tcPr>
          <w:p w14:paraId="02456AF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0.0955***</w:t>
            </w:r>
          </w:p>
        </w:tc>
      </w:tr>
      <w:tr w:rsidR="00880312" w:rsidRPr="00880312" w14:paraId="65790C75" w14:textId="77777777" w:rsidTr="009E69CE">
        <w:trPr>
          <w:trHeight w:val="254"/>
        </w:trPr>
        <w:tc>
          <w:tcPr>
            <w:tcW w:w="3686" w:type="dxa"/>
            <w:tcBorders>
              <w:left w:val="single" w:sz="4" w:space="0" w:color="auto"/>
            </w:tcBorders>
          </w:tcPr>
          <w:p w14:paraId="6E12AD8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5D991BF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(0.0244)</w:t>
            </w:r>
          </w:p>
        </w:tc>
        <w:tc>
          <w:tcPr>
            <w:tcW w:w="1701" w:type="dxa"/>
          </w:tcPr>
          <w:p w14:paraId="55D3BF6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right w:val="single" w:sz="4" w:space="0" w:color="auto"/>
            </w:tcBorders>
          </w:tcPr>
          <w:p w14:paraId="3762D45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(0.0245)</w:t>
            </w:r>
          </w:p>
        </w:tc>
      </w:tr>
      <w:tr w:rsidR="00880312" w:rsidRPr="00880312" w14:paraId="7D5C5715" w14:textId="77777777" w:rsidTr="009E69CE">
        <w:trPr>
          <w:trHeight w:val="254"/>
        </w:trPr>
        <w:tc>
          <w:tcPr>
            <w:tcW w:w="3686" w:type="dxa"/>
            <w:tcBorders>
              <w:left w:val="single" w:sz="4" w:space="0" w:color="auto"/>
            </w:tcBorders>
          </w:tcPr>
          <w:p w14:paraId="6FDFD23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Female Board (%)</w:t>
            </w:r>
          </w:p>
        </w:tc>
        <w:tc>
          <w:tcPr>
            <w:tcW w:w="1701" w:type="dxa"/>
          </w:tcPr>
          <w:p w14:paraId="788FC55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Pr>
          <w:p w14:paraId="3E93951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-0.0711***</w:t>
            </w:r>
          </w:p>
        </w:tc>
        <w:tc>
          <w:tcPr>
            <w:tcW w:w="2126" w:type="dxa"/>
            <w:tcBorders>
              <w:right w:val="single" w:sz="4" w:space="0" w:color="auto"/>
            </w:tcBorders>
          </w:tcPr>
          <w:p w14:paraId="3ECA98F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-0.0751***</w:t>
            </w:r>
          </w:p>
        </w:tc>
      </w:tr>
      <w:tr w:rsidR="00880312" w:rsidRPr="00880312" w14:paraId="1721ECE9" w14:textId="77777777" w:rsidTr="009E69CE">
        <w:trPr>
          <w:trHeight w:val="254"/>
        </w:trPr>
        <w:tc>
          <w:tcPr>
            <w:tcW w:w="3686" w:type="dxa"/>
            <w:tcBorders>
              <w:left w:val="single" w:sz="4" w:space="0" w:color="auto"/>
            </w:tcBorders>
          </w:tcPr>
          <w:p w14:paraId="5A85C8C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59742F6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Pr>
          <w:p w14:paraId="594BED6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(0.0184)</w:t>
            </w:r>
          </w:p>
        </w:tc>
        <w:tc>
          <w:tcPr>
            <w:tcW w:w="2126" w:type="dxa"/>
            <w:tcBorders>
              <w:right w:val="single" w:sz="4" w:space="0" w:color="auto"/>
            </w:tcBorders>
          </w:tcPr>
          <w:p w14:paraId="50DF072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(0.0183)</w:t>
            </w:r>
          </w:p>
        </w:tc>
      </w:tr>
      <w:tr w:rsidR="00880312" w:rsidRPr="00880312" w14:paraId="133284E0" w14:textId="77777777" w:rsidTr="009E69CE">
        <w:trPr>
          <w:trHeight w:val="254"/>
        </w:trPr>
        <w:tc>
          <w:tcPr>
            <w:tcW w:w="3686" w:type="dxa"/>
            <w:tcBorders>
              <w:left w:val="single" w:sz="4" w:space="0" w:color="auto"/>
            </w:tcBorders>
          </w:tcPr>
          <w:p w14:paraId="0B8A71A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Culture*Female Board</w:t>
            </w:r>
          </w:p>
        </w:tc>
        <w:tc>
          <w:tcPr>
            <w:tcW w:w="1701" w:type="dxa"/>
          </w:tcPr>
          <w:p w14:paraId="5936C05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Pr>
          <w:p w14:paraId="247D13E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right w:val="single" w:sz="4" w:space="0" w:color="auto"/>
            </w:tcBorders>
          </w:tcPr>
          <w:p w14:paraId="6D7095D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-0.0527***</w:t>
            </w:r>
          </w:p>
        </w:tc>
      </w:tr>
      <w:tr w:rsidR="00880312" w:rsidRPr="00880312" w14:paraId="55FD6276" w14:textId="77777777" w:rsidTr="009E69CE">
        <w:trPr>
          <w:trHeight w:val="254"/>
        </w:trPr>
        <w:tc>
          <w:tcPr>
            <w:tcW w:w="3686" w:type="dxa"/>
            <w:tcBorders>
              <w:left w:val="single" w:sz="4" w:space="0" w:color="auto"/>
            </w:tcBorders>
          </w:tcPr>
          <w:p w14:paraId="1420386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332095A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Pr>
          <w:p w14:paraId="0419A6B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right w:val="single" w:sz="4" w:space="0" w:color="auto"/>
            </w:tcBorders>
          </w:tcPr>
          <w:p w14:paraId="671CC6A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(0.0159)</w:t>
            </w:r>
          </w:p>
        </w:tc>
      </w:tr>
      <w:tr w:rsidR="00880312" w:rsidRPr="00880312" w14:paraId="59992628" w14:textId="77777777" w:rsidTr="009E69CE">
        <w:trPr>
          <w:trHeight w:val="254"/>
        </w:trPr>
        <w:tc>
          <w:tcPr>
            <w:tcW w:w="3686" w:type="dxa"/>
            <w:tcBorders>
              <w:left w:val="single" w:sz="4" w:space="0" w:color="auto"/>
            </w:tcBorders>
          </w:tcPr>
          <w:p w14:paraId="74B71D6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Indp_Director</w:t>
            </w:r>
          </w:p>
        </w:tc>
        <w:tc>
          <w:tcPr>
            <w:tcW w:w="1701" w:type="dxa"/>
          </w:tcPr>
          <w:p w14:paraId="2FEF34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0.0273</w:t>
            </w:r>
          </w:p>
        </w:tc>
        <w:tc>
          <w:tcPr>
            <w:tcW w:w="1701" w:type="dxa"/>
          </w:tcPr>
          <w:p w14:paraId="06C20FD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0.0358**</w:t>
            </w:r>
          </w:p>
        </w:tc>
        <w:tc>
          <w:tcPr>
            <w:tcW w:w="2126" w:type="dxa"/>
            <w:tcBorders>
              <w:right w:val="single" w:sz="4" w:space="0" w:color="auto"/>
            </w:tcBorders>
          </w:tcPr>
          <w:p w14:paraId="5DE5F2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0.0325</w:t>
            </w:r>
          </w:p>
        </w:tc>
      </w:tr>
      <w:tr w:rsidR="00880312" w:rsidRPr="00880312" w14:paraId="13C6B63A" w14:textId="77777777" w:rsidTr="009E69CE">
        <w:trPr>
          <w:trHeight w:val="254"/>
        </w:trPr>
        <w:tc>
          <w:tcPr>
            <w:tcW w:w="3686" w:type="dxa"/>
            <w:tcBorders>
              <w:left w:val="single" w:sz="4" w:space="0" w:color="auto"/>
            </w:tcBorders>
          </w:tcPr>
          <w:p w14:paraId="6359C46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05D1085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(0.0185)</w:t>
            </w:r>
          </w:p>
        </w:tc>
        <w:tc>
          <w:tcPr>
            <w:tcW w:w="1701" w:type="dxa"/>
          </w:tcPr>
          <w:p w14:paraId="3F392E9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(0.0187)</w:t>
            </w:r>
          </w:p>
        </w:tc>
        <w:tc>
          <w:tcPr>
            <w:tcW w:w="2126" w:type="dxa"/>
            <w:tcBorders>
              <w:right w:val="single" w:sz="4" w:space="0" w:color="auto"/>
            </w:tcBorders>
          </w:tcPr>
          <w:p w14:paraId="0FBE54C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(0.0186)</w:t>
            </w:r>
          </w:p>
        </w:tc>
      </w:tr>
      <w:tr w:rsidR="00880312" w:rsidRPr="00880312" w14:paraId="2B4D43B4" w14:textId="77777777" w:rsidTr="009E69CE">
        <w:trPr>
          <w:trHeight w:val="254"/>
        </w:trPr>
        <w:tc>
          <w:tcPr>
            <w:tcW w:w="3686" w:type="dxa"/>
            <w:tcBorders>
              <w:left w:val="single" w:sz="4" w:space="0" w:color="auto"/>
            </w:tcBorders>
          </w:tcPr>
          <w:p w14:paraId="49498C7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701" w:type="dxa"/>
          </w:tcPr>
          <w:p w14:paraId="259D757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-0.0523***</w:t>
            </w:r>
          </w:p>
        </w:tc>
        <w:tc>
          <w:tcPr>
            <w:tcW w:w="1701" w:type="dxa"/>
          </w:tcPr>
          <w:p w14:paraId="24B0025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-0.0553***</w:t>
            </w:r>
          </w:p>
        </w:tc>
        <w:tc>
          <w:tcPr>
            <w:tcW w:w="2126" w:type="dxa"/>
            <w:tcBorders>
              <w:right w:val="single" w:sz="4" w:space="0" w:color="auto"/>
            </w:tcBorders>
          </w:tcPr>
          <w:p w14:paraId="0F57831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-0.0542***</w:t>
            </w:r>
          </w:p>
        </w:tc>
      </w:tr>
      <w:tr w:rsidR="00880312" w:rsidRPr="00880312" w14:paraId="4ADFA1DD" w14:textId="77777777" w:rsidTr="009E69CE">
        <w:trPr>
          <w:trHeight w:val="254"/>
        </w:trPr>
        <w:tc>
          <w:tcPr>
            <w:tcW w:w="3686" w:type="dxa"/>
            <w:tcBorders>
              <w:left w:val="single" w:sz="4" w:space="0" w:color="auto"/>
            </w:tcBorders>
          </w:tcPr>
          <w:p w14:paraId="4E2B204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67819C4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(0.0184)</w:t>
            </w:r>
          </w:p>
        </w:tc>
        <w:tc>
          <w:tcPr>
            <w:tcW w:w="1701" w:type="dxa"/>
          </w:tcPr>
          <w:p w14:paraId="725640B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(0.0186)</w:t>
            </w:r>
          </w:p>
        </w:tc>
        <w:tc>
          <w:tcPr>
            <w:tcW w:w="2126" w:type="dxa"/>
            <w:tcBorders>
              <w:right w:val="single" w:sz="4" w:space="0" w:color="auto"/>
            </w:tcBorders>
          </w:tcPr>
          <w:p w14:paraId="71FE7BC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(0.0183)</w:t>
            </w:r>
          </w:p>
        </w:tc>
      </w:tr>
      <w:tr w:rsidR="00880312" w:rsidRPr="00880312" w14:paraId="4A0BC1B3" w14:textId="77777777" w:rsidTr="009E69CE">
        <w:trPr>
          <w:trHeight w:val="254"/>
        </w:trPr>
        <w:tc>
          <w:tcPr>
            <w:tcW w:w="3686" w:type="dxa"/>
            <w:tcBorders>
              <w:left w:val="single" w:sz="4" w:space="0" w:color="auto"/>
            </w:tcBorders>
          </w:tcPr>
          <w:p w14:paraId="00517F0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701" w:type="dxa"/>
          </w:tcPr>
          <w:p w14:paraId="51828D3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0.887***</w:t>
            </w:r>
          </w:p>
        </w:tc>
        <w:tc>
          <w:tcPr>
            <w:tcW w:w="1701" w:type="dxa"/>
          </w:tcPr>
          <w:p w14:paraId="1870BC9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1.010***</w:t>
            </w:r>
          </w:p>
        </w:tc>
        <w:tc>
          <w:tcPr>
            <w:tcW w:w="2126" w:type="dxa"/>
            <w:tcBorders>
              <w:right w:val="single" w:sz="4" w:space="0" w:color="auto"/>
            </w:tcBorders>
          </w:tcPr>
          <w:p w14:paraId="37FEEE6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0.9495***</w:t>
            </w:r>
          </w:p>
        </w:tc>
      </w:tr>
      <w:tr w:rsidR="00880312" w:rsidRPr="00880312" w14:paraId="00B511B7" w14:textId="77777777" w:rsidTr="009E69CE">
        <w:trPr>
          <w:trHeight w:val="254"/>
        </w:trPr>
        <w:tc>
          <w:tcPr>
            <w:tcW w:w="3686" w:type="dxa"/>
            <w:tcBorders>
              <w:left w:val="single" w:sz="4" w:space="0" w:color="auto"/>
            </w:tcBorders>
          </w:tcPr>
          <w:p w14:paraId="4012CE4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C80B3B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(0.0523)</w:t>
            </w:r>
          </w:p>
        </w:tc>
        <w:tc>
          <w:tcPr>
            <w:tcW w:w="1701" w:type="dxa"/>
          </w:tcPr>
          <w:p w14:paraId="607A59B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(0.0527)</w:t>
            </w:r>
          </w:p>
        </w:tc>
        <w:tc>
          <w:tcPr>
            <w:tcW w:w="2126" w:type="dxa"/>
            <w:tcBorders>
              <w:right w:val="single" w:sz="4" w:space="0" w:color="auto"/>
            </w:tcBorders>
          </w:tcPr>
          <w:p w14:paraId="50D118E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(0.0535)</w:t>
            </w:r>
          </w:p>
        </w:tc>
      </w:tr>
      <w:tr w:rsidR="00880312" w:rsidRPr="00880312" w14:paraId="4BEE1F65" w14:textId="77777777" w:rsidTr="009E69CE">
        <w:trPr>
          <w:trHeight w:val="254"/>
        </w:trPr>
        <w:tc>
          <w:tcPr>
            <w:tcW w:w="3686" w:type="dxa"/>
            <w:tcBorders>
              <w:left w:val="single" w:sz="4" w:space="0" w:color="auto"/>
            </w:tcBorders>
          </w:tcPr>
          <w:p w14:paraId="3D754B0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701" w:type="dxa"/>
          </w:tcPr>
          <w:p w14:paraId="57CB680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-0.0349</w:t>
            </w:r>
          </w:p>
        </w:tc>
        <w:tc>
          <w:tcPr>
            <w:tcW w:w="1701" w:type="dxa"/>
          </w:tcPr>
          <w:p w14:paraId="3163248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-0.0497</w:t>
            </w:r>
          </w:p>
        </w:tc>
        <w:tc>
          <w:tcPr>
            <w:tcW w:w="2126" w:type="dxa"/>
            <w:tcBorders>
              <w:right w:val="single" w:sz="4" w:space="0" w:color="auto"/>
            </w:tcBorders>
          </w:tcPr>
          <w:p w14:paraId="437DCB5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-0.0319</w:t>
            </w:r>
          </w:p>
        </w:tc>
      </w:tr>
      <w:tr w:rsidR="00880312" w:rsidRPr="00880312" w14:paraId="2168F555" w14:textId="77777777" w:rsidTr="009E69CE">
        <w:trPr>
          <w:trHeight w:val="254"/>
        </w:trPr>
        <w:tc>
          <w:tcPr>
            <w:tcW w:w="3686" w:type="dxa"/>
            <w:tcBorders>
              <w:left w:val="single" w:sz="4" w:space="0" w:color="auto"/>
            </w:tcBorders>
          </w:tcPr>
          <w:p w14:paraId="0937434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81CCF9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(0.0467)</w:t>
            </w:r>
          </w:p>
        </w:tc>
        <w:tc>
          <w:tcPr>
            <w:tcW w:w="1701" w:type="dxa"/>
          </w:tcPr>
          <w:p w14:paraId="7455852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(0.0463)</w:t>
            </w:r>
          </w:p>
        </w:tc>
        <w:tc>
          <w:tcPr>
            <w:tcW w:w="2126" w:type="dxa"/>
            <w:tcBorders>
              <w:right w:val="single" w:sz="4" w:space="0" w:color="auto"/>
            </w:tcBorders>
          </w:tcPr>
          <w:p w14:paraId="0FE3636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(0.0463)</w:t>
            </w:r>
          </w:p>
        </w:tc>
      </w:tr>
      <w:tr w:rsidR="00880312" w:rsidRPr="00880312" w14:paraId="36638FAB" w14:textId="77777777" w:rsidTr="009E69CE">
        <w:trPr>
          <w:trHeight w:val="254"/>
        </w:trPr>
        <w:tc>
          <w:tcPr>
            <w:tcW w:w="3686" w:type="dxa"/>
            <w:tcBorders>
              <w:left w:val="single" w:sz="4" w:space="0" w:color="auto"/>
            </w:tcBorders>
          </w:tcPr>
          <w:p w14:paraId="529876F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701" w:type="dxa"/>
          </w:tcPr>
          <w:p w14:paraId="3E19180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0.0308</w:t>
            </w:r>
          </w:p>
        </w:tc>
        <w:tc>
          <w:tcPr>
            <w:tcW w:w="1701" w:type="dxa"/>
          </w:tcPr>
          <w:p w14:paraId="63BBC21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0.0113</w:t>
            </w:r>
          </w:p>
        </w:tc>
        <w:tc>
          <w:tcPr>
            <w:tcW w:w="2126" w:type="dxa"/>
            <w:tcBorders>
              <w:right w:val="single" w:sz="4" w:space="0" w:color="auto"/>
            </w:tcBorders>
          </w:tcPr>
          <w:p w14:paraId="3513099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0.0461</w:t>
            </w:r>
          </w:p>
        </w:tc>
      </w:tr>
      <w:tr w:rsidR="00880312" w:rsidRPr="00880312" w14:paraId="2D699DC4" w14:textId="77777777" w:rsidTr="009E69CE">
        <w:trPr>
          <w:trHeight w:val="254"/>
        </w:trPr>
        <w:tc>
          <w:tcPr>
            <w:tcW w:w="3686" w:type="dxa"/>
            <w:tcBorders>
              <w:left w:val="single" w:sz="4" w:space="0" w:color="auto"/>
            </w:tcBorders>
          </w:tcPr>
          <w:p w14:paraId="248B543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102B55B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(0.1118)</w:t>
            </w:r>
          </w:p>
        </w:tc>
        <w:tc>
          <w:tcPr>
            <w:tcW w:w="1701" w:type="dxa"/>
          </w:tcPr>
          <w:p w14:paraId="6984381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(0.1124)</w:t>
            </w:r>
          </w:p>
        </w:tc>
        <w:tc>
          <w:tcPr>
            <w:tcW w:w="2126" w:type="dxa"/>
            <w:tcBorders>
              <w:right w:val="single" w:sz="4" w:space="0" w:color="auto"/>
            </w:tcBorders>
          </w:tcPr>
          <w:p w14:paraId="1069297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(0.1111)</w:t>
            </w:r>
          </w:p>
        </w:tc>
      </w:tr>
      <w:tr w:rsidR="00880312" w:rsidRPr="00880312" w14:paraId="42A10F86" w14:textId="77777777" w:rsidTr="009E69CE">
        <w:trPr>
          <w:trHeight w:val="254"/>
        </w:trPr>
        <w:tc>
          <w:tcPr>
            <w:tcW w:w="3686" w:type="dxa"/>
            <w:tcBorders>
              <w:left w:val="single" w:sz="4" w:space="0" w:color="auto"/>
            </w:tcBorders>
          </w:tcPr>
          <w:p w14:paraId="47D63D9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701" w:type="dxa"/>
          </w:tcPr>
          <w:p w14:paraId="0106D94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-0.2585***</w:t>
            </w:r>
          </w:p>
        </w:tc>
        <w:tc>
          <w:tcPr>
            <w:tcW w:w="1701" w:type="dxa"/>
          </w:tcPr>
          <w:p w14:paraId="7ECB1EF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-0.2579***</w:t>
            </w:r>
          </w:p>
        </w:tc>
        <w:tc>
          <w:tcPr>
            <w:tcW w:w="2126" w:type="dxa"/>
            <w:tcBorders>
              <w:right w:val="single" w:sz="4" w:space="0" w:color="auto"/>
            </w:tcBorders>
          </w:tcPr>
          <w:p w14:paraId="516FA1D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-0.2533***</w:t>
            </w:r>
          </w:p>
        </w:tc>
      </w:tr>
      <w:tr w:rsidR="00880312" w:rsidRPr="00880312" w14:paraId="5CEE7E7F" w14:textId="77777777" w:rsidTr="009E69CE">
        <w:trPr>
          <w:trHeight w:val="254"/>
        </w:trPr>
        <w:tc>
          <w:tcPr>
            <w:tcW w:w="3686" w:type="dxa"/>
            <w:tcBorders>
              <w:left w:val="single" w:sz="4" w:space="0" w:color="auto"/>
            </w:tcBorders>
          </w:tcPr>
          <w:p w14:paraId="37DD4DA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3FF93F4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(0.0110)</w:t>
            </w:r>
          </w:p>
        </w:tc>
        <w:tc>
          <w:tcPr>
            <w:tcW w:w="1701" w:type="dxa"/>
          </w:tcPr>
          <w:p w14:paraId="57FCB24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(0.0111)</w:t>
            </w:r>
          </w:p>
        </w:tc>
        <w:tc>
          <w:tcPr>
            <w:tcW w:w="2126" w:type="dxa"/>
            <w:tcBorders>
              <w:right w:val="single" w:sz="4" w:space="0" w:color="auto"/>
            </w:tcBorders>
          </w:tcPr>
          <w:p w14:paraId="1450057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(0.0110)</w:t>
            </w:r>
          </w:p>
        </w:tc>
      </w:tr>
      <w:tr w:rsidR="00880312" w:rsidRPr="00880312" w14:paraId="3A0E40A2" w14:textId="77777777" w:rsidTr="009E69CE">
        <w:trPr>
          <w:trHeight w:val="254"/>
        </w:trPr>
        <w:tc>
          <w:tcPr>
            <w:tcW w:w="3686" w:type="dxa"/>
            <w:tcBorders>
              <w:left w:val="single" w:sz="4" w:space="0" w:color="auto"/>
            </w:tcBorders>
          </w:tcPr>
          <w:p w14:paraId="4477A6E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701" w:type="dxa"/>
          </w:tcPr>
          <w:p w14:paraId="3D4BB54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0.0358**</w:t>
            </w:r>
          </w:p>
        </w:tc>
        <w:tc>
          <w:tcPr>
            <w:tcW w:w="1701" w:type="dxa"/>
          </w:tcPr>
          <w:p w14:paraId="1C7737B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0.0398***</w:t>
            </w:r>
          </w:p>
        </w:tc>
        <w:tc>
          <w:tcPr>
            <w:tcW w:w="2126" w:type="dxa"/>
            <w:tcBorders>
              <w:right w:val="single" w:sz="4" w:space="0" w:color="auto"/>
            </w:tcBorders>
          </w:tcPr>
          <w:p w14:paraId="24A070A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0.0339***</w:t>
            </w:r>
          </w:p>
        </w:tc>
      </w:tr>
      <w:tr w:rsidR="00880312" w:rsidRPr="00880312" w14:paraId="0F809B18" w14:textId="77777777" w:rsidTr="009E69CE">
        <w:trPr>
          <w:trHeight w:val="254"/>
        </w:trPr>
        <w:tc>
          <w:tcPr>
            <w:tcW w:w="3686" w:type="dxa"/>
            <w:tcBorders>
              <w:left w:val="single" w:sz="4" w:space="0" w:color="auto"/>
            </w:tcBorders>
          </w:tcPr>
          <w:p w14:paraId="4FD266C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55BD0D7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(0.0117)</w:t>
            </w:r>
          </w:p>
        </w:tc>
        <w:tc>
          <w:tcPr>
            <w:tcW w:w="1701" w:type="dxa"/>
          </w:tcPr>
          <w:p w14:paraId="50BBA5F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(0.0117)</w:t>
            </w:r>
          </w:p>
        </w:tc>
        <w:tc>
          <w:tcPr>
            <w:tcW w:w="2126" w:type="dxa"/>
            <w:tcBorders>
              <w:right w:val="single" w:sz="4" w:space="0" w:color="auto"/>
            </w:tcBorders>
          </w:tcPr>
          <w:p w14:paraId="49DBC77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(0.0116)</w:t>
            </w:r>
          </w:p>
        </w:tc>
      </w:tr>
      <w:tr w:rsidR="00880312" w:rsidRPr="00880312" w14:paraId="7F27559B" w14:textId="77777777" w:rsidTr="009E69CE">
        <w:trPr>
          <w:trHeight w:val="254"/>
        </w:trPr>
        <w:tc>
          <w:tcPr>
            <w:tcW w:w="3686" w:type="dxa"/>
            <w:tcBorders>
              <w:left w:val="single" w:sz="4" w:space="0" w:color="auto"/>
            </w:tcBorders>
          </w:tcPr>
          <w:p w14:paraId="53CAA04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701" w:type="dxa"/>
          </w:tcPr>
          <w:p w14:paraId="1F74160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0.200***</w:t>
            </w:r>
          </w:p>
        </w:tc>
        <w:tc>
          <w:tcPr>
            <w:tcW w:w="1701" w:type="dxa"/>
          </w:tcPr>
          <w:p w14:paraId="437E71B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0.2127***</w:t>
            </w:r>
          </w:p>
        </w:tc>
        <w:tc>
          <w:tcPr>
            <w:tcW w:w="2126" w:type="dxa"/>
            <w:tcBorders>
              <w:right w:val="single" w:sz="4" w:space="0" w:color="auto"/>
            </w:tcBorders>
          </w:tcPr>
          <w:p w14:paraId="64DCA15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0.2025***</w:t>
            </w:r>
          </w:p>
        </w:tc>
      </w:tr>
      <w:tr w:rsidR="00880312" w:rsidRPr="00880312" w14:paraId="23D2BCD3" w14:textId="77777777" w:rsidTr="009E69CE">
        <w:trPr>
          <w:trHeight w:val="254"/>
        </w:trPr>
        <w:tc>
          <w:tcPr>
            <w:tcW w:w="3686" w:type="dxa"/>
            <w:tcBorders>
              <w:left w:val="single" w:sz="4" w:space="0" w:color="auto"/>
            </w:tcBorders>
          </w:tcPr>
          <w:p w14:paraId="230C1FE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331DAC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(0.0187)</w:t>
            </w:r>
          </w:p>
        </w:tc>
        <w:tc>
          <w:tcPr>
            <w:tcW w:w="1701" w:type="dxa"/>
          </w:tcPr>
          <w:p w14:paraId="4AA3050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(0.0187)</w:t>
            </w:r>
          </w:p>
        </w:tc>
        <w:tc>
          <w:tcPr>
            <w:tcW w:w="2126" w:type="dxa"/>
            <w:tcBorders>
              <w:right w:val="single" w:sz="4" w:space="0" w:color="auto"/>
            </w:tcBorders>
          </w:tcPr>
          <w:p w14:paraId="6B046CE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(0.0185)</w:t>
            </w:r>
          </w:p>
        </w:tc>
      </w:tr>
      <w:tr w:rsidR="00880312" w:rsidRPr="00880312" w14:paraId="6BA07748" w14:textId="77777777" w:rsidTr="009E69CE">
        <w:trPr>
          <w:trHeight w:val="254"/>
        </w:trPr>
        <w:tc>
          <w:tcPr>
            <w:tcW w:w="3686" w:type="dxa"/>
            <w:tcBorders>
              <w:left w:val="single" w:sz="4" w:space="0" w:color="auto"/>
            </w:tcBorders>
          </w:tcPr>
          <w:p w14:paraId="66A2BB7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Constant</w:t>
            </w:r>
          </w:p>
        </w:tc>
        <w:tc>
          <w:tcPr>
            <w:tcW w:w="1701" w:type="dxa"/>
          </w:tcPr>
          <w:p w14:paraId="0BFFF6F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0.0467***</w:t>
            </w:r>
          </w:p>
        </w:tc>
        <w:tc>
          <w:tcPr>
            <w:tcW w:w="1701" w:type="dxa"/>
          </w:tcPr>
          <w:p w14:paraId="75B236E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0.0577**</w:t>
            </w:r>
          </w:p>
        </w:tc>
        <w:tc>
          <w:tcPr>
            <w:tcW w:w="2126" w:type="dxa"/>
            <w:tcBorders>
              <w:right w:val="single" w:sz="4" w:space="0" w:color="auto"/>
            </w:tcBorders>
          </w:tcPr>
          <w:p w14:paraId="50F1E9B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0.0615**</w:t>
            </w:r>
          </w:p>
        </w:tc>
      </w:tr>
      <w:tr w:rsidR="00880312" w:rsidRPr="00880312" w14:paraId="05BDDD8F" w14:textId="77777777" w:rsidTr="009E69CE">
        <w:trPr>
          <w:trHeight w:val="266"/>
        </w:trPr>
        <w:tc>
          <w:tcPr>
            <w:tcW w:w="3686" w:type="dxa"/>
            <w:tcBorders>
              <w:left w:val="single" w:sz="4" w:space="0" w:color="auto"/>
            </w:tcBorders>
          </w:tcPr>
          <w:p w14:paraId="060D08E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3D1A862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(0.0201)</w:t>
            </w:r>
          </w:p>
        </w:tc>
        <w:tc>
          <w:tcPr>
            <w:tcW w:w="1701" w:type="dxa"/>
          </w:tcPr>
          <w:p w14:paraId="3D99DEB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(0.0201)</w:t>
            </w:r>
          </w:p>
        </w:tc>
        <w:tc>
          <w:tcPr>
            <w:tcW w:w="2126" w:type="dxa"/>
            <w:tcBorders>
              <w:right w:val="single" w:sz="4" w:space="0" w:color="auto"/>
            </w:tcBorders>
          </w:tcPr>
          <w:p w14:paraId="5301C3B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(0.0201)</w:t>
            </w:r>
          </w:p>
        </w:tc>
      </w:tr>
      <w:tr w:rsidR="00880312" w:rsidRPr="00880312" w14:paraId="5FB0E889" w14:textId="77777777" w:rsidTr="009E69CE">
        <w:trPr>
          <w:trHeight w:val="254"/>
        </w:trPr>
        <w:tc>
          <w:tcPr>
            <w:tcW w:w="3686" w:type="dxa"/>
            <w:tcBorders>
              <w:left w:val="single" w:sz="4" w:space="0" w:color="auto"/>
            </w:tcBorders>
          </w:tcPr>
          <w:p w14:paraId="5FE9728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19DB1B4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1701" w:type="dxa"/>
          </w:tcPr>
          <w:p w14:paraId="05B341A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c>
          <w:tcPr>
            <w:tcW w:w="2126" w:type="dxa"/>
            <w:tcBorders>
              <w:right w:val="single" w:sz="4" w:space="0" w:color="auto"/>
            </w:tcBorders>
          </w:tcPr>
          <w:p w14:paraId="48EA4DA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p>
        </w:tc>
      </w:tr>
      <w:tr w:rsidR="00880312" w:rsidRPr="00880312" w14:paraId="6471473E" w14:textId="77777777" w:rsidTr="009E69CE">
        <w:trPr>
          <w:trHeight w:val="254"/>
        </w:trPr>
        <w:tc>
          <w:tcPr>
            <w:tcW w:w="3686" w:type="dxa"/>
            <w:tcBorders>
              <w:left w:val="single" w:sz="4" w:space="0" w:color="auto"/>
            </w:tcBorders>
          </w:tcPr>
          <w:p w14:paraId="20D5C1D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Observations</w:t>
            </w:r>
          </w:p>
        </w:tc>
        <w:tc>
          <w:tcPr>
            <w:tcW w:w="1701" w:type="dxa"/>
          </w:tcPr>
          <w:p w14:paraId="43790D9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701" w:type="dxa"/>
          </w:tcPr>
          <w:p w14:paraId="160A7F0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1,630</w:t>
            </w:r>
          </w:p>
        </w:tc>
        <w:tc>
          <w:tcPr>
            <w:tcW w:w="2126" w:type="dxa"/>
            <w:tcBorders>
              <w:right w:val="single" w:sz="4" w:space="0" w:color="auto"/>
            </w:tcBorders>
          </w:tcPr>
          <w:p w14:paraId="2BB89D2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r>
      <w:tr w:rsidR="00880312" w:rsidRPr="00880312" w14:paraId="0C2DC38F" w14:textId="77777777" w:rsidTr="009E69CE">
        <w:trPr>
          <w:trHeight w:val="254"/>
        </w:trPr>
        <w:tc>
          <w:tcPr>
            <w:tcW w:w="3686" w:type="dxa"/>
            <w:tcBorders>
              <w:left w:val="single" w:sz="4" w:space="0" w:color="auto"/>
            </w:tcBorders>
          </w:tcPr>
          <w:p w14:paraId="68C6F53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R-squared</w:t>
            </w:r>
          </w:p>
        </w:tc>
        <w:tc>
          <w:tcPr>
            <w:tcW w:w="1701" w:type="dxa"/>
          </w:tcPr>
          <w:p w14:paraId="33B9CA5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0.474</w:t>
            </w:r>
          </w:p>
        </w:tc>
        <w:tc>
          <w:tcPr>
            <w:tcW w:w="1701" w:type="dxa"/>
          </w:tcPr>
          <w:p w14:paraId="7995695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0.470</w:t>
            </w:r>
          </w:p>
        </w:tc>
        <w:tc>
          <w:tcPr>
            <w:tcW w:w="2126" w:type="dxa"/>
            <w:tcBorders>
              <w:right w:val="single" w:sz="4" w:space="0" w:color="auto"/>
            </w:tcBorders>
          </w:tcPr>
          <w:p w14:paraId="73F8003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0.484</w:t>
            </w:r>
          </w:p>
        </w:tc>
      </w:tr>
      <w:tr w:rsidR="00880312" w:rsidRPr="00880312" w14:paraId="7D851759" w14:textId="77777777" w:rsidTr="009E69CE">
        <w:trPr>
          <w:trHeight w:val="254"/>
        </w:trPr>
        <w:tc>
          <w:tcPr>
            <w:tcW w:w="3686" w:type="dxa"/>
            <w:tcBorders>
              <w:left w:val="single" w:sz="4" w:space="0" w:color="auto"/>
            </w:tcBorders>
          </w:tcPr>
          <w:p w14:paraId="52B3FC9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Year F.E.</w:t>
            </w:r>
          </w:p>
        </w:tc>
        <w:tc>
          <w:tcPr>
            <w:tcW w:w="1701" w:type="dxa"/>
          </w:tcPr>
          <w:p w14:paraId="5DEF380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Pr>
          <w:p w14:paraId="3D453D5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2126" w:type="dxa"/>
            <w:tcBorders>
              <w:right w:val="single" w:sz="4" w:space="0" w:color="auto"/>
            </w:tcBorders>
          </w:tcPr>
          <w:p w14:paraId="244EC91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r w:rsidR="00880312" w:rsidRPr="00880312" w14:paraId="7BE21ED0" w14:textId="77777777" w:rsidTr="009E69CE">
        <w:trPr>
          <w:trHeight w:val="254"/>
        </w:trPr>
        <w:tc>
          <w:tcPr>
            <w:tcW w:w="3686" w:type="dxa"/>
            <w:tcBorders>
              <w:left w:val="single" w:sz="4" w:space="0" w:color="auto"/>
              <w:bottom w:val="single" w:sz="4" w:space="0" w:color="auto"/>
            </w:tcBorders>
          </w:tcPr>
          <w:p w14:paraId="75DDA0A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F.E.</w:t>
            </w:r>
          </w:p>
        </w:tc>
        <w:tc>
          <w:tcPr>
            <w:tcW w:w="1701" w:type="dxa"/>
            <w:tcBorders>
              <w:bottom w:val="single" w:sz="4" w:space="0" w:color="auto"/>
            </w:tcBorders>
          </w:tcPr>
          <w:p w14:paraId="5269E3B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Borders>
              <w:bottom w:val="single" w:sz="4" w:space="0" w:color="auto"/>
            </w:tcBorders>
          </w:tcPr>
          <w:p w14:paraId="4350C4D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2126" w:type="dxa"/>
            <w:tcBorders>
              <w:bottom w:val="single" w:sz="4" w:space="0" w:color="auto"/>
              <w:right w:val="single" w:sz="4" w:space="0" w:color="auto"/>
            </w:tcBorders>
          </w:tcPr>
          <w:p w14:paraId="0C9CF14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bl>
    <w:p w14:paraId="6A31CC29" w14:textId="77777777" w:rsidR="00880312" w:rsidRPr="00880312" w:rsidRDefault="00880312" w:rsidP="00880312">
      <w:pPr>
        <w:rPr>
          <w:rFonts w:ascii="Times New Roman" w:eastAsia="DengXian" w:hAnsi="Times New Roman" w:cs="Times New Roman"/>
          <w:color w:val="000000"/>
          <w:sz w:val="24"/>
          <w:szCs w:val="24"/>
          <w:lang w:eastAsia="zh-CN"/>
        </w:rPr>
      </w:pPr>
      <w:r w:rsidRPr="00880312">
        <w:rPr>
          <w:rFonts w:ascii="Times New Roman" w:eastAsia="DengXian" w:hAnsi="Times New Roman" w:cs="Times New Roman"/>
          <w:color w:val="000000"/>
          <w:sz w:val="24"/>
          <w:szCs w:val="24"/>
          <w:lang w:eastAsia="zh-CN"/>
        </w:rPr>
        <w:br w:type="page"/>
      </w:r>
    </w:p>
    <w:p w14:paraId="13722514" w14:textId="77777777" w:rsidR="00880312" w:rsidRPr="00880312" w:rsidRDefault="00880312" w:rsidP="00880312">
      <w:pPr>
        <w:jc w:val="center"/>
        <w:rPr>
          <w:rFonts w:ascii="Times New Roman" w:eastAsia="DengXian" w:hAnsi="Times New Roman" w:cs="Times New Roman"/>
          <w:color w:val="000000"/>
          <w:sz w:val="24"/>
          <w:szCs w:val="24"/>
          <w:lang w:eastAsia="zh-CN"/>
        </w:rPr>
      </w:pPr>
    </w:p>
    <w:p w14:paraId="7C61DD40" w14:textId="4BA3215E" w:rsidR="00880312" w:rsidRPr="00E30E2D" w:rsidRDefault="00DE7639" w:rsidP="00DE7639">
      <w:pPr>
        <w:pStyle w:val="Caption"/>
        <w:rPr>
          <w:rFonts w:ascii="Times New Roman" w:eastAsia="DengXian" w:hAnsi="Times New Roman" w:cs="Times New Roman"/>
          <w:b/>
          <w:bCs/>
          <w:i w:val="0"/>
          <w:iCs w:val="0"/>
          <w:color w:val="000000"/>
          <w:sz w:val="28"/>
          <w:szCs w:val="28"/>
          <w:lang w:eastAsia="zh-CN"/>
        </w:rPr>
      </w:pPr>
      <w:bookmarkStart w:id="127" w:name="_Toc132386106"/>
      <w:bookmarkStart w:id="128" w:name="_Toc132437298"/>
      <w:r w:rsidRPr="00E30E2D">
        <w:rPr>
          <w:rFonts w:ascii="Times New Roman" w:eastAsia="DengXian" w:hAnsi="Times New Roman" w:cs="Times New Roman"/>
          <w:b/>
          <w:bCs/>
          <w:i w:val="0"/>
          <w:iCs w:val="0"/>
          <w:color w:val="000000"/>
          <w:sz w:val="28"/>
          <w:szCs w:val="28"/>
          <w:lang w:eastAsia="zh-CN"/>
        </w:rPr>
        <w:t>Table4.</w:t>
      </w:r>
      <w:r w:rsidR="00221C3A">
        <w:rPr>
          <w:rFonts w:ascii="Times New Roman" w:eastAsia="DengXian" w:hAnsi="Times New Roman" w:cs="Times New Roman"/>
          <w:b/>
          <w:bCs/>
          <w:i w:val="0"/>
          <w:iCs w:val="0"/>
          <w:color w:val="000000"/>
          <w:sz w:val="28"/>
          <w:szCs w:val="28"/>
          <w:lang w:eastAsia="zh-CN"/>
        </w:rPr>
        <w:t>5</w:t>
      </w:r>
      <w:r w:rsidRPr="00E30E2D">
        <w:rPr>
          <w:rFonts w:ascii="Times New Roman" w:eastAsia="DengXian" w:hAnsi="Times New Roman" w:cs="Times New Roman"/>
          <w:b/>
          <w:bCs/>
          <w:i w:val="0"/>
          <w:iCs w:val="0"/>
          <w:color w:val="000000"/>
          <w:sz w:val="28"/>
          <w:szCs w:val="28"/>
          <w:lang w:eastAsia="zh-CN"/>
        </w:rPr>
        <w:t>. Board Gender Diversity, Risk Culture and Bank Risk- Critical Mass</w:t>
      </w:r>
      <w:bookmarkEnd w:id="127"/>
      <w:bookmarkEnd w:id="128"/>
    </w:p>
    <w:p w14:paraId="7ADF8F70" w14:textId="28E44600" w:rsidR="00DE7639" w:rsidRPr="00DE7639" w:rsidRDefault="00DE7639" w:rsidP="00DE7639">
      <w:pPr>
        <w:rPr>
          <w:lang w:eastAsia="zh-CN"/>
        </w:rPr>
      </w:pPr>
      <w:r w:rsidRPr="00880312">
        <w:rPr>
          <w:rFonts w:ascii="Times New Roman" w:eastAsia="DengXian" w:hAnsi="Times New Roman" w:cs="Times New Roman"/>
          <w:color w:val="000000"/>
          <w:lang w:eastAsia="zh-CN"/>
        </w:rPr>
        <w:t>This table reports bank risk-taking in year t. The key variable is the interaction of Critical Mass (&gt;=3) and Risk culture. Standard errors are clustered at the bank level and are reported in parentheses. ***, **, * denotes significance at 1%, 5% and 10% level respectively.</w:t>
      </w:r>
    </w:p>
    <w:tbl>
      <w:tblPr>
        <w:tblW w:w="9256" w:type="dxa"/>
        <w:jc w:val="center"/>
        <w:tblLayout w:type="fixed"/>
        <w:tblCellMar>
          <w:left w:w="75" w:type="dxa"/>
          <w:right w:w="75" w:type="dxa"/>
        </w:tblCellMar>
        <w:tblLook w:val="0000" w:firstRow="0" w:lastRow="0" w:firstColumn="0" w:lastColumn="0" w:noHBand="0" w:noVBand="0"/>
      </w:tblPr>
      <w:tblGrid>
        <w:gridCol w:w="2648"/>
        <w:gridCol w:w="1537"/>
        <w:gridCol w:w="1690"/>
        <w:gridCol w:w="1690"/>
        <w:gridCol w:w="1691"/>
      </w:tblGrid>
      <w:tr w:rsidR="00880312" w:rsidRPr="00880312" w14:paraId="56E61372" w14:textId="77777777" w:rsidTr="009E69CE">
        <w:trPr>
          <w:trHeight w:val="270"/>
          <w:jc w:val="center"/>
        </w:trPr>
        <w:tc>
          <w:tcPr>
            <w:tcW w:w="2648" w:type="dxa"/>
            <w:tcBorders>
              <w:top w:val="single" w:sz="4" w:space="0" w:color="auto"/>
              <w:left w:val="single" w:sz="4" w:space="0" w:color="auto"/>
            </w:tcBorders>
          </w:tcPr>
          <w:p w14:paraId="5171DF1A"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537" w:type="dxa"/>
            <w:tcBorders>
              <w:top w:val="single" w:sz="4" w:space="0" w:color="auto"/>
            </w:tcBorders>
          </w:tcPr>
          <w:p w14:paraId="1888D63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(1)</w:t>
            </w:r>
          </w:p>
        </w:tc>
        <w:tc>
          <w:tcPr>
            <w:tcW w:w="1690" w:type="dxa"/>
            <w:tcBorders>
              <w:top w:val="single" w:sz="4" w:space="0" w:color="auto"/>
            </w:tcBorders>
          </w:tcPr>
          <w:p w14:paraId="548ED9C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(2)</w:t>
            </w:r>
          </w:p>
        </w:tc>
        <w:tc>
          <w:tcPr>
            <w:tcW w:w="1690" w:type="dxa"/>
            <w:tcBorders>
              <w:top w:val="single" w:sz="4" w:space="0" w:color="auto"/>
            </w:tcBorders>
          </w:tcPr>
          <w:p w14:paraId="0746041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(3)</w:t>
            </w:r>
          </w:p>
        </w:tc>
        <w:tc>
          <w:tcPr>
            <w:tcW w:w="1691" w:type="dxa"/>
            <w:tcBorders>
              <w:top w:val="single" w:sz="4" w:space="0" w:color="auto"/>
              <w:right w:val="single" w:sz="4" w:space="0" w:color="auto"/>
            </w:tcBorders>
          </w:tcPr>
          <w:p w14:paraId="241864F7"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(4)</w:t>
            </w:r>
          </w:p>
        </w:tc>
      </w:tr>
      <w:tr w:rsidR="00880312" w:rsidRPr="00880312" w14:paraId="02D8C16A" w14:textId="77777777" w:rsidTr="009E69CE">
        <w:trPr>
          <w:trHeight w:val="270"/>
          <w:jc w:val="center"/>
        </w:trPr>
        <w:tc>
          <w:tcPr>
            <w:tcW w:w="2648" w:type="dxa"/>
            <w:tcBorders>
              <w:left w:val="single" w:sz="4" w:space="0" w:color="auto"/>
              <w:bottom w:val="single" w:sz="4" w:space="0" w:color="auto"/>
            </w:tcBorders>
          </w:tcPr>
          <w:p w14:paraId="5384F3B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VARIABLES</w:t>
            </w:r>
          </w:p>
        </w:tc>
        <w:tc>
          <w:tcPr>
            <w:tcW w:w="1537" w:type="dxa"/>
            <w:tcBorders>
              <w:bottom w:val="single" w:sz="4" w:space="0" w:color="auto"/>
            </w:tcBorders>
          </w:tcPr>
          <w:p w14:paraId="2E85FA7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1690" w:type="dxa"/>
            <w:tcBorders>
              <w:bottom w:val="single" w:sz="4" w:space="0" w:color="auto"/>
            </w:tcBorders>
          </w:tcPr>
          <w:p w14:paraId="64E651F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1690" w:type="dxa"/>
            <w:tcBorders>
              <w:bottom w:val="single" w:sz="4" w:space="0" w:color="auto"/>
            </w:tcBorders>
          </w:tcPr>
          <w:p w14:paraId="72E2528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1691" w:type="dxa"/>
            <w:tcBorders>
              <w:bottom w:val="single" w:sz="4" w:space="0" w:color="auto"/>
              <w:right w:val="single" w:sz="4" w:space="0" w:color="auto"/>
            </w:tcBorders>
          </w:tcPr>
          <w:p w14:paraId="6F8600C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r>
      <w:tr w:rsidR="00880312" w:rsidRPr="00880312" w14:paraId="4C711496" w14:textId="77777777" w:rsidTr="009E69CE">
        <w:trPr>
          <w:trHeight w:val="270"/>
          <w:jc w:val="center"/>
        </w:trPr>
        <w:tc>
          <w:tcPr>
            <w:tcW w:w="2648" w:type="dxa"/>
            <w:tcBorders>
              <w:top w:val="single" w:sz="4" w:space="0" w:color="auto"/>
              <w:left w:val="single" w:sz="4" w:space="0" w:color="auto"/>
            </w:tcBorders>
          </w:tcPr>
          <w:p w14:paraId="5080C15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Borders>
              <w:top w:val="single" w:sz="4" w:space="0" w:color="auto"/>
            </w:tcBorders>
          </w:tcPr>
          <w:p w14:paraId="7687266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Borders>
              <w:top w:val="single" w:sz="4" w:space="0" w:color="auto"/>
            </w:tcBorders>
          </w:tcPr>
          <w:p w14:paraId="39D8A2B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Borders>
              <w:top w:val="single" w:sz="4" w:space="0" w:color="auto"/>
            </w:tcBorders>
          </w:tcPr>
          <w:p w14:paraId="46E839C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top w:val="single" w:sz="4" w:space="0" w:color="auto"/>
              <w:right w:val="single" w:sz="4" w:space="0" w:color="auto"/>
            </w:tcBorders>
          </w:tcPr>
          <w:p w14:paraId="55FC55B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2628D8A4" w14:textId="77777777" w:rsidTr="009E69CE">
        <w:trPr>
          <w:trHeight w:val="270"/>
          <w:jc w:val="center"/>
        </w:trPr>
        <w:tc>
          <w:tcPr>
            <w:tcW w:w="2648" w:type="dxa"/>
            <w:tcBorders>
              <w:left w:val="single" w:sz="4" w:space="0" w:color="auto"/>
            </w:tcBorders>
          </w:tcPr>
          <w:p w14:paraId="292FA6C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537" w:type="dxa"/>
          </w:tcPr>
          <w:p w14:paraId="241E8D9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0.0837**</w:t>
            </w:r>
          </w:p>
        </w:tc>
        <w:tc>
          <w:tcPr>
            <w:tcW w:w="1690" w:type="dxa"/>
          </w:tcPr>
          <w:p w14:paraId="432ABD8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0.0781**</w:t>
            </w:r>
          </w:p>
        </w:tc>
        <w:tc>
          <w:tcPr>
            <w:tcW w:w="1690" w:type="dxa"/>
          </w:tcPr>
          <w:p w14:paraId="59B5146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0.0782**</w:t>
            </w:r>
          </w:p>
        </w:tc>
        <w:tc>
          <w:tcPr>
            <w:tcW w:w="1691" w:type="dxa"/>
            <w:tcBorders>
              <w:right w:val="single" w:sz="4" w:space="0" w:color="auto"/>
            </w:tcBorders>
          </w:tcPr>
          <w:p w14:paraId="12DC3D5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0.110***</w:t>
            </w:r>
          </w:p>
        </w:tc>
      </w:tr>
      <w:tr w:rsidR="00880312" w:rsidRPr="00880312" w14:paraId="4E4964DE" w14:textId="77777777" w:rsidTr="009E69CE">
        <w:trPr>
          <w:trHeight w:val="270"/>
          <w:jc w:val="center"/>
        </w:trPr>
        <w:tc>
          <w:tcPr>
            <w:tcW w:w="2648" w:type="dxa"/>
            <w:tcBorders>
              <w:left w:val="single" w:sz="4" w:space="0" w:color="auto"/>
            </w:tcBorders>
          </w:tcPr>
          <w:p w14:paraId="080BD65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492B458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(0.0347)</w:t>
            </w:r>
          </w:p>
        </w:tc>
        <w:tc>
          <w:tcPr>
            <w:tcW w:w="1690" w:type="dxa"/>
          </w:tcPr>
          <w:p w14:paraId="1C1788D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(0.0339)</w:t>
            </w:r>
          </w:p>
        </w:tc>
        <w:tc>
          <w:tcPr>
            <w:tcW w:w="1690" w:type="dxa"/>
          </w:tcPr>
          <w:p w14:paraId="4DEA55E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(0.0341)</w:t>
            </w:r>
          </w:p>
        </w:tc>
        <w:tc>
          <w:tcPr>
            <w:tcW w:w="1691" w:type="dxa"/>
            <w:tcBorders>
              <w:right w:val="single" w:sz="4" w:space="0" w:color="auto"/>
            </w:tcBorders>
          </w:tcPr>
          <w:p w14:paraId="31EF8EE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(0.0277)</w:t>
            </w:r>
          </w:p>
        </w:tc>
      </w:tr>
      <w:tr w:rsidR="00880312" w:rsidRPr="00880312" w14:paraId="0C9E7440" w14:textId="77777777" w:rsidTr="009E69CE">
        <w:trPr>
          <w:trHeight w:val="270"/>
          <w:jc w:val="center"/>
        </w:trPr>
        <w:tc>
          <w:tcPr>
            <w:tcW w:w="2648" w:type="dxa"/>
            <w:tcBorders>
              <w:left w:val="single" w:sz="4" w:space="0" w:color="auto"/>
            </w:tcBorders>
          </w:tcPr>
          <w:p w14:paraId="70AF80A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Critical mass (&gt;=3)</w:t>
            </w:r>
          </w:p>
        </w:tc>
        <w:tc>
          <w:tcPr>
            <w:tcW w:w="1537" w:type="dxa"/>
          </w:tcPr>
          <w:p w14:paraId="17E73EA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-0.0971**</w:t>
            </w:r>
          </w:p>
        </w:tc>
        <w:tc>
          <w:tcPr>
            <w:tcW w:w="1690" w:type="dxa"/>
          </w:tcPr>
          <w:p w14:paraId="1D5AE76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436D363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4FC67C6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-0.0913***</w:t>
            </w:r>
          </w:p>
        </w:tc>
      </w:tr>
      <w:tr w:rsidR="00880312" w:rsidRPr="00880312" w14:paraId="7387EBDA" w14:textId="77777777" w:rsidTr="009E69CE">
        <w:trPr>
          <w:trHeight w:val="270"/>
          <w:jc w:val="center"/>
        </w:trPr>
        <w:tc>
          <w:tcPr>
            <w:tcW w:w="2648" w:type="dxa"/>
            <w:tcBorders>
              <w:left w:val="single" w:sz="4" w:space="0" w:color="auto"/>
            </w:tcBorders>
          </w:tcPr>
          <w:p w14:paraId="35DE7B0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3322120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(0.0446)</w:t>
            </w:r>
          </w:p>
        </w:tc>
        <w:tc>
          <w:tcPr>
            <w:tcW w:w="1690" w:type="dxa"/>
          </w:tcPr>
          <w:p w14:paraId="3D1AA4F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4238167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7CC3831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(0.0350)</w:t>
            </w:r>
          </w:p>
        </w:tc>
      </w:tr>
      <w:tr w:rsidR="00880312" w:rsidRPr="00880312" w14:paraId="12A25752" w14:textId="77777777" w:rsidTr="009E69CE">
        <w:trPr>
          <w:trHeight w:val="55"/>
          <w:jc w:val="center"/>
        </w:trPr>
        <w:tc>
          <w:tcPr>
            <w:tcW w:w="2648" w:type="dxa"/>
            <w:tcBorders>
              <w:left w:val="single" w:sz="4" w:space="0" w:color="auto"/>
            </w:tcBorders>
          </w:tcPr>
          <w:p w14:paraId="407011E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266B2FD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791841E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32A4DDC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79DC472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3E1FF028" w14:textId="77777777" w:rsidTr="009E69CE">
        <w:trPr>
          <w:trHeight w:val="270"/>
          <w:jc w:val="center"/>
        </w:trPr>
        <w:tc>
          <w:tcPr>
            <w:tcW w:w="2648" w:type="dxa"/>
            <w:tcBorders>
              <w:left w:val="single" w:sz="4" w:space="0" w:color="auto"/>
            </w:tcBorders>
          </w:tcPr>
          <w:p w14:paraId="78FCA87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Critical mass (&gt;=2)</w:t>
            </w:r>
          </w:p>
        </w:tc>
        <w:tc>
          <w:tcPr>
            <w:tcW w:w="1537" w:type="dxa"/>
          </w:tcPr>
          <w:p w14:paraId="0FD71E7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4AB7A6C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0.0315</w:t>
            </w:r>
          </w:p>
        </w:tc>
        <w:tc>
          <w:tcPr>
            <w:tcW w:w="1690" w:type="dxa"/>
          </w:tcPr>
          <w:p w14:paraId="0286C07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069285B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12D0F9F7" w14:textId="77777777" w:rsidTr="009E69CE">
        <w:trPr>
          <w:trHeight w:val="270"/>
          <w:jc w:val="center"/>
        </w:trPr>
        <w:tc>
          <w:tcPr>
            <w:tcW w:w="2648" w:type="dxa"/>
            <w:tcBorders>
              <w:left w:val="single" w:sz="4" w:space="0" w:color="auto"/>
            </w:tcBorders>
          </w:tcPr>
          <w:p w14:paraId="6A4D0DF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291E307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0636671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(0.0359)</w:t>
            </w:r>
          </w:p>
        </w:tc>
        <w:tc>
          <w:tcPr>
            <w:tcW w:w="1690" w:type="dxa"/>
          </w:tcPr>
          <w:p w14:paraId="701D2AE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2A04BCF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13D495D9" w14:textId="77777777" w:rsidTr="009E69CE">
        <w:trPr>
          <w:trHeight w:val="270"/>
          <w:jc w:val="center"/>
        </w:trPr>
        <w:tc>
          <w:tcPr>
            <w:tcW w:w="2648" w:type="dxa"/>
            <w:tcBorders>
              <w:left w:val="single" w:sz="4" w:space="0" w:color="auto"/>
            </w:tcBorders>
          </w:tcPr>
          <w:p w14:paraId="761223B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Critical mass (=1)</w:t>
            </w:r>
          </w:p>
        </w:tc>
        <w:tc>
          <w:tcPr>
            <w:tcW w:w="1537" w:type="dxa"/>
          </w:tcPr>
          <w:p w14:paraId="30F1ED8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4C32A5E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4E13F99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0.00849</w:t>
            </w:r>
          </w:p>
        </w:tc>
        <w:tc>
          <w:tcPr>
            <w:tcW w:w="1691" w:type="dxa"/>
            <w:tcBorders>
              <w:right w:val="single" w:sz="4" w:space="0" w:color="auto"/>
            </w:tcBorders>
          </w:tcPr>
          <w:p w14:paraId="6F5B122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58550386" w14:textId="77777777" w:rsidTr="009E69CE">
        <w:trPr>
          <w:trHeight w:val="270"/>
          <w:jc w:val="center"/>
        </w:trPr>
        <w:tc>
          <w:tcPr>
            <w:tcW w:w="2648" w:type="dxa"/>
            <w:tcBorders>
              <w:left w:val="single" w:sz="4" w:space="0" w:color="auto"/>
            </w:tcBorders>
          </w:tcPr>
          <w:p w14:paraId="5D856F7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6312D71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64D26E8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77E76E2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(0.0426)</w:t>
            </w:r>
          </w:p>
        </w:tc>
        <w:tc>
          <w:tcPr>
            <w:tcW w:w="1691" w:type="dxa"/>
            <w:tcBorders>
              <w:right w:val="single" w:sz="4" w:space="0" w:color="auto"/>
            </w:tcBorders>
          </w:tcPr>
          <w:p w14:paraId="047A066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01FF6ED7" w14:textId="77777777" w:rsidTr="009E69CE">
        <w:trPr>
          <w:trHeight w:val="528"/>
          <w:jc w:val="center"/>
        </w:trPr>
        <w:tc>
          <w:tcPr>
            <w:tcW w:w="2648" w:type="dxa"/>
            <w:tcBorders>
              <w:left w:val="single" w:sz="4" w:space="0" w:color="auto"/>
            </w:tcBorders>
          </w:tcPr>
          <w:p w14:paraId="5074FE8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Critical Mass (&gt;=3) * Risk Culture</w:t>
            </w:r>
          </w:p>
        </w:tc>
        <w:tc>
          <w:tcPr>
            <w:tcW w:w="1537" w:type="dxa"/>
          </w:tcPr>
          <w:p w14:paraId="33563D0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0E6F9B7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6AAC1C5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67C815F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-0.0608**</w:t>
            </w:r>
          </w:p>
        </w:tc>
      </w:tr>
      <w:tr w:rsidR="00880312" w:rsidRPr="00880312" w14:paraId="0BF59265" w14:textId="77777777" w:rsidTr="009E69CE">
        <w:trPr>
          <w:trHeight w:val="270"/>
          <w:jc w:val="center"/>
        </w:trPr>
        <w:tc>
          <w:tcPr>
            <w:tcW w:w="2648" w:type="dxa"/>
            <w:tcBorders>
              <w:left w:val="single" w:sz="4" w:space="0" w:color="auto"/>
            </w:tcBorders>
          </w:tcPr>
          <w:p w14:paraId="3F4BD3D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5B0BDA7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70C910D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6C992EB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4BA1744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(0.0304)</w:t>
            </w:r>
          </w:p>
        </w:tc>
      </w:tr>
      <w:tr w:rsidR="00880312" w:rsidRPr="00880312" w14:paraId="59FC21CD" w14:textId="77777777" w:rsidTr="009E69CE">
        <w:trPr>
          <w:trHeight w:val="270"/>
          <w:jc w:val="center"/>
        </w:trPr>
        <w:tc>
          <w:tcPr>
            <w:tcW w:w="2648" w:type="dxa"/>
            <w:tcBorders>
              <w:left w:val="single" w:sz="4" w:space="0" w:color="auto"/>
            </w:tcBorders>
          </w:tcPr>
          <w:p w14:paraId="66FDE9A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Indp_Director</w:t>
            </w:r>
          </w:p>
        </w:tc>
        <w:tc>
          <w:tcPr>
            <w:tcW w:w="1537" w:type="dxa"/>
          </w:tcPr>
          <w:p w14:paraId="35FAB2D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0.0279</w:t>
            </w:r>
          </w:p>
        </w:tc>
        <w:tc>
          <w:tcPr>
            <w:tcW w:w="1690" w:type="dxa"/>
          </w:tcPr>
          <w:p w14:paraId="6DACD5B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0.0256</w:t>
            </w:r>
          </w:p>
        </w:tc>
        <w:tc>
          <w:tcPr>
            <w:tcW w:w="1690" w:type="dxa"/>
          </w:tcPr>
          <w:p w14:paraId="1A90FE3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0.0273</w:t>
            </w:r>
          </w:p>
        </w:tc>
        <w:tc>
          <w:tcPr>
            <w:tcW w:w="1691" w:type="dxa"/>
            <w:tcBorders>
              <w:right w:val="single" w:sz="4" w:space="0" w:color="auto"/>
            </w:tcBorders>
          </w:tcPr>
          <w:p w14:paraId="477476B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0.0272</w:t>
            </w:r>
          </w:p>
        </w:tc>
      </w:tr>
      <w:tr w:rsidR="00880312" w:rsidRPr="00880312" w14:paraId="38AD7EC8" w14:textId="77777777" w:rsidTr="009E69CE">
        <w:trPr>
          <w:trHeight w:val="270"/>
          <w:jc w:val="center"/>
        </w:trPr>
        <w:tc>
          <w:tcPr>
            <w:tcW w:w="2648" w:type="dxa"/>
            <w:tcBorders>
              <w:left w:val="single" w:sz="4" w:space="0" w:color="auto"/>
            </w:tcBorders>
          </w:tcPr>
          <w:p w14:paraId="38A999F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5D83EF5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(0.0302)</w:t>
            </w:r>
          </w:p>
        </w:tc>
        <w:tc>
          <w:tcPr>
            <w:tcW w:w="1690" w:type="dxa"/>
          </w:tcPr>
          <w:p w14:paraId="2982DF2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(0.0300)</w:t>
            </w:r>
          </w:p>
        </w:tc>
        <w:tc>
          <w:tcPr>
            <w:tcW w:w="1690" w:type="dxa"/>
          </w:tcPr>
          <w:p w14:paraId="1CB804F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(0.0302)</w:t>
            </w:r>
          </w:p>
        </w:tc>
        <w:tc>
          <w:tcPr>
            <w:tcW w:w="1691" w:type="dxa"/>
            <w:tcBorders>
              <w:right w:val="single" w:sz="4" w:space="0" w:color="auto"/>
            </w:tcBorders>
          </w:tcPr>
          <w:p w14:paraId="5AA2F56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(0.0185)</w:t>
            </w:r>
          </w:p>
        </w:tc>
      </w:tr>
      <w:tr w:rsidR="00880312" w:rsidRPr="00880312" w14:paraId="2A101F43" w14:textId="77777777" w:rsidTr="009E69CE">
        <w:trPr>
          <w:trHeight w:val="270"/>
          <w:jc w:val="center"/>
        </w:trPr>
        <w:tc>
          <w:tcPr>
            <w:tcW w:w="2648" w:type="dxa"/>
            <w:tcBorders>
              <w:left w:val="single" w:sz="4" w:space="0" w:color="auto"/>
            </w:tcBorders>
          </w:tcPr>
          <w:p w14:paraId="72E59CF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537" w:type="dxa"/>
          </w:tcPr>
          <w:p w14:paraId="6DC48A0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-0.0414</w:t>
            </w:r>
          </w:p>
        </w:tc>
        <w:tc>
          <w:tcPr>
            <w:tcW w:w="1690" w:type="dxa"/>
          </w:tcPr>
          <w:p w14:paraId="27F0DD2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-0.0521*</w:t>
            </w:r>
          </w:p>
        </w:tc>
        <w:tc>
          <w:tcPr>
            <w:tcW w:w="1690" w:type="dxa"/>
          </w:tcPr>
          <w:p w14:paraId="5E61FA1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-0.0521*</w:t>
            </w:r>
          </w:p>
        </w:tc>
        <w:tc>
          <w:tcPr>
            <w:tcW w:w="1691" w:type="dxa"/>
            <w:tcBorders>
              <w:right w:val="single" w:sz="4" w:space="0" w:color="auto"/>
            </w:tcBorders>
          </w:tcPr>
          <w:p w14:paraId="6FC3152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-0.0426**</w:t>
            </w:r>
          </w:p>
        </w:tc>
      </w:tr>
      <w:tr w:rsidR="00880312" w:rsidRPr="00880312" w14:paraId="5A2A2B65" w14:textId="77777777" w:rsidTr="009E69CE">
        <w:trPr>
          <w:trHeight w:val="270"/>
          <w:jc w:val="center"/>
        </w:trPr>
        <w:tc>
          <w:tcPr>
            <w:tcW w:w="2648" w:type="dxa"/>
            <w:tcBorders>
              <w:left w:val="single" w:sz="4" w:space="0" w:color="auto"/>
            </w:tcBorders>
          </w:tcPr>
          <w:p w14:paraId="478C24E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6671A54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(0.0295)</w:t>
            </w:r>
          </w:p>
        </w:tc>
        <w:tc>
          <w:tcPr>
            <w:tcW w:w="1690" w:type="dxa"/>
          </w:tcPr>
          <w:p w14:paraId="30DDDD4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(0.0291)</w:t>
            </w:r>
          </w:p>
        </w:tc>
        <w:tc>
          <w:tcPr>
            <w:tcW w:w="1690" w:type="dxa"/>
          </w:tcPr>
          <w:p w14:paraId="4A7E896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(0.0295)</w:t>
            </w:r>
          </w:p>
        </w:tc>
        <w:tc>
          <w:tcPr>
            <w:tcW w:w="1691" w:type="dxa"/>
            <w:tcBorders>
              <w:right w:val="single" w:sz="4" w:space="0" w:color="auto"/>
            </w:tcBorders>
          </w:tcPr>
          <w:p w14:paraId="736A902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(0.0189)</w:t>
            </w:r>
          </w:p>
        </w:tc>
      </w:tr>
      <w:tr w:rsidR="00880312" w:rsidRPr="00880312" w14:paraId="2B36FF8F" w14:textId="77777777" w:rsidTr="009E69CE">
        <w:trPr>
          <w:trHeight w:val="270"/>
          <w:jc w:val="center"/>
        </w:trPr>
        <w:tc>
          <w:tcPr>
            <w:tcW w:w="2648" w:type="dxa"/>
            <w:tcBorders>
              <w:left w:val="single" w:sz="4" w:space="0" w:color="auto"/>
            </w:tcBorders>
          </w:tcPr>
          <w:p w14:paraId="1ECFB71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537" w:type="dxa"/>
          </w:tcPr>
          <w:p w14:paraId="21B0527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0.911***</w:t>
            </w:r>
          </w:p>
        </w:tc>
        <w:tc>
          <w:tcPr>
            <w:tcW w:w="1690" w:type="dxa"/>
          </w:tcPr>
          <w:p w14:paraId="04594A6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0.887***</w:t>
            </w:r>
          </w:p>
        </w:tc>
        <w:tc>
          <w:tcPr>
            <w:tcW w:w="1690" w:type="dxa"/>
          </w:tcPr>
          <w:p w14:paraId="7088CFD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0.887***</w:t>
            </w:r>
          </w:p>
        </w:tc>
        <w:tc>
          <w:tcPr>
            <w:tcW w:w="1691" w:type="dxa"/>
            <w:tcBorders>
              <w:right w:val="single" w:sz="4" w:space="0" w:color="auto"/>
            </w:tcBorders>
          </w:tcPr>
          <w:p w14:paraId="4B9B988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0.904***</w:t>
            </w:r>
          </w:p>
        </w:tc>
      </w:tr>
      <w:tr w:rsidR="00880312" w:rsidRPr="00880312" w14:paraId="33C0DB1F" w14:textId="77777777" w:rsidTr="009E69CE">
        <w:trPr>
          <w:trHeight w:val="270"/>
          <w:jc w:val="center"/>
        </w:trPr>
        <w:tc>
          <w:tcPr>
            <w:tcW w:w="2648" w:type="dxa"/>
            <w:tcBorders>
              <w:left w:val="single" w:sz="4" w:space="0" w:color="auto"/>
            </w:tcBorders>
          </w:tcPr>
          <w:p w14:paraId="77F6D13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52C5E52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(0.0816)</w:t>
            </w:r>
          </w:p>
        </w:tc>
        <w:tc>
          <w:tcPr>
            <w:tcW w:w="1690" w:type="dxa"/>
          </w:tcPr>
          <w:p w14:paraId="0CF4FAD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(0.0812)</w:t>
            </w:r>
          </w:p>
        </w:tc>
        <w:tc>
          <w:tcPr>
            <w:tcW w:w="1690" w:type="dxa"/>
          </w:tcPr>
          <w:p w14:paraId="2D47AC4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(0.0813)</w:t>
            </w:r>
          </w:p>
        </w:tc>
        <w:tc>
          <w:tcPr>
            <w:tcW w:w="1691" w:type="dxa"/>
            <w:tcBorders>
              <w:right w:val="single" w:sz="4" w:space="0" w:color="auto"/>
            </w:tcBorders>
          </w:tcPr>
          <w:p w14:paraId="31A8CCA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(0.0529)</w:t>
            </w:r>
          </w:p>
        </w:tc>
      </w:tr>
      <w:tr w:rsidR="00880312" w:rsidRPr="00880312" w14:paraId="565EC5B9" w14:textId="77777777" w:rsidTr="009E69CE">
        <w:trPr>
          <w:trHeight w:val="270"/>
          <w:jc w:val="center"/>
        </w:trPr>
        <w:tc>
          <w:tcPr>
            <w:tcW w:w="2648" w:type="dxa"/>
            <w:tcBorders>
              <w:left w:val="single" w:sz="4" w:space="0" w:color="auto"/>
            </w:tcBorders>
          </w:tcPr>
          <w:p w14:paraId="08A2F8A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537" w:type="dxa"/>
          </w:tcPr>
          <w:p w14:paraId="6F2AB21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-0.0291</w:t>
            </w:r>
          </w:p>
        </w:tc>
        <w:tc>
          <w:tcPr>
            <w:tcW w:w="1690" w:type="dxa"/>
          </w:tcPr>
          <w:p w14:paraId="53FF848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-0.0331</w:t>
            </w:r>
          </w:p>
        </w:tc>
        <w:tc>
          <w:tcPr>
            <w:tcW w:w="1690" w:type="dxa"/>
          </w:tcPr>
          <w:p w14:paraId="0C8D383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-0.0349</w:t>
            </w:r>
          </w:p>
        </w:tc>
        <w:tc>
          <w:tcPr>
            <w:tcW w:w="1691" w:type="dxa"/>
            <w:tcBorders>
              <w:right w:val="single" w:sz="4" w:space="0" w:color="auto"/>
            </w:tcBorders>
          </w:tcPr>
          <w:p w14:paraId="20B18C4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-0.0265</w:t>
            </w:r>
          </w:p>
        </w:tc>
      </w:tr>
      <w:tr w:rsidR="00880312" w:rsidRPr="00880312" w14:paraId="2B1EB82B" w14:textId="77777777" w:rsidTr="009E69CE">
        <w:trPr>
          <w:trHeight w:val="270"/>
          <w:jc w:val="center"/>
        </w:trPr>
        <w:tc>
          <w:tcPr>
            <w:tcW w:w="2648" w:type="dxa"/>
            <w:tcBorders>
              <w:left w:val="single" w:sz="4" w:space="0" w:color="auto"/>
            </w:tcBorders>
          </w:tcPr>
          <w:p w14:paraId="0CD42CD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42C802E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(0.0498)</w:t>
            </w:r>
          </w:p>
        </w:tc>
        <w:tc>
          <w:tcPr>
            <w:tcW w:w="1690" w:type="dxa"/>
          </w:tcPr>
          <w:p w14:paraId="0E241B8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(0.0492)</w:t>
            </w:r>
          </w:p>
        </w:tc>
        <w:tc>
          <w:tcPr>
            <w:tcW w:w="1690" w:type="dxa"/>
          </w:tcPr>
          <w:p w14:paraId="1A3FF7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(0.0494)</w:t>
            </w:r>
          </w:p>
        </w:tc>
        <w:tc>
          <w:tcPr>
            <w:tcW w:w="1691" w:type="dxa"/>
            <w:tcBorders>
              <w:right w:val="single" w:sz="4" w:space="0" w:color="auto"/>
            </w:tcBorders>
          </w:tcPr>
          <w:p w14:paraId="2308FEA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(0.0466)</w:t>
            </w:r>
          </w:p>
        </w:tc>
      </w:tr>
      <w:tr w:rsidR="00880312" w:rsidRPr="00880312" w14:paraId="202B9735" w14:textId="77777777" w:rsidTr="009E69CE">
        <w:trPr>
          <w:trHeight w:val="270"/>
          <w:jc w:val="center"/>
        </w:trPr>
        <w:tc>
          <w:tcPr>
            <w:tcW w:w="2648" w:type="dxa"/>
            <w:tcBorders>
              <w:left w:val="single" w:sz="4" w:space="0" w:color="auto"/>
            </w:tcBorders>
          </w:tcPr>
          <w:p w14:paraId="548C1F7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537" w:type="dxa"/>
          </w:tcPr>
          <w:p w14:paraId="1EA0DE6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0.0391</w:t>
            </w:r>
          </w:p>
        </w:tc>
        <w:tc>
          <w:tcPr>
            <w:tcW w:w="1690" w:type="dxa"/>
          </w:tcPr>
          <w:p w14:paraId="1C80965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0.0391</w:t>
            </w:r>
          </w:p>
        </w:tc>
        <w:tc>
          <w:tcPr>
            <w:tcW w:w="1690" w:type="dxa"/>
          </w:tcPr>
          <w:p w14:paraId="0C13822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0.0299</w:t>
            </w:r>
          </w:p>
        </w:tc>
        <w:tc>
          <w:tcPr>
            <w:tcW w:w="1691" w:type="dxa"/>
            <w:tcBorders>
              <w:right w:val="single" w:sz="4" w:space="0" w:color="auto"/>
            </w:tcBorders>
          </w:tcPr>
          <w:p w14:paraId="6375257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0.0552</w:t>
            </w:r>
          </w:p>
        </w:tc>
      </w:tr>
      <w:tr w:rsidR="00880312" w:rsidRPr="00880312" w14:paraId="4E561F76" w14:textId="77777777" w:rsidTr="009E69CE">
        <w:trPr>
          <w:trHeight w:val="270"/>
          <w:jc w:val="center"/>
        </w:trPr>
        <w:tc>
          <w:tcPr>
            <w:tcW w:w="2648" w:type="dxa"/>
            <w:tcBorders>
              <w:left w:val="single" w:sz="4" w:space="0" w:color="auto"/>
            </w:tcBorders>
          </w:tcPr>
          <w:p w14:paraId="4354969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1F21B32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(0.163)</w:t>
            </w:r>
          </w:p>
        </w:tc>
        <w:tc>
          <w:tcPr>
            <w:tcW w:w="1690" w:type="dxa"/>
          </w:tcPr>
          <w:p w14:paraId="6AE30E5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(0.162)</w:t>
            </w:r>
          </w:p>
        </w:tc>
        <w:tc>
          <w:tcPr>
            <w:tcW w:w="1690" w:type="dxa"/>
          </w:tcPr>
          <w:p w14:paraId="23AA601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(0.162)</w:t>
            </w:r>
          </w:p>
        </w:tc>
        <w:tc>
          <w:tcPr>
            <w:tcW w:w="1691" w:type="dxa"/>
            <w:tcBorders>
              <w:right w:val="single" w:sz="4" w:space="0" w:color="auto"/>
            </w:tcBorders>
          </w:tcPr>
          <w:p w14:paraId="5A356AF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(0.112)</w:t>
            </w:r>
          </w:p>
        </w:tc>
      </w:tr>
      <w:tr w:rsidR="00880312" w:rsidRPr="00880312" w14:paraId="79404911" w14:textId="77777777" w:rsidTr="009E69CE">
        <w:trPr>
          <w:trHeight w:val="258"/>
          <w:jc w:val="center"/>
        </w:trPr>
        <w:tc>
          <w:tcPr>
            <w:tcW w:w="2648" w:type="dxa"/>
            <w:tcBorders>
              <w:left w:val="single" w:sz="4" w:space="0" w:color="auto"/>
            </w:tcBorders>
          </w:tcPr>
          <w:p w14:paraId="5901CA8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537" w:type="dxa"/>
          </w:tcPr>
          <w:p w14:paraId="34C2B27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-0.258***</w:t>
            </w:r>
          </w:p>
        </w:tc>
        <w:tc>
          <w:tcPr>
            <w:tcW w:w="1690" w:type="dxa"/>
          </w:tcPr>
          <w:p w14:paraId="2C4680B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-0.259***</w:t>
            </w:r>
          </w:p>
        </w:tc>
        <w:tc>
          <w:tcPr>
            <w:tcW w:w="1690" w:type="dxa"/>
          </w:tcPr>
          <w:p w14:paraId="27C59AE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-0.258***</w:t>
            </w:r>
          </w:p>
        </w:tc>
        <w:tc>
          <w:tcPr>
            <w:tcW w:w="1691" w:type="dxa"/>
            <w:tcBorders>
              <w:right w:val="single" w:sz="4" w:space="0" w:color="auto"/>
            </w:tcBorders>
          </w:tcPr>
          <w:p w14:paraId="62D3FA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-0.257***</w:t>
            </w:r>
          </w:p>
        </w:tc>
      </w:tr>
      <w:tr w:rsidR="00880312" w:rsidRPr="00880312" w14:paraId="5CC225CD" w14:textId="77777777" w:rsidTr="009E69CE">
        <w:trPr>
          <w:trHeight w:val="270"/>
          <w:jc w:val="center"/>
        </w:trPr>
        <w:tc>
          <w:tcPr>
            <w:tcW w:w="2648" w:type="dxa"/>
            <w:tcBorders>
              <w:left w:val="single" w:sz="4" w:space="0" w:color="auto"/>
            </w:tcBorders>
          </w:tcPr>
          <w:p w14:paraId="323FFA7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5B77EF8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(0.0165)</w:t>
            </w:r>
          </w:p>
        </w:tc>
        <w:tc>
          <w:tcPr>
            <w:tcW w:w="1690" w:type="dxa"/>
          </w:tcPr>
          <w:p w14:paraId="232E1C5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(0.0164)</w:t>
            </w:r>
          </w:p>
        </w:tc>
        <w:tc>
          <w:tcPr>
            <w:tcW w:w="1690" w:type="dxa"/>
          </w:tcPr>
          <w:p w14:paraId="3B02E65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(0.0164)</w:t>
            </w:r>
          </w:p>
        </w:tc>
        <w:tc>
          <w:tcPr>
            <w:tcW w:w="1691" w:type="dxa"/>
            <w:tcBorders>
              <w:right w:val="single" w:sz="4" w:space="0" w:color="auto"/>
            </w:tcBorders>
          </w:tcPr>
          <w:p w14:paraId="794B672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(0.0111)</w:t>
            </w:r>
          </w:p>
        </w:tc>
      </w:tr>
      <w:tr w:rsidR="00880312" w:rsidRPr="00880312" w14:paraId="2D2B21F1" w14:textId="77777777" w:rsidTr="009E69CE">
        <w:trPr>
          <w:trHeight w:val="270"/>
          <w:jc w:val="center"/>
        </w:trPr>
        <w:tc>
          <w:tcPr>
            <w:tcW w:w="2648" w:type="dxa"/>
            <w:tcBorders>
              <w:left w:val="single" w:sz="4" w:space="0" w:color="auto"/>
            </w:tcBorders>
          </w:tcPr>
          <w:p w14:paraId="1F311E7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537" w:type="dxa"/>
          </w:tcPr>
          <w:p w14:paraId="3A6976E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0.0352**</w:t>
            </w:r>
          </w:p>
        </w:tc>
        <w:tc>
          <w:tcPr>
            <w:tcW w:w="1690" w:type="dxa"/>
          </w:tcPr>
          <w:p w14:paraId="7B03F31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0.0355**</w:t>
            </w:r>
          </w:p>
        </w:tc>
        <w:tc>
          <w:tcPr>
            <w:tcW w:w="1690" w:type="dxa"/>
          </w:tcPr>
          <w:p w14:paraId="619235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0.0359**</w:t>
            </w:r>
          </w:p>
        </w:tc>
        <w:tc>
          <w:tcPr>
            <w:tcW w:w="1691" w:type="dxa"/>
            <w:tcBorders>
              <w:right w:val="single" w:sz="4" w:space="0" w:color="auto"/>
            </w:tcBorders>
          </w:tcPr>
          <w:p w14:paraId="411DBEB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0.0348***</w:t>
            </w:r>
          </w:p>
        </w:tc>
      </w:tr>
      <w:tr w:rsidR="00880312" w:rsidRPr="00880312" w14:paraId="29A9149D" w14:textId="77777777" w:rsidTr="009E69CE">
        <w:trPr>
          <w:trHeight w:val="270"/>
          <w:jc w:val="center"/>
        </w:trPr>
        <w:tc>
          <w:tcPr>
            <w:tcW w:w="2648" w:type="dxa"/>
            <w:tcBorders>
              <w:left w:val="single" w:sz="4" w:space="0" w:color="auto"/>
            </w:tcBorders>
          </w:tcPr>
          <w:p w14:paraId="6AC1E6C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2BBE498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(0.0147)</w:t>
            </w:r>
          </w:p>
        </w:tc>
        <w:tc>
          <w:tcPr>
            <w:tcW w:w="1690" w:type="dxa"/>
          </w:tcPr>
          <w:p w14:paraId="3E17FB4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(0.0150)</w:t>
            </w:r>
          </w:p>
        </w:tc>
        <w:tc>
          <w:tcPr>
            <w:tcW w:w="1690" w:type="dxa"/>
          </w:tcPr>
          <w:p w14:paraId="39101CA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(0.0150)</w:t>
            </w:r>
          </w:p>
        </w:tc>
        <w:tc>
          <w:tcPr>
            <w:tcW w:w="1691" w:type="dxa"/>
            <w:tcBorders>
              <w:right w:val="single" w:sz="4" w:space="0" w:color="auto"/>
            </w:tcBorders>
          </w:tcPr>
          <w:p w14:paraId="3A27F32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(0.0117)</w:t>
            </w:r>
          </w:p>
        </w:tc>
      </w:tr>
      <w:tr w:rsidR="00880312" w:rsidRPr="00880312" w14:paraId="7363020F" w14:textId="77777777" w:rsidTr="009E69CE">
        <w:trPr>
          <w:trHeight w:val="270"/>
          <w:jc w:val="center"/>
        </w:trPr>
        <w:tc>
          <w:tcPr>
            <w:tcW w:w="2648" w:type="dxa"/>
            <w:tcBorders>
              <w:left w:val="single" w:sz="4" w:space="0" w:color="auto"/>
            </w:tcBorders>
          </w:tcPr>
          <w:p w14:paraId="568889E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537" w:type="dxa"/>
          </w:tcPr>
          <w:p w14:paraId="4F1F259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0.200***</w:t>
            </w:r>
          </w:p>
        </w:tc>
        <w:tc>
          <w:tcPr>
            <w:tcW w:w="1690" w:type="dxa"/>
          </w:tcPr>
          <w:p w14:paraId="78F2781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0.201***</w:t>
            </w:r>
          </w:p>
        </w:tc>
        <w:tc>
          <w:tcPr>
            <w:tcW w:w="1690" w:type="dxa"/>
          </w:tcPr>
          <w:p w14:paraId="08F6AAF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0.200***</w:t>
            </w:r>
          </w:p>
        </w:tc>
        <w:tc>
          <w:tcPr>
            <w:tcW w:w="1691" w:type="dxa"/>
            <w:tcBorders>
              <w:right w:val="single" w:sz="4" w:space="0" w:color="auto"/>
            </w:tcBorders>
          </w:tcPr>
          <w:p w14:paraId="7A0A2CB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0.201***</w:t>
            </w:r>
          </w:p>
        </w:tc>
      </w:tr>
      <w:tr w:rsidR="00880312" w:rsidRPr="00880312" w14:paraId="7EC24AB0" w14:textId="77777777" w:rsidTr="009E69CE">
        <w:trPr>
          <w:trHeight w:val="270"/>
          <w:jc w:val="center"/>
        </w:trPr>
        <w:tc>
          <w:tcPr>
            <w:tcW w:w="2648" w:type="dxa"/>
            <w:tcBorders>
              <w:left w:val="single" w:sz="4" w:space="0" w:color="auto"/>
            </w:tcBorders>
          </w:tcPr>
          <w:p w14:paraId="3852EAA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6001674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(0.0299)</w:t>
            </w:r>
          </w:p>
        </w:tc>
        <w:tc>
          <w:tcPr>
            <w:tcW w:w="1690" w:type="dxa"/>
          </w:tcPr>
          <w:p w14:paraId="30E401B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(0.0299)</w:t>
            </w:r>
          </w:p>
        </w:tc>
        <w:tc>
          <w:tcPr>
            <w:tcW w:w="1690" w:type="dxa"/>
          </w:tcPr>
          <w:p w14:paraId="3623553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(0.0299)</w:t>
            </w:r>
          </w:p>
        </w:tc>
        <w:tc>
          <w:tcPr>
            <w:tcW w:w="1691" w:type="dxa"/>
            <w:tcBorders>
              <w:right w:val="single" w:sz="4" w:space="0" w:color="auto"/>
            </w:tcBorders>
          </w:tcPr>
          <w:p w14:paraId="04885F7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(0.0187)</w:t>
            </w:r>
          </w:p>
        </w:tc>
      </w:tr>
      <w:tr w:rsidR="00880312" w:rsidRPr="00880312" w14:paraId="557217DF" w14:textId="77777777" w:rsidTr="009E69CE">
        <w:trPr>
          <w:trHeight w:val="270"/>
          <w:jc w:val="center"/>
        </w:trPr>
        <w:tc>
          <w:tcPr>
            <w:tcW w:w="2648" w:type="dxa"/>
            <w:tcBorders>
              <w:left w:val="single" w:sz="4" w:space="0" w:color="auto"/>
            </w:tcBorders>
          </w:tcPr>
          <w:p w14:paraId="7EB83D9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7D1ED8C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236F93A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0A7F3DA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4E6D62B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37C1725C" w14:textId="77777777" w:rsidTr="009E69CE">
        <w:trPr>
          <w:trHeight w:val="270"/>
          <w:jc w:val="center"/>
        </w:trPr>
        <w:tc>
          <w:tcPr>
            <w:tcW w:w="2648" w:type="dxa"/>
            <w:tcBorders>
              <w:left w:val="single" w:sz="4" w:space="0" w:color="auto"/>
            </w:tcBorders>
          </w:tcPr>
          <w:p w14:paraId="150AA1B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Constant</w:t>
            </w:r>
          </w:p>
        </w:tc>
        <w:tc>
          <w:tcPr>
            <w:tcW w:w="1537" w:type="dxa"/>
          </w:tcPr>
          <w:p w14:paraId="53EB1CA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0.0703***</w:t>
            </w:r>
          </w:p>
        </w:tc>
        <w:tc>
          <w:tcPr>
            <w:tcW w:w="1690" w:type="dxa"/>
          </w:tcPr>
          <w:p w14:paraId="7DB6584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0.0372</w:t>
            </w:r>
          </w:p>
        </w:tc>
        <w:tc>
          <w:tcPr>
            <w:tcW w:w="1690" w:type="dxa"/>
          </w:tcPr>
          <w:p w14:paraId="57667FE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0.0442</w:t>
            </w:r>
          </w:p>
        </w:tc>
        <w:tc>
          <w:tcPr>
            <w:tcW w:w="1691" w:type="dxa"/>
            <w:tcBorders>
              <w:right w:val="single" w:sz="4" w:space="0" w:color="auto"/>
            </w:tcBorders>
          </w:tcPr>
          <w:p w14:paraId="12468DF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0.0711***</w:t>
            </w:r>
          </w:p>
        </w:tc>
      </w:tr>
      <w:tr w:rsidR="00880312" w:rsidRPr="00880312" w14:paraId="082A652E" w14:textId="77777777" w:rsidTr="009E69CE">
        <w:trPr>
          <w:trHeight w:val="270"/>
          <w:jc w:val="center"/>
        </w:trPr>
        <w:tc>
          <w:tcPr>
            <w:tcW w:w="2648" w:type="dxa"/>
            <w:tcBorders>
              <w:left w:val="single" w:sz="4" w:space="0" w:color="auto"/>
            </w:tcBorders>
          </w:tcPr>
          <w:p w14:paraId="134CF24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09F7C39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(0.0250)</w:t>
            </w:r>
          </w:p>
        </w:tc>
        <w:tc>
          <w:tcPr>
            <w:tcW w:w="1690" w:type="dxa"/>
          </w:tcPr>
          <w:p w14:paraId="011684D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(0.0270)</w:t>
            </w:r>
          </w:p>
        </w:tc>
        <w:tc>
          <w:tcPr>
            <w:tcW w:w="1690" w:type="dxa"/>
          </w:tcPr>
          <w:p w14:paraId="57F30CE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(0.0299)</w:t>
            </w:r>
          </w:p>
        </w:tc>
        <w:tc>
          <w:tcPr>
            <w:tcW w:w="1691" w:type="dxa"/>
            <w:tcBorders>
              <w:right w:val="single" w:sz="4" w:space="0" w:color="auto"/>
            </w:tcBorders>
          </w:tcPr>
          <w:p w14:paraId="22433A9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(0.0218)</w:t>
            </w:r>
          </w:p>
        </w:tc>
      </w:tr>
      <w:tr w:rsidR="00880312" w:rsidRPr="00880312" w14:paraId="132E0474" w14:textId="77777777" w:rsidTr="009E69CE">
        <w:trPr>
          <w:trHeight w:val="66"/>
          <w:jc w:val="center"/>
        </w:trPr>
        <w:tc>
          <w:tcPr>
            <w:tcW w:w="2648" w:type="dxa"/>
            <w:tcBorders>
              <w:left w:val="single" w:sz="4" w:space="0" w:color="auto"/>
            </w:tcBorders>
          </w:tcPr>
          <w:p w14:paraId="5D78586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537" w:type="dxa"/>
          </w:tcPr>
          <w:p w14:paraId="6CE40DD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03F46B5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0" w:type="dxa"/>
          </w:tcPr>
          <w:p w14:paraId="52C7C2B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691" w:type="dxa"/>
            <w:tcBorders>
              <w:right w:val="single" w:sz="4" w:space="0" w:color="auto"/>
            </w:tcBorders>
          </w:tcPr>
          <w:p w14:paraId="548526C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880312" w:rsidRPr="00880312" w14:paraId="6E580679" w14:textId="77777777" w:rsidTr="009E69CE">
        <w:trPr>
          <w:trHeight w:val="270"/>
          <w:jc w:val="center"/>
        </w:trPr>
        <w:tc>
          <w:tcPr>
            <w:tcW w:w="2648" w:type="dxa"/>
            <w:tcBorders>
              <w:left w:val="single" w:sz="4" w:space="0" w:color="auto"/>
            </w:tcBorders>
          </w:tcPr>
          <w:p w14:paraId="676D8D4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Observations</w:t>
            </w:r>
          </w:p>
        </w:tc>
        <w:tc>
          <w:tcPr>
            <w:tcW w:w="1537" w:type="dxa"/>
          </w:tcPr>
          <w:p w14:paraId="70D21DB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690" w:type="dxa"/>
          </w:tcPr>
          <w:p w14:paraId="47CB849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690" w:type="dxa"/>
          </w:tcPr>
          <w:p w14:paraId="65A9B5C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691" w:type="dxa"/>
            <w:tcBorders>
              <w:right w:val="single" w:sz="4" w:space="0" w:color="auto"/>
            </w:tcBorders>
          </w:tcPr>
          <w:p w14:paraId="3AAF338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r>
      <w:tr w:rsidR="00880312" w:rsidRPr="00880312" w14:paraId="55EB2D54" w14:textId="77777777" w:rsidTr="009E69CE">
        <w:trPr>
          <w:trHeight w:val="270"/>
          <w:jc w:val="center"/>
        </w:trPr>
        <w:tc>
          <w:tcPr>
            <w:tcW w:w="2648" w:type="dxa"/>
            <w:tcBorders>
              <w:left w:val="single" w:sz="4" w:space="0" w:color="auto"/>
            </w:tcBorders>
          </w:tcPr>
          <w:p w14:paraId="41FD40A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R-squared</w:t>
            </w:r>
          </w:p>
        </w:tc>
        <w:tc>
          <w:tcPr>
            <w:tcW w:w="1537" w:type="dxa"/>
          </w:tcPr>
          <w:p w14:paraId="2BA6015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0.477</w:t>
            </w:r>
          </w:p>
        </w:tc>
        <w:tc>
          <w:tcPr>
            <w:tcW w:w="1690" w:type="dxa"/>
          </w:tcPr>
          <w:p w14:paraId="1A8E22B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0.475</w:t>
            </w:r>
          </w:p>
        </w:tc>
        <w:tc>
          <w:tcPr>
            <w:tcW w:w="1690" w:type="dxa"/>
          </w:tcPr>
          <w:p w14:paraId="59D5FA6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0.474</w:t>
            </w:r>
          </w:p>
        </w:tc>
        <w:tc>
          <w:tcPr>
            <w:tcW w:w="1691" w:type="dxa"/>
            <w:tcBorders>
              <w:right w:val="single" w:sz="4" w:space="0" w:color="auto"/>
            </w:tcBorders>
          </w:tcPr>
          <w:p w14:paraId="00F519C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0.478</w:t>
            </w:r>
          </w:p>
        </w:tc>
      </w:tr>
      <w:tr w:rsidR="00880312" w:rsidRPr="00880312" w14:paraId="72821B0E" w14:textId="77777777" w:rsidTr="009E69CE">
        <w:trPr>
          <w:trHeight w:val="258"/>
          <w:jc w:val="center"/>
        </w:trPr>
        <w:tc>
          <w:tcPr>
            <w:tcW w:w="2648" w:type="dxa"/>
            <w:tcBorders>
              <w:left w:val="single" w:sz="4" w:space="0" w:color="auto"/>
              <w:bottom w:val="single" w:sz="4" w:space="0" w:color="auto"/>
            </w:tcBorders>
          </w:tcPr>
          <w:p w14:paraId="3A36CC4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Year F.E.</w:t>
            </w:r>
          </w:p>
        </w:tc>
        <w:tc>
          <w:tcPr>
            <w:tcW w:w="1537" w:type="dxa"/>
            <w:tcBorders>
              <w:bottom w:val="single" w:sz="4" w:space="0" w:color="auto"/>
            </w:tcBorders>
          </w:tcPr>
          <w:p w14:paraId="6347A02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0" w:type="dxa"/>
            <w:tcBorders>
              <w:bottom w:val="single" w:sz="4" w:space="0" w:color="auto"/>
            </w:tcBorders>
          </w:tcPr>
          <w:p w14:paraId="4DD7C24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0" w:type="dxa"/>
            <w:tcBorders>
              <w:bottom w:val="single" w:sz="4" w:space="0" w:color="auto"/>
            </w:tcBorders>
          </w:tcPr>
          <w:p w14:paraId="6944C38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1" w:type="dxa"/>
            <w:tcBorders>
              <w:bottom w:val="single" w:sz="4" w:space="0" w:color="auto"/>
              <w:right w:val="single" w:sz="4" w:space="0" w:color="auto"/>
            </w:tcBorders>
          </w:tcPr>
          <w:p w14:paraId="0E0F0D6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r w:rsidR="00880312" w:rsidRPr="00880312" w14:paraId="6B1A2B2F" w14:textId="77777777" w:rsidTr="009E69CE">
        <w:trPr>
          <w:trHeight w:val="270"/>
          <w:jc w:val="center"/>
        </w:trPr>
        <w:tc>
          <w:tcPr>
            <w:tcW w:w="2648" w:type="dxa"/>
            <w:tcBorders>
              <w:top w:val="single" w:sz="4" w:space="0" w:color="auto"/>
              <w:left w:val="single" w:sz="4" w:space="0" w:color="auto"/>
              <w:bottom w:val="single" w:sz="4" w:space="0" w:color="auto"/>
            </w:tcBorders>
          </w:tcPr>
          <w:p w14:paraId="0454E4D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F.E.</w:t>
            </w:r>
          </w:p>
        </w:tc>
        <w:tc>
          <w:tcPr>
            <w:tcW w:w="1537" w:type="dxa"/>
            <w:tcBorders>
              <w:top w:val="single" w:sz="4" w:space="0" w:color="auto"/>
              <w:bottom w:val="single" w:sz="4" w:space="0" w:color="auto"/>
            </w:tcBorders>
          </w:tcPr>
          <w:p w14:paraId="47DBF69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0" w:type="dxa"/>
            <w:tcBorders>
              <w:top w:val="single" w:sz="4" w:space="0" w:color="auto"/>
              <w:bottom w:val="single" w:sz="4" w:space="0" w:color="auto"/>
            </w:tcBorders>
          </w:tcPr>
          <w:p w14:paraId="5C8F69E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0" w:type="dxa"/>
            <w:tcBorders>
              <w:top w:val="single" w:sz="4" w:space="0" w:color="auto"/>
              <w:bottom w:val="single" w:sz="4" w:space="0" w:color="auto"/>
            </w:tcBorders>
          </w:tcPr>
          <w:p w14:paraId="04DD959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691" w:type="dxa"/>
            <w:tcBorders>
              <w:top w:val="single" w:sz="4" w:space="0" w:color="auto"/>
              <w:bottom w:val="single" w:sz="4" w:space="0" w:color="auto"/>
              <w:right w:val="single" w:sz="4" w:space="0" w:color="auto"/>
            </w:tcBorders>
          </w:tcPr>
          <w:p w14:paraId="43C1565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bl>
    <w:p w14:paraId="6D87AD2F" w14:textId="06F86766" w:rsidR="00880312" w:rsidRPr="009E69CE" w:rsidRDefault="00880312" w:rsidP="00880312">
      <w:pPr>
        <w:rPr>
          <w:rFonts w:ascii="Times New Roman" w:eastAsia="DengXian" w:hAnsi="Times New Roman" w:cs="Times New Roman"/>
          <w:color w:val="000000"/>
          <w:sz w:val="28"/>
          <w:szCs w:val="28"/>
          <w:lang w:eastAsia="zh-CN"/>
        </w:rPr>
      </w:pPr>
      <w:r w:rsidRPr="00880312">
        <w:rPr>
          <w:rFonts w:ascii="Calibri" w:eastAsia="DengXian" w:hAnsi="Calibri" w:cs="Arial"/>
          <w:color w:val="000000"/>
          <w:sz w:val="24"/>
          <w:szCs w:val="24"/>
          <w:lang w:eastAsia="zh-CN"/>
        </w:rPr>
        <w:br w:type="page"/>
      </w:r>
    </w:p>
    <w:p w14:paraId="090BD8BE" w14:textId="67D0E0CE" w:rsidR="00880312" w:rsidRPr="00880312" w:rsidRDefault="00880312" w:rsidP="009E69CE">
      <w:pPr>
        <w:ind w:left="142"/>
        <w:jc w:val="both"/>
        <w:rPr>
          <w:rFonts w:ascii="Times New Roman" w:eastAsia="DengXian" w:hAnsi="Times New Roman" w:cs="Times New Roman"/>
          <w:color w:val="000000"/>
          <w:lang w:eastAsia="zh-CN"/>
        </w:rPr>
      </w:pPr>
    </w:p>
    <w:p w14:paraId="71EEF9B7" w14:textId="32110AA2" w:rsidR="00DE7639" w:rsidRPr="00E30E2D" w:rsidRDefault="00DE7639" w:rsidP="00DE7639">
      <w:pPr>
        <w:pStyle w:val="Caption"/>
        <w:keepNext/>
        <w:rPr>
          <w:rFonts w:ascii="Times New Roman" w:hAnsi="Times New Roman" w:cs="Times New Roman"/>
          <w:b/>
          <w:bCs/>
          <w:i w:val="0"/>
          <w:iCs w:val="0"/>
          <w:color w:val="auto"/>
          <w:sz w:val="28"/>
          <w:szCs w:val="28"/>
        </w:rPr>
      </w:pPr>
      <w:bookmarkStart w:id="129" w:name="_Toc132386107"/>
      <w:bookmarkStart w:id="130" w:name="_Toc132437299"/>
      <w:r w:rsidRPr="00E30E2D">
        <w:rPr>
          <w:rFonts w:ascii="Times New Roman" w:hAnsi="Times New Roman" w:cs="Times New Roman"/>
          <w:b/>
          <w:bCs/>
          <w:i w:val="0"/>
          <w:iCs w:val="0"/>
          <w:color w:val="auto"/>
          <w:sz w:val="28"/>
          <w:szCs w:val="28"/>
        </w:rPr>
        <w:t>Table 4.</w:t>
      </w:r>
      <w:r w:rsidR="001C5A8D">
        <w:rPr>
          <w:rFonts w:ascii="Times New Roman" w:hAnsi="Times New Roman" w:cs="Times New Roman"/>
          <w:b/>
          <w:bCs/>
          <w:i w:val="0"/>
          <w:iCs w:val="0"/>
          <w:color w:val="auto"/>
          <w:sz w:val="28"/>
          <w:szCs w:val="28"/>
        </w:rPr>
        <w:t>6</w:t>
      </w:r>
      <w:r w:rsidRPr="00E30E2D">
        <w:rPr>
          <w:rFonts w:ascii="Times New Roman" w:hAnsi="Times New Roman" w:cs="Times New Roman"/>
          <w:b/>
          <w:bCs/>
          <w:i w:val="0"/>
          <w:iCs w:val="0"/>
          <w:color w:val="auto"/>
          <w:sz w:val="28"/>
          <w:szCs w:val="28"/>
        </w:rPr>
        <w:t xml:space="preserve"> Board Gender Diversity, Risk Culture and Bank Risk-Supportive Environment</w:t>
      </w:r>
      <w:bookmarkEnd w:id="129"/>
      <w:bookmarkEnd w:id="130"/>
    </w:p>
    <w:p w14:paraId="0F5B95B2" w14:textId="6E0991BD" w:rsidR="00DE7639" w:rsidRPr="00DE7639" w:rsidRDefault="00DE7639" w:rsidP="00DE7639">
      <w:r w:rsidRPr="00880312">
        <w:rPr>
          <w:rFonts w:ascii="Times New Roman" w:eastAsia="DengXian" w:hAnsi="Times New Roman" w:cs="Times New Roman"/>
          <w:color w:val="000000"/>
          <w:lang w:eastAsia="zh-CN"/>
        </w:rPr>
        <w:t xml:space="preserve">This table reports the effectiveness of females on board through the support they provide to Female Leadership. Female Leadership is a dummy variable equal to 1 if the bank has a female CEO, chairperson, or president. Standard errors are clustered at </w:t>
      </w:r>
      <w:r>
        <w:rPr>
          <w:rFonts w:ascii="Times New Roman" w:eastAsia="DengXian" w:hAnsi="Times New Roman" w:cs="Times New Roman"/>
          <w:color w:val="000000"/>
          <w:lang w:eastAsia="zh-CN"/>
        </w:rPr>
        <w:t xml:space="preserve">the </w:t>
      </w:r>
      <w:r w:rsidRPr="00880312">
        <w:rPr>
          <w:rFonts w:ascii="Times New Roman" w:eastAsia="DengXian" w:hAnsi="Times New Roman" w:cs="Times New Roman"/>
          <w:color w:val="000000"/>
          <w:lang w:eastAsia="zh-CN"/>
        </w:rPr>
        <w:t>bank level and are reported in parentheses. ***, **, * denotes significance at 1%, 5% and 10% level respectively</w:t>
      </w:r>
    </w:p>
    <w:tbl>
      <w:tblPr>
        <w:tblW w:w="9449" w:type="dxa"/>
        <w:jc w:val="center"/>
        <w:tblLayout w:type="fixed"/>
        <w:tblCellMar>
          <w:left w:w="75" w:type="dxa"/>
          <w:right w:w="75" w:type="dxa"/>
        </w:tblCellMar>
        <w:tblLook w:val="0000" w:firstRow="0" w:lastRow="0" w:firstColumn="0" w:lastColumn="0" w:noHBand="0" w:noVBand="0"/>
      </w:tblPr>
      <w:tblGrid>
        <w:gridCol w:w="3257"/>
        <w:gridCol w:w="1584"/>
        <w:gridCol w:w="1440"/>
        <w:gridCol w:w="1584"/>
        <w:gridCol w:w="1584"/>
      </w:tblGrid>
      <w:tr w:rsidR="00880312" w:rsidRPr="00880312" w14:paraId="2243AE4D" w14:textId="77777777" w:rsidTr="009E69CE">
        <w:trPr>
          <w:jc w:val="center"/>
        </w:trPr>
        <w:tc>
          <w:tcPr>
            <w:tcW w:w="3257" w:type="dxa"/>
            <w:tcBorders>
              <w:top w:val="single" w:sz="4" w:space="0" w:color="auto"/>
              <w:left w:val="single" w:sz="4" w:space="0" w:color="auto"/>
              <w:bottom w:val="single" w:sz="4" w:space="0" w:color="auto"/>
            </w:tcBorders>
          </w:tcPr>
          <w:p w14:paraId="26869D7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Borders>
              <w:top w:val="single" w:sz="4" w:space="0" w:color="auto"/>
              <w:bottom w:val="single" w:sz="4" w:space="0" w:color="auto"/>
            </w:tcBorders>
          </w:tcPr>
          <w:p w14:paraId="1553605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(1)</w:t>
            </w:r>
          </w:p>
        </w:tc>
        <w:tc>
          <w:tcPr>
            <w:tcW w:w="1440" w:type="dxa"/>
            <w:tcBorders>
              <w:top w:val="single" w:sz="4" w:space="0" w:color="auto"/>
              <w:bottom w:val="single" w:sz="4" w:space="0" w:color="auto"/>
            </w:tcBorders>
          </w:tcPr>
          <w:p w14:paraId="3AA353A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(2)</w:t>
            </w:r>
          </w:p>
        </w:tc>
        <w:tc>
          <w:tcPr>
            <w:tcW w:w="1584" w:type="dxa"/>
            <w:tcBorders>
              <w:top w:val="single" w:sz="4" w:space="0" w:color="auto"/>
              <w:bottom w:val="single" w:sz="4" w:space="0" w:color="auto"/>
            </w:tcBorders>
          </w:tcPr>
          <w:p w14:paraId="26CCFF0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(3)</w:t>
            </w:r>
          </w:p>
        </w:tc>
        <w:tc>
          <w:tcPr>
            <w:tcW w:w="1584" w:type="dxa"/>
            <w:tcBorders>
              <w:top w:val="single" w:sz="4" w:space="0" w:color="auto"/>
              <w:bottom w:val="single" w:sz="4" w:space="0" w:color="auto"/>
              <w:right w:val="single" w:sz="4" w:space="0" w:color="auto"/>
            </w:tcBorders>
          </w:tcPr>
          <w:p w14:paraId="2161068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(4)</w:t>
            </w:r>
          </w:p>
        </w:tc>
      </w:tr>
      <w:tr w:rsidR="00880312" w:rsidRPr="00880312" w14:paraId="6C82D507" w14:textId="77777777" w:rsidTr="009E69CE">
        <w:trPr>
          <w:jc w:val="center"/>
        </w:trPr>
        <w:tc>
          <w:tcPr>
            <w:tcW w:w="3257" w:type="dxa"/>
            <w:tcBorders>
              <w:top w:val="single" w:sz="4" w:space="0" w:color="auto"/>
              <w:left w:val="single" w:sz="4" w:space="0" w:color="auto"/>
              <w:bottom w:val="single" w:sz="4" w:space="0" w:color="auto"/>
            </w:tcBorders>
          </w:tcPr>
          <w:p w14:paraId="19828A3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sz w:val="20"/>
                <w:szCs w:val="20"/>
                <w:lang w:eastAsia="en-GB"/>
              </w:rPr>
            </w:pPr>
            <w:r w:rsidRPr="00880312">
              <w:rPr>
                <w:rFonts w:ascii="Times New Roman" w:eastAsia="Times New Roman" w:hAnsi="Times New Roman" w:cs="Times New Roman"/>
                <w:b/>
                <w:bCs/>
                <w:sz w:val="20"/>
                <w:szCs w:val="20"/>
                <w:lang w:eastAsia="en-GB"/>
              </w:rPr>
              <w:t>VARIABLES</w:t>
            </w:r>
          </w:p>
        </w:tc>
        <w:tc>
          <w:tcPr>
            <w:tcW w:w="1584" w:type="dxa"/>
            <w:tcBorders>
              <w:top w:val="single" w:sz="4" w:space="0" w:color="auto"/>
              <w:bottom w:val="single" w:sz="4" w:space="0" w:color="auto"/>
            </w:tcBorders>
          </w:tcPr>
          <w:p w14:paraId="3FFDAD2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en-GB"/>
              </w:rPr>
            </w:pPr>
            <w:r w:rsidRPr="00880312">
              <w:rPr>
                <w:rFonts w:ascii="Times New Roman" w:eastAsia="Times New Roman" w:hAnsi="Times New Roman" w:cs="Times New Roman"/>
                <w:b/>
                <w:bCs/>
                <w:sz w:val="20"/>
                <w:szCs w:val="20"/>
                <w:lang w:eastAsia="en-GB"/>
              </w:rPr>
              <w:t>Credit Risk</w:t>
            </w:r>
          </w:p>
        </w:tc>
        <w:tc>
          <w:tcPr>
            <w:tcW w:w="1440" w:type="dxa"/>
            <w:tcBorders>
              <w:top w:val="single" w:sz="4" w:space="0" w:color="auto"/>
              <w:bottom w:val="single" w:sz="4" w:space="0" w:color="auto"/>
            </w:tcBorders>
          </w:tcPr>
          <w:p w14:paraId="01E7D7E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en-GB"/>
              </w:rPr>
            </w:pPr>
            <w:r w:rsidRPr="00880312">
              <w:rPr>
                <w:rFonts w:ascii="Times New Roman" w:eastAsia="Times New Roman" w:hAnsi="Times New Roman" w:cs="Times New Roman"/>
                <w:b/>
                <w:bCs/>
                <w:sz w:val="20"/>
                <w:szCs w:val="20"/>
                <w:lang w:eastAsia="en-GB"/>
              </w:rPr>
              <w:t>Credit Risk</w:t>
            </w:r>
          </w:p>
        </w:tc>
        <w:tc>
          <w:tcPr>
            <w:tcW w:w="1584" w:type="dxa"/>
            <w:tcBorders>
              <w:top w:val="single" w:sz="4" w:space="0" w:color="auto"/>
              <w:bottom w:val="single" w:sz="4" w:space="0" w:color="auto"/>
            </w:tcBorders>
          </w:tcPr>
          <w:p w14:paraId="3653927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en-GB"/>
              </w:rPr>
            </w:pPr>
            <w:r w:rsidRPr="00880312">
              <w:rPr>
                <w:rFonts w:ascii="Times New Roman" w:eastAsia="Times New Roman" w:hAnsi="Times New Roman" w:cs="Times New Roman"/>
                <w:b/>
                <w:bCs/>
                <w:sz w:val="20"/>
                <w:szCs w:val="20"/>
                <w:lang w:eastAsia="en-GB"/>
              </w:rPr>
              <w:t>Credit Risk</w:t>
            </w:r>
          </w:p>
        </w:tc>
        <w:tc>
          <w:tcPr>
            <w:tcW w:w="1584" w:type="dxa"/>
            <w:tcBorders>
              <w:top w:val="single" w:sz="4" w:space="0" w:color="auto"/>
              <w:bottom w:val="single" w:sz="4" w:space="0" w:color="auto"/>
              <w:right w:val="single" w:sz="4" w:space="0" w:color="auto"/>
            </w:tcBorders>
          </w:tcPr>
          <w:p w14:paraId="3F2794C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en-GB"/>
              </w:rPr>
            </w:pPr>
            <w:r w:rsidRPr="00880312">
              <w:rPr>
                <w:rFonts w:ascii="Times New Roman" w:eastAsia="Times New Roman" w:hAnsi="Times New Roman" w:cs="Times New Roman"/>
                <w:b/>
                <w:bCs/>
                <w:sz w:val="20"/>
                <w:szCs w:val="20"/>
                <w:lang w:eastAsia="en-GB"/>
              </w:rPr>
              <w:t>Credit Risk</w:t>
            </w:r>
          </w:p>
        </w:tc>
      </w:tr>
      <w:tr w:rsidR="00880312" w:rsidRPr="00880312" w14:paraId="32F6EBC9" w14:textId="77777777" w:rsidTr="009E69CE">
        <w:trPr>
          <w:jc w:val="center"/>
        </w:trPr>
        <w:tc>
          <w:tcPr>
            <w:tcW w:w="3257" w:type="dxa"/>
            <w:tcBorders>
              <w:top w:val="single" w:sz="4" w:space="0" w:color="auto"/>
              <w:left w:val="single" w:sz="4" w:space="0" w:color="auto"/>
            </w:tcBorders>
          </w:tcPr>
          <w:p w14:paraId="723365B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Borders>
              <w:top w:val="single" w:sz="4" w:space="0" w:color="auto"/>
            </w:tcBorders>
          </w:tcPr>
          <w:p w14:paraId="38D277E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Borders>
              <w:top w:val="single" w:sz="4" w:space="0" w:color="auto"/>
            </w:tcBorders>
          </w:tcPr>
          <w:p w14:paraId="7D4E78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top w:val="single" w:sz="4" w:space="0" w:color="auto"/>
            </w:tcBorders>
          </w:tcPr>
          <w:p w14:paraId="4675F28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top w:val="single" w:sz="4" w:space="0" w:color="auto"/>
              <w:right w:val="single" w:sz="4" w:space="0" w:color="auto"/>
            </w:tcBorders>
          </w:tcPr>
          <w:p w14:paraId="35E5263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r>
      <w:tr w:rsidR="00880312" w:rsidRPr="00880312" w14:paraId="5BA6C038" w14:textId="77777777" w:rsidTr="009E69CE">
        <w:trPr>
          <w:jc w:val="center"/>
        </w:trPr>
        <w:tc>
          <w:tcPr>
            <w:tcW w:w="3257" w:type="dxa"/>
            <w:tcBorders>
              <w:left w:val="single" w:sz="4" w:space="0" w:color="auto"/>
            </w:tcBorders>
          </w:tcPr>
          <w:p w14:paraId="45C04A8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Risk Culture</w:t>
            </w:r>
          </w:p>
        </w:tc>
        <w:tc>
          <w:tcPr>
            <w:tcW w:w="1584" w:type="dxa"/>
          </w:tcPr>
          <w:p w14:paraId="7CF7BB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0.0956***</w:t>
            </w:r>
          </w:p>
        </w:tc>
        <w:tc>
          <w:tcPr>
            <w:tcW w:w="1440" w:type="dxa"/>
          </w:tcPr>
          <w:p w14:paraId="46E5541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0.0745***</w:t>
            </w:r>
          </w:p>
        </w:tc>
        <w:tc>
          <w:tcPr>
            <w:tcW w:w="1584" w:type="dxa"/>
          </w:tcPr>
          <w:p w14:paraId="66D70EE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0.0917**</w:t>
            </w:r>
          </w:p>
        </w:tc>
        <w:tc>
          <w:tcPr>
            <w:tcW w:w="1584" w:type="dxa"/>
            <w:tcBorders>
              <w:right w:val="single" w:sz="4" w:space="0" w:color="auto"/>
            </w:tcBorders>
          </w:tcPr>
          <w:p w14:paraId="6362AD7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0.1041***</w:t>
            </w:r>
          </w:p>
        </w:tc>
      </w:tr>
      <w:tr w:rsidR="00880312" w:rsidRPr="00880312" w14:paraId="7721C940" w14:textId="77777777" w:rsidTr="009E69CE">
        <w:trPr>
          <w:jc w:val="center"/>
        </w:trPr>
        <w:tc>
          <w:tcPr>
            <w:tcW w:w="3257" w:type="dxa"/>
            <w:tcBorders>
              <w:left w:val="single" w:sz="4" w:space="0" w:color="auto"/>
            </w:tcBorders>
          </w:tcPr>
          <w:p w14:paraId="2729117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6D8EE18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(0.0245)</w:t>
            </w:r>
          </w:p>
        </w:tc>
        <w:tc>
          <w:tcPr>
            <w:tcW w:w="1440" w:type="dxa"/>
          </w:tcPr>
          <w:p w14:paraId="1D6E20A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(0.0248)</w:t>
            </w:r>
          </w:p>
        </w:tc>
        <w:tc>
          <w:tcPr>
            <w:tcW w:w="1584" w:type="dxa"/>
          </w:tcPr>
          <w:p w14:paraId="24E86EC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(0.0246)</w:t>
            </w:r>
          </w:p>
        </w:tc>
        <w:tc>
          <w:tcPr>
            <w:tcW w:w="1584" w:type="dxa"/>
            <w:tcBorders>
              <w:right w:val="single" w:sz="4" w:space="0" w:color="auto"/>
            </w:tcBorders>
          </w:tcPr>
          <w:p w14:paraId="03EEB1A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(0.0258)</w:t>
            </w:r>
          </w:p>
        </w:tc>
      </w:tr>
      <w:tr w:rsidR="00880312" w:rsidRPr="00880312" w14:paraId="0538CB48" w14:textId="77777777" w:rsidTr="009E69CE">
        <w:trPr>
          <w:jc w:val="center"/>
        </w:trPr>
        <w:tc>
          <w:tcPr>
            <w:tcW w:w="3257" w:type="dxa"/>
            <w:tcBorders>
              <w:left w:val="single" w:sz="4" w:space="0" w:color="auto"/>
            </w:tcBorders>
          </w:tcPr>
          <w:p w14:paraId="663292E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Female Board</w:t>
            </w:r>
          </w:p>
        </w:tc>
        <w:tc>
          <w:tcPr>
            <w:tcW w:w="1584" w:type="dxa"/>
          </w:tcPr>
          <w:p w14:paraId="3D3BD03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-0.0751***</w:t>
            </w:r>
          </w:p>
        </w:tc>
        <w:tc>
          <w:tcPr>
            <w:tcW w:w="1440" w:type="dxa"/>
          </w:tcPr>
          <w:p w14:paraId="3AB07FD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2025201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-0.0785***</w:t>
            </w:r>
          </w:p>
        </w:tc>
        <w:tc>
          <w:tcPr>
            <w:tcW w:w="1584" w:type="dxa"/>
            <w:tcBorders>
              <w:right w:val="single" w:sz="4" w:space="0" w:color="auto"/>
            </w:tcBorders>
          </w:tcPr>
          <w:p w14:paraId="4B4DDD8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-0.0760***</w:t>
            </w:r>
          </w:p>
        </w:tc>
      </w:tr>
      <w:tr w:rsidR="00880312" w:rsidRPr="00880312" w14:paraId="3CF06EEB" w14:textId="77777777" w:rsidTr="009E69CE">
        <w:trPr>
          <w:jc w:val="center"/>
        </w:trPr>
        <w:tc>
          <w:tcPr>
            <w:tcW w:w="3257" w:type="dxa"/>
            <w:tcBorders>
              <w:left w:val="single" w:sz="4" w:space="0" w:color="auto"/>
            </w:tcBorders>
          </w:tcPr>
          <w:p w14:paraId="6EDB3BF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6B9805A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(0.0183)</w:t>
            </w:r>
          </w:p>
        </w:tc>
        <w:tc>
          <w:tcPr>
            <w:tcW w:w="1440" w:type="dxa"/>
          </w:tcPr>
          <w:p w14:paraId="421F092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3BAE08E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c>
          <w:tcPr>
            <w:tcW w:w="1584" w:type="dxa"/>
            <w:tcBorders>
              <w:right w:val="single" w:sz="4" w:space="0" w:color="auto"/>
            </w:tcBorders>
          </w:tcPr>
          <w:p w14:paraId="1E97B46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(0.0184)</w:t>
            </w:r>
          </w:p>
        </w:tc>
      </w:tr>
      <w:tr w:rsidR="00880312" w:rsidRPr="00880312" w14:paraId="473F6363" w14:textId="77777777" w:rsidTr="009E69CE">
        <w:trPr>
          <w:jc w:val="center"/>
        </w:trPr>
        <w:tc>
          <w:tcPr>
            <w:tcW w:w="3257" w:type="dxa"/>
            <w:tcBorders>
              <w:left w:val="single" w:sz="4" w:space="0" w:color="auto"/>
            </w:tcBorders>
          </w:tcPr>
          <w:p w14:paraId="6EDBFA3F"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Female Leader</w:t>
            </w:r>
          </w:p>
        </w:tc>
        <w:tc>
          <w:tcPr>
            <w:tcW w:w="1584" w:type="dxa"/>
          </w:tcPr>
          <w:p w14:paraId="081C2AA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3B9D854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0.0126</w:t>
            </w:r>
          </w:p>
        </w:tc>
        <w:tc>
          <w:tcPr>
            <w:tcW w:w="1584" w:type="dxa"/>
          </w:tcPr>
          <w:p w14:paraId="250E3C7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0.0148</w:t>
            </w:r>
          </w:p>
        </w:tc>
        <w:tc>
          <w:tcPr>
            <w:tcW w:w="1584" w:type="dxa"/>
            <w:tcBorders>
              <w:right w:val="single" w:sz="4" w:space="0" w:color="auto"/>
            </w:tcBorders>
          </w:tcPr>
          <w:p w14:paraId="2E31CAD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0.0089</w:t>
            </w:r>
          </w:p>
        </w:tc>
      </w:tr>
      <w:tr w:rsidR="00880312" w:rsidRPr="00880312" w14:paraId="030A18BF" w14:textId="77777777" w:rsidTr="009E69CE">
        <w:trPr>
          <w:jc w:val="center"/>
        </w:trPr>
        <w:tc>
          <w:tcPr>
            <w:tcW w:w="3257" w:type="dxa"/>
            <w:tcBorders>
              <w:left w:val="single" w:sz="4" w:space="0" w:color="auto"/>
            </w:tcBorders>
          </w:tcPr>
          <w:p w14:paraId="65D4992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2804D60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5C94528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(0.0150)</w:t>
            </w:r>
          </w:p>
        </w:tc>
        <w:tc>
          <w:tcPr>
            <w:tcW w:w="1584" w:type="dxa"/>
          </w:tcPr>
          <w:p w14:paraId="412E68B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(0.0169)</w:t>
            </w:r>
          </w:p>
        </w:tc>
        <w:tc>
          <w:tcPr>
            <w:tcW w:w="1584" w:type="dxa"/>
            <w:tcBorders>
              <w:right w:val="single" w:sz="4" w:space="0" w:color="auto"/>
            </w:tcBorders>
          </w:tcPr>
          <w:p w14:paraId="2C7441B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(0.0273)</w:t>
            </w:r>
          </w:p>
        </w:tc>
      </w:tr>
      <w:tr w:rsidR="00880312" w:rsidRPr="00880312" w14:paraId="33664EA2" w14:textId="77777777" w:rsidTr="009E69CE">
        <w:trPr>
          <w:jc w:val="center"/>
        </w:trPr>
        <w:tc>
          <w:tcPr>
            <w:tcW w:w="3257" w:type="dxa"/>
            <w:tcBorders>
              <w:left w:val="single" w:sz="4" w:space="0" w:color="auto"/>
            </w:tcBorders>
          </w:tcPr>
          <w:p w14:paraId="3564164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5BB67E4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031833C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5287310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2770F4A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r>
      <w:tr w:rsidR="00880312" w:rsidRPr="00880312" w14:paraId="43604A09" w14:textId="77777777" w:rsidTr="009E69CE">
        <w:trPr>
          <w:jc w:val="center"/>
        </w:trPr>
        <w:tc>
          <w:tcPr>
            <w:tcW w:w="3257" w:type="dxa"/>
            <w:tcBorders>
              <w:left w:val="single" w:sz="4" w:space="0" w:color="auto"/>
            </w:tcBorders>
          </w:tcPr>
          <w:p w14:paraId="76E37DE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Risk Culture * Female Board</w:t>
            </w:r>
          </w:p>
        </w:tc>
        <w:tc>
          <w:tcPr>
            <w:tcW w:w="1584" w:type="dxa"/>
          </w:tcPr>
          <w:p w14:paraId="1061299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-0.0527***</w:t>
            </w:r>
          </w:p>
        </w:tc>
        <w:tc>
          <w:tcPr>
            <w:tcW w:w="1440" w:type="dxa"/>
          </w:tcPr>
          <w:p w14:paraId="7A84207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39DFA84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5447038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-0.0580***</w:t>
            </w:r>
          </w:p>
        </w:tc>
      </w:tr>
      <w:tr w:rsidR="00880312" w:rsidRPr="00880312" w14:paraId="16C43EEF" w14:textId="77777777" w:rsidTr="009E69CE">
        <w:trPr>
          <w:jc w:val="center"/>
        </w:trPr>
        <w:tc>
          <w:tcPr>
            <w:tcW w:w="3257" w:type="dxa"/>
            <w:tcBorders>
              <w:left w:val="single" w:sz="4" w:space="0" w:color="auto"/>
            </w:tcBorders>
          </w:tcPr>
          <w:p w14:paraId="600500E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3AFF87C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(0.0159)</w:t>
            </w:r>
          </w:p>
        </w:tc>
        <w:tc>
          <w:tcPr>
            <w:tcW w:w="1440" w:type="dxa"/>
          </w:tcPr>
          <w:p w14:paraId="78081D6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6A5BEE6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63D5A91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(0.0164)</w:t>
            </w:r>
          </w:p>
        </w:tc>
      </w:tr>
      <w:tr w:rsidR="00880312" w:rsidRPr="00880312" w14:paraId="27CF4704" w14:textId="77777777" w:rsidTr="009E69CE">
        <w:trPr>
          <w:jc w:val="center"/>
        </w:trPr>
        <w:tc>
          <w:tcPr>
            <w:tcW w:w="3257" w:type="dxa"/>
            <w:tcBorders>
              <w:left w:val="single" w:sz="4" w:space="0" w:color="auto"/>
            </w:tcBorders>
          </w:tcPr>
          <w:p w14:paraId="01AF021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Risk Culture * Female Leader</w:t>
            </w:r>
          </w:p>
        </w:tc>
        <w:tc>
          <w:tcPr>
            <w:tcW w:w="1584" w:type="dxa"/>
          </w:tcPr>
          <w:p w14:paraId="31EECBD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310FFC5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0.0240</w:t>
            </w:r>
          </w:p>
        </w:tc>
        <w:tc>
          <w:tcPr>
            <w:tcW w:w="1584" w:type="dxa"/>
          </w:tcPr>
          <w:p w14:paraId="4D5137C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3FD6A04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0.0531</w:t>
            </w:r>
          </w:p>
        </w:tc>
      </w:tr>
      <w:tr w:rsidR="00880312" w:rsidRPr="00880312" w14:paraId="72A63A75" w14:textId="77777777" w:rsidTr="009E69CE">
        <w:trPr>
          <w:jc w:val="center"/>
        </w:trPr>
        <w:tc>
          <w:tcPr>
            <w:tcW w:w="3257" w:type="dxa"/>
            <w:tcBorders>
              <w:left w:val="single" w:sz="4" w:space="0" w:color="auto"/>
            </w:tcBorders>
          </w:tcPr>
          <w:p w14:paraId="55E4370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2F1FC17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704DB55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(0.0325)</w:t>
            </w:r>
          </w:p>
        </w:tc>
        <w:tc>
          <w:tcPr>
            <w:tcW w:w="1584" w:type="dxa"/>
          </w:tcPr>
          <w:p w14:paraId="7033A76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08A9BC3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(0.0566)</w:t>
            </w:r>
          </w:p>
        </w:tc>
      </w:tr>
      <w:tr w:rsidR="00880312" w:rsidRPr="00880312" w14:paraId="5D5D7B53" w14:textId="77777777" w:rsidTr="009E69CE">
        <w:trPr>
          <w:jc w:val="center"/>
        </w:trPr>
        <w:tc>
          <w:tcPr>
            <w:tcW w:w="3257" w:type="dxa"/>
            <w:tcBorders>
              <w:left w:val="single" w:sz="4" w:space="0" w:color="auto"/>
            </w:tcBorders>
          </w:tcPr>
          <w:p w14:paraId="6E1D885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Female Board *Female Leader</w:t>
            </w:r>
          </w:p>
        </w:tc>
        <w:tc>
          <w:tcPr>
            <w:tcW w:w="1584" w:type="dxa"/>
          </w:tcPr>
          <w:p w14:paraId="7E04A34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12F80E9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51549B2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-0.0513</w:t>
            </w:r>
          </w:p>
        </w:tc>
        <w:tc>
          <w:tcPr>
            <w:tcW w:w="1584" w:type="dxa"/>
            <w:tcBorders>
              <w:right w:val="single" w:sz="4" w:space="0" w:color="auto"/>
            </w:tcBorders>
          </w:tcPr>
          <w:p w14:paraId="35D23C3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-0.0067</w:t>
            </w:r>
          </w:p>
        </w:tc>
      </w:tr>
      <w:tr w:rsidR="00880312" w:rsidRPr="00880312" w14:paraId="1CFFA011" w14:textId="77777777" w:rsidTr="009E69CE">
        <w:trPr>
          <w:jc w:val="center"/>
        </w:trPr>
        <w:tc>
          <w:tcPr>
            <w:tcW w:w="3257" w:type="dxa"/>
            <w:tcBorders>
              <w:left w:val="single" w:sz="4" w:space="0" w:color="auto"/>
            </w:tcBorders>
          </w:tcPr>
          <w:p w14:paraId="6650FB7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4BCBD5A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65D138B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2678DF4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(0.0673)</w:t>
            </w:r>
          </w:p>
        </w:tc>
        <w:tc>
          <w:tcPr>
            <w:tcW w:w="1584" w:type="dxa"/>
            <w:tcBorders>
              <w:right w:val="single" w:sz="4" w:space="0" w:color="auto"/>
            </w:tcBorders>
          </w:tcPr>
          <w:p w14:paraId="06198B3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(0.0145)</w:t>
            </w:r>
          </w:p>
        </w:tc>
      </w:tr>
      <w:tr w:rsidR="00880312" w:rsidRPr="00880312" w14:paraId="09458589" w14:textId="77777777" w:rsidTr="009E69CE">
        <w:trPr>
          <w:jc w:val="center"/>
        </w:trPr>
        <w:tc>
          <w:tcPr>
            <w:tcW w:w="3257" w:type="dxa"/>
            <w:tcBorders>
              <w:left w:val="single" w:sz="4" w:space="0" w:color="auto"/>
            </w:tcBorders>
          </w:tcPr>
          <w:p w14:paraId="15AC7E26"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Risk Culture *Female Board*Female Leader</w:t>
            </w:r>
          </w:p>
        </w:tc>
        <w:tc>
          <w:tcPr>
            <w:tcW w:w="1584" w:type="dxa"/>
          </w:tcPr>
          <w:p w14:paraId="157046B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0F554B8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563E146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26A0FE3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-0.0539**</w:t>
            </w:r>
          </w:p>
        </w:tc>
      </w:tr>
      <w:tr w:rsidR="00880312" w:rsidRPr="00880312" w14:paraId="56E3A39D" w14:textId="77777777" w:rsidTr="009E69CE">
        <w:trPr>
          <w:jc w:val="center"/>
        </w:trPr>
        <w:tc>
          <w:tcPr>
            <w:tcW w:w="3257" w:type="dxa"/>
            <w:tcBorders>
              <w:left w:val="single" w:sz="4" w:space="0" w:color="auto"/>
            </w:tcBorders>
          </w:tcPr>
          <w:p w14:paraId="4B208E6B"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3B047AC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35E82C2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26F346B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5DEC8CD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(0.0302)</w:t>
            </w:r>
          </w:p>
        </w:tc>
      </w:tr>
      <w:tr w:rsidR="00880312" w:rsidRPr="00880312" w14:paraId="63079BEF" w14:textId="77777777" w:rsidTr="009E69CE">
        <w:trPr>
          <w:jc w:val="center"/>
        </w:trPr>
        <w:tc>
          <w:tcPr>
            <w:tcW w:w="3257" w:type="dxa"/>
            <w:tcBorders>
              <w:left w:val="single" w:sz="4" w:space="0" w:color="auto"/>
            </w:tcBorders>
          </w:tcPr>
          <w:p w14:paraId="7608AEE0"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Indp Director</w:t>
            </w:r>
          </w:p>
        </w:tc>
        <w:tc>
          <w:tcPr>
            <w:tcW w:w="1584" w:type="dxa"/>
          </w:tcPr>
          <w:p w14:paraId="4629B658" w14:textId="7A39CA19"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0.0325</w:t>
            </w:r>
          </w:p>
        </w:tc>
        <w:tc>
          <w:tcPr>
            <w:tcW w:w="1440" w:type="dxa"/>
          </w:tcPr>
          <w:p w14:paraId="4945284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0.0271**</w:t>
            </w:r>
          </w:p>
        </w:tc>
        <w:tc>
          <w:tcPr>
            <w:tcW w:w="1584" w:type="dxa"/>
          </w:tcPr>
          <w:p w14:paraId="7D26411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0.0391**</w:t>
            </w:r>
          </w:p>
        </w:tc>
        <w:tc>
          <w:tcPr>
            <w:tcW w:w="1584" w:type="dxa"/>
            <w:tcBorders>
              <w:right w:val="single" w:sz="4" w:space="0" w:color="auto"/>
            </w:tcBorders>
          </w:tcPr>
          <w:p w14:paraId="3F9C1CB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0.0344*</w:t>
            </w:r>
          </w:p>
        </w:tc>
      </w:tr>
      <w:tr w:rsidR="00880312" w:rsidRPr="00880312" w14:paraId="7EE637C1" w14:textId="77777777" w:rsidTr="009E69CE">
        <w:trPr>
          <w:jc w:val="center"/>
        </w:trPr>
        <w:tc>
          <w:tcPr>
            <w:tcW w:w="3257" w:type="dxa"/>
            <w:tcBorders>
              <w:left w:val="single" w:sz="4" w:space="0" w:color="auto"/>
            </w:tcBorders>
          </w:tcPr>
          <w:p w14:paraId="35F603C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39FBCEF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(0.0186)</w:t>
            </w:r>
          </w:p>
        </w:tc>
        <w:tc>
          <w:tcPr>
            <w:tcW w:w="1440" w:type="dxa"/>
          </w:tcPr>
          <w:p w14:paraId="0C3FEC9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c>
          <w:tcPr>
            <w:tcW w:w="1584" w:type="dxa"/>
          </w:tcPr>
          <w:p w14:paraId="0B64374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(0.0186)</w:t>
            </w:r>
          </w:p>
        </w:tc>
        <w:tc>
          <w:tcPr>
            <w:tcW w:w="1584" w:type="dxa"/>
            <w:tcBorders>
              <w:right w:val="single" w:sz="4" w:space="0" w:color="auto"/>
            </w:tcBorders>
          </w:tcPr>
          <w:p w14:paraId="1EAA1B4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(0.0186)</w:t>
            </w:r>
          </w:p>
        </w:tc>
      </w:tr>
      <w:tr w:rsidR="00880312" w:rsidRPr="00880312" w14:paraId="7B0088C0" w14:textId="77777777" w:rsidTr="009E69CE">
        <w:trPr>
          <w:jc w:val="center"/>
        </w:trPr>
        <w:tc>
          <w:tcPr>
            <w:tcW w:w="3257" w:type="dxa"/>
            <w:tcBorders>
              <w:left w:val="single" w:sz="4" w:space="0" w:color="auto"/>
            </w:tcBorders>
          </w:tcPr>
          <w:p w14:paraId="60F5DEB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Board Size</w:t>
            </w:r>
          </w:p>
        </w:tc>
        <w:tc>
          <w:tcPr>
            <w:tcW w:w="1584" w:type="dxa"/>
          </w:tcPr>
          <w:p w14:paraId="536D4EF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-0.0542***</w:t>
            </w:r>
          </w:p>
        </w:tc>
        <w:tc>
          <w:tcPr>
            <w:tcW w:w="1440" w:type="dxa"/>
          </w:tcPr>
          <w:p w14:paraId="237B670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-0.0536***</w:t>
            </w:r>
          </w:p>
        </w:tc>
        <w:tc>
          <w:tcPr>
            <w:tcW w:w="1584" w:type="dxa"/>
          </w:tcPr>
          <w:p w14:paraId="502D00D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-0.0529***</w:t>
            </w:r>
          </w:p>
        </w:tc>
        <w:tc>
          <w:tcPr>
            <w:tcW w:w="1584" w:type="dxa"/>
            <w:tcBorders>
              <w:right w:val="single" w:sz="4" w:space="0" w:color="auto"/>
            </w:tcBorders>
          </w:tcPr>
          <w:p w14:paraId="6986FF6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-0.0584***</w:t>
            </w:r>
          </w:p>
        </w:tc>
      </w:tr>
      <w:tr w:rsidR="00880312" w:rsidRPr="00880312" w14:paraId="56C69C4F" w14:textId="77777777" w:rsidTr="009E69CE">
        <w:trPr>
          <w:jc w:val="center"/>
        </w:trPr>
        <w:tc>
          <w:tcPr>
            <w:tcW w:w="3257" w:type="dxa"/>
            <w:tcBorders>
              <w:left w:val="single" w:sz="4" w:space="0" w:color="auto"/>
            </w:tcBorders>
          </w:tcPr>
          <w:p w14:paraId="5E8B1D6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19F3780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(0.0183)</w:t>
            </w:r>
          </w:p>
        </w:tc>
        <w:tc>
          <w:tcPr>
            <w:tcW w:w="1440" w:type="dxa"/>
          </w:tcPr>
          <w:p w14:paraId="2C511B5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c>
          <w:tcPr>
            <w:tcW w:w="1584" w:type="dxa"/>
          </w:tcPr>
          <w:p w14:paraId="3E93585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c>
          <w:tcPr>
            <w:tcW w:w="1584" w:type="dxa"/>
            <w:tcBorders>
              <w:right w:val="single" w:sz="4" w:space="0" w:color="auto"/>
            </w:tcBorders>
          </w:tcPr>
          <w:p w14:paraId="35B0B2C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r>
      <w:tr w:rsidR="00880312" w:rsidRPr="00880312" w14:paraId="19EA92AA" w14:textId="77777777" w:rsidTr="009E69CE">
        <w:trPr>
          <w:jc w:val="center"/>
        </w:trPr>
        <w:tc>
          <w:tcPr>
            <w:tcW w:w="3257" w:type="dxa"/>
            <w:tcBorders>
              <w:left w:val="single" w:sz="4" w:space="0" w:color="auto"/>
            </w:tcBorders>
          </w:tcPr>
          <w:p w14:paraId="1C6768C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Bank Size</w:t>
            </w:r>
          </w:p>
        </w:tc>
        <w:tc>
          <w:tcPr>
            <w:tcW w:w="1584" w:type="dxa"/>
          </w:tcPr>
          <w:p w14:paraId="462A76B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0.950***</w:t>
            </w:r>
          </w:p>
        </w:tc>
        <w:tc>
          <w:tcPr>
            <w:tcW w:w="1440" w:type="dxa"/>
          </w:tcPr>
          <w:p w14:paraId="6619836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0.8959***</w:t>
            </w:r>
          </w:p>
        </w:tc>
        <w:tc>
          <w:tcPr>
            <w:tcW w:w="1584" w:type="dxa"/>
          </w:tcPr>
          <w:p w14:paraId="7BD2EB5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0.946***</w:t>
            </w:r>
          </w:p>
        </w:tc>
        <w:tc>
          <w:tcPr>
            <w:tcW w:w="1584" w:type="dxa"/>
            <w:tcBorders>
              <w:right w:val="single" w:sz="4" w:space="0" w:color="auto"/>
            </w:tcBorders>
          </w:tcPr>
          <w:p w14:paraId="659B828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0.947***</w:t>
            </w:r>
          </w:p>
        </w:tc>
      </w:tr>
      <w:tr w:rsidR="00880312" w:rsidRPr="00880312" w14:paraId="3BB4B831" w14:textId="77777777" w:rsidTr="009E69CE">
        <w:trPr>
          <w:jc w:val="center"/>
        </w:trPr>
        <w:tc>
          <w:tcPr>
            <w:tcW w:w="3257" w:type="dxa"/>
            <w:tcBorders>
              <w:left w:val="single" w:sz="4" w:space="0" w:color="auto"/>
            </w:tcBorders>
          </w:tcPr>
          <w:p w14:paraId="57094AA4"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1A8148F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(0.0535)</w:t>
            </w:r>
          </w:p>
        </w:tc>
        <w:tc>
          <w:tcPr>
            <w:tcW w:w="1440" w:type="dxa"/>
          </w:tcPr>
          <w:p w14:paraId="6CD958A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(0.0526)</w:t>
            </w:r>
          </w:p>
        </w:tc>
        <w:tc>
          <w:tcPr>
            <w:tcW w:w="1584" w:type="dxa"/>
          </w:tcPr>
          <w:p w14:paraId="692B544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(0.0539)</w:t>
            </w:r>
          </w:p>
        </w:tc>
        <w:tc>
          <w:tcPr>
            <w:tcW w:w="1584" w:type="dxa"/>
            <w:tcBorders>
              <w:right w:val="single" w:sz="4" w:space="0" w:color="auto"/>
            </w:tcBorders>
          </w:tcPr>
          <w:p w14:paraId="3E4D6F5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(0.0539)</w:t>
            </w:r>
          </w:p>
        </w:tc>
      </w:tr>
      <w:tr w:rsidR="00880312" w:rsidRPr="00880312" w14:paraId="3E67351E" w14:textId="77777777" w:rsidTr="009E69CE">
        <w:trPr>
          <w:jc w:val="center"/>
        </w:trPr>
        <w:tc>
          <w:tcPr>
            <w:tcW w:w="3257" w:type="dxa"/>
            <w:tcBorders>
              <w:left w:val="single" w:sz="4" w:space="0" w:color="auto"/>
            </w:tcBorders>
          </w:tcPr>
          <w:p w14:paraId="1F0AFF0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MV to BV</w:t>
            </w:r>
          </w:p>
        </w:tc>
        <w:tc>
          <w:tcPr>
            <w:tcW w:w="1584" w:type="dxa"/>
          </w:tcPr>
          <w:p w14:paraId="03E57C9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-0.0319</w:t>
            </w:r>
          </w:p>
        </w:tc>
        <w:tc>
          <w:tcPr>
            <w:tcW w:w="1440" w:type="dxa"/>
          </w:tcPr>
          <w:p w14:paraId="15EA762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-0.0340</w:t>
            </w:r>
          </w:p>
        </w:tc>
        <w:tc>
          <w:tcPr>
            <w:tcW w:w="1584" w:type="dxa"/>
          </w:tcPr>
          <w:p w14:paraId="5EC40F0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-0.0247</w:t>
            </w:r>
          </w:p>
        </w:tc>
        <w:tc>
          <w:tcPr>
            <w:tcW w:w="1584" w:type="dxa"/>
            <w:tcBorders>
              <w:right w:val="single" w:sz="4" w:space="0" w:color="auto"/>
            </w:tcBorders>
          </w:tcPr>
          <w:p w14:paraId="2280B33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-0.0309</w:t>
            </w:r>
          </w:p>
        </w:tc>
      </w:tr>
      <w:tr w:rsidR="00880312" w:rsidRPr="00880312" w14:paraId="26518901" w14:textId="77777777" w:rsidTr="009E69CE">
        <w:trPr>
          <w:jc w:val="center"/>
        </w:trPr>
        <w:tc>
          <w:tcPr>
            <w:tcW w:w="3257" w:type="dxa"/>
            <w:tcBorders>
              <w:left w:val="single" w:sz="4" w:space="0" w:color="auto"/>
            </w:tcBorders>
          </w:tcPr>
          <w:p w14:paraId="186DA35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411FA8C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(0.0463)</w:t>
            </w:r>
          </w:p>
        </w:tc>
        <w:tc>
          <w:tcPr>
            <w:tcW w:w="1440" w:type="dxa"/>
          </w:tcPr>
          <w:p w14:paraId="769ABD4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(0.0467)</w:t>
            </w:r>
          </w:p>
        </w:tc>
        <w:tc>
          <w:tcPr>
            <w:tcW w:w="1584" w:type="dxa"/>
          </w:tcPr>
          <w:p w14:paraId="295BFE3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(0.0465)</w:t>
            </w:r>
          </w:p>
        </w:tc>
        <w:tc>
          <w:tcPr>
            <w:tcW w:w="1584" w:type="dxa"/>
            <w:tcBorders>
              <w:right w:val="single" w:sz="4" w:space="0" w:color="auto"/>
            </w:tcBorders>
          </w:tcPr>
          <w:p w14:paraId="49358C3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(0.0464)</w:t>
            </w:r>
          </w:p>
        </w:tc>
      </w:tr>
      <w:tr w:rsidR="00880312" w:rsidRPr="00880312" w14:paraId="7251EB46" w14:textId="77777777" w:rsidTr="009E69CE">
        <w:trPr>
          <w:jc w:val="center"/>
        </w:trPr>
        <w:tc>
          <w:tcPr>
            <w:tcW w:w="3257" w:type="dxa"/>
            <w:tcBorders>
              <w:left w:val="single" w:sz="4" w:space="0" w:color="auto"/>
            </w:tcBorders>
          </w:tcPr>
          <w:p w14:paraId="2101AF7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Leverage</w:t>
            </w:r>
          </w:p>
        </w:tc>
        <w:tc>
          <w:tcPr>
            <w:tcW w:w="1584" w:type="dxa"/>
          </w:tcPr>
          <w:p w14:paraId="58B5931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0.0461</w:t>
            </w:r>
          </w:p>
        </w:tc>
        <w:tc>
          <w:tcPr>
            <w:tcW w:w="1440" w:type="dxa"/>
          </w:tcPr>
          <w:p w14:paraId="48D7D26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0.0295</w:t>
            </w:r>
          </w:p>
        </w:tc>
        <w:tc>
          <w:tcPr>
            <w:tcW w:w="1584" w:type="dxa"/>
          </w:tcPr>
          <w:p w14:paraId="1AAFDAD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0.0265</w:t>
            </w:r>
          </w:p>
        </w:tc>
        <w:tc>
          <w:tcPr>
            <w:tcW w:w="1584" w:type="dxa"/>
            <w:tcBorders>
              <w:right w:val="single" w:sz="4" w:space="0" w:color="auto"/>
            </w:tcBorders>
          </w:tcPr>
          <w:p w14:paraId="676A412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0.0604</w:t>
            </w:r>
          </w:p>
        </w:tc>
      </w:tr>
      <w:tr w:rsidR="00880312" w:rsidRPr="00880312" w14:paraId="7593B52E" w14:textId="77777777" w:rsidTr="009E69CE">
        <w:trPr>
          <w:jc w:val="center"/>
        </w:trPr>
        <w:tc>
          <w:tcPr>
            <w:tcW w:w="3257" w:type="dxa"/>
            <w:tcBorders>
              <w:left w:val="single" w:sz="4" w:space="0" w:color="auto"/>
            </w:tcBorders>
          </w:tcPr>
          <w:p w14:paraId="4BBBDD88"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012E830D"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(0.111)</w:t>
            </w:r>
          </w:p>
        </w:tc>
        <w:tc>
          <w:tcPr>
            <w:tcW w:w="1440" w:type="dxa"/>
          </w:tcPr>
          <w:p w14:paraId="706638A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(0.111)</w:t>
            </w:r>
          </w:p>
        </w:tc>
        <w:tc>
          <w:tcPr>
            <w:tcW w:w="1584" w:type="dxa"/>
          </w:tcPr>
          <w:p w14:paraId="1C97471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(0.111)</w:t>
            </w:r>
          </w:p>
        </w:tc>
        <w:tc>
          <w:tcPr>
            <w:tcW w:w="1584" w:type="dxa"/>
            <w:tcBorders>
              <w:right w:val="single" w:sz="4" w:space="0" w:color="auto"/>
            </w:tcBorders>
          </w:tcPr>
          <w:p w14:paraId="728F113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(0.112)</w:t>
            </w:r>
          </w:p>
        </w:tc>
      </w:tr>
      <w:tr w:rsidR="00880312" w:rsidRPr="00880312" w14:paraId="255CD5D8" w14:textId="77777777" w:rsidTr="009E69CE">
        <w:trPr>
          <w:jc w:val="center"/>
        </w:trPr>
        <w:tc>
          <w:tcPr>
            <w:tcW w:w="3257" w:type="dxa"/>
            <w:tcBorders>
              <w:left w:val="single" w:sz="4" w:space="0" w:color="auto"/>
            </w:tcBorders>
          </w:tcPr>
          <w:p w14:paraId="3E9A9607"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ROA</w:t>
            </w:r>
          </w:p>
        </w:tc>
        <w:tc>
          <w:tcPr>
            <w:tcW w:w="1584" w:type="dxa"/>
          </w:tcPr>
          <w:p w14:paraId="4B7A6F2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-0.2533***</w:t>
            </w:r>
          </w:p>
        </w:tc>
        <w:tc>
          <w:tcPr>
            <w:tcW w:w="1440" w:type="dxa"/>
          </w:tcPr>
          <w:p w14:paraId="3307C2A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-0.2581***</w:t>
            </w:r>
          </w:p>
        </w:tc>
        <w:tc>
          <w:tcPr>
            <w:tcW w:w="1584" w:type="dxa"/>
          </w:tcPr>
          <w:p w14:paraId="4BC3481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-0.255***</w:t>
            </w:r>
          </w:p>
        </w:tc>
        <w:tc>
          <w:tcPr>
            <w:tcW w:w="1584" w:type="dxa"/>
            <w:tcBorders>
              <w:right w:val="single" w:sz="4" w:space="0" w:color="auto"/>
            </w:tcBorders>
          </w:tcPr>
          <w:p w14:paraId="1DB0DEB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-0.251***</w:t>
            </w:r>
          </w:p>
        </w:tc>
      </w:tr>
      <w:tr w:rsidR="00880312" w:rsidRPr="00880312" w14:paraId="25C727E2" w14:textId="77777777" w:rsidTr="009E69CE">
        <w:trPr>
          <w:jc w:val="center"/>
        </w:trPr>
        <w:tc>
          <w:tcPr>
            <w:tcW w:w="3257" w:type="dxa"/>
            <w:tcBorders>
              <w:left w:val="single" w:sz="4" w:space="0" w:color="auto"/>
            </w:tcBorders>
          </w:tcPr>
          <w:p w14:paraId="75847E41"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76EC8C0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(0.0110)</w:t>
            </w:r>
          </w:p>
        </w:tc>
        <w:tc>
          <w:tcPr>
            <w:tcW w:w="1440" w:type="dxa"/>
          </w:tcPr>
          <w:p w14:paraId="6BC5EC7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(0.0110)</w:t>
            </w:r>
          </w:p>
        </w:tc>
        <w:tc>
          <w:tcPr>
            <w:tcW w:w="1584" w:type="dxa"/>
          </w:tcPr>
          <w:p w14:paraId="230CB8E4"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(0.0110)</w:t>
            </w:r>
          </w:p>
        </w:tc>
        <w:tc>
          <w:tcPr>
            <w:tcW w:w="1584" w:type="dxa"/>
            <w:tcBorders>
              <w:right w:val="single" w:sz="4" w:space="0" w:color="auto"/>
            </w:tcBorders>
          </w:tcPr>
          <w:p w14:paraId="3A1DD6D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(0.0111)</w:t>
            </w:r>
          </w:p>
        </w:tc>
      </w:tr>
      <w:tr w:rsidR="00880312" w:rsidRPr="00880312" w14:paraId="2F355C82" w14:textId="77777777" w:rsidTr="009E69CE">
        <w:trPr>
          <w:jc w:val="center"/>
        </w:trPr>
        <w:tc>
          <w:tcPr>
            <w:tcW w:w="3257" w:type="dxa"/>
            <w:tcBorders>
              <w:left w:val="single" w:sz="4" w:space="0" w:color="auto"/>
            </w:tcBorders>
          </w:tcPr>
          <w:p w14:paraId="6451CAA9"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CEO Compensation</w:t>
            </w:r>
          </w:p>
        </w:tc>
        <w:tc>
          <w:tcPr>
            <w:tcW w:w="1584" w:type="dxa"/>
          </w:tcPr>
          <w:p w14:paraId="30D8B32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0.0340***</w:t>
            </w:r>
          </w:p>
        </w:tc>
        <w:tc>
          <w:tcPr>
            <w:tcW w:w="1440" w:type="dxa"/>
          </w:tcPr>
          <w:p w14:paraId="045CA48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0.0351***</w:t>
            </w:r>
          </w:p>
        </w:tc>
        <w:tc>
          <w:tcPr>
            <w:tcW w:w="1584" w:type="dxa"/>
          </w:tcPr>
          <w:p w14:paraId="712070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0.0353***</w:t>
            </w:r>
          </w:p>
        </w:tc>
        <w:tc>
          <w:tcPr>
            <w:tcW w:w="1584" w:type="dxa"/>
            <w:tcBorders>
              <w:right w:val="single" w:sz="4" w:space="0" w:color="auto"/>
            </w:tcBorders>
          </w:tcPr>
          <w:p w14:paraId="048CF8E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0.0348**</w:t>
            </w:r>
          </w:p>
        </w:tc>
      </w:tr>
      <w:tr w:rsidR="00880312" w:rsidRPr="00880312" w14:paraId="3934488B" w14:textId="77777777" w:rsidTr="009E69CE">
        <w:trPr>
          <w:jc w:val="center"/>
        </w:trPr>
        <w:tc>
          <w:tcPr>
            <w:tcW w:w="3257" w:type="dxa"/>
            <w:tcBorders>
              <w:left w:val="single" w:sz="4" w:space="0" w:color="auto"/>
            </w:tcBorders>
          </w:tcPr>
          <w:p w14:paraId="2D2AAF9C"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599FB8F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(0.0116)</w:t>
            </w:r>
          </w:p>
        </w:tc>
        <w:tc>
          <w:tcPr>
            <w:tcW w:w="1440" w:type="dxa"/>
          </w:tcPr>
          <w:p w14:paraId="5F884FB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(0.0116)</w:t>
            </w:r>
          </w:p>
        </w:tc>
        <w:tc>
          <w:tcPr>
            <w:tcW w:w="1584" w:type="dxa"/>
          </w:tcPr>
          <w:p w14:paraId="0B6649B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(0.0116)</w:t>
            </w:r>
          </w:p>
        </w:tc>
        <w:tc>
          <w:tcPr>
            <w:tcW w:w="1584" w:type="dxa"/>
            <w:tcBorders>
              <w:right w:val="single" w:sz="4" w:space="0" w:color="auto"/>
            </w:tcBorders>
          </w:tcPr>
          <w:p w14:paraId="6E25BF9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(0.0116)</w:t>
            </w:r>
          </w:p>
        </w:tc>
      </w:tr>
      <w:tr w:rsidR="00880312" w:rsidRPr="00880312" w14:paraId="4D7AEDCA" w14:textId="77777777" w:rsidTr="009E69CE">
        <w:trPr>
          <w:jc w:val="center"/>
        </w:trPr>
        <w:tc>
          <w:tcPr>
            <w:tcW w:w="3257" w:type="dxa"/>
            <w:tcBorders>
              <w:left w:val="single" w:sz="4" w:space="0" w:color="auto"/>
            </w:tcBorders>
          </w:tcPr>
          <w:p w14:paraId="25CFCEF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Bank Capital</w:t>
            </w:r>
          </w:p>
        </w:tc>
        <w:tc>
          <w:tcPr>
            <w:tcW w:w="1584" w:type="dxa"/>
          </w:tcPr>
          <w:p w14:paraId="3044BF97"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0.2025***</w:t>
            </w:r>
          </w:p>
        </w:tc>
        <w:tc>
          <w:tcPr>
            <w:tcW w:w="1440" w:type="dxa"/>
          </w:tcPr>
          <w:p w14:paraId="5876CB1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0.2005***</w:t>
            </w:r>
          </w:p>
        </w:tc>
        <w:tc>
          <w:tcPr>
            <w:tcW w:w="1584" w:type="dxa"/>
          </w:tcPr>
          <w:p w14:paraId="605AE768"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0.202***</w:t>
            </w:r>
          </w:p>
        </w:tc>
        <w:tc>
          <w:tcPr>
            <w:tcW w:w="1584" w:type="dxa"/>
            <w:tcBorders>
              <w:right w:val="single" w:sz="4" w:space="0" w:color="auto"/>
            </w:tcBorders>
          </w:tcPr>
          <w:p w14:paraId="1A6C72C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0.203***</w:t>
            </w:r>
          </w:p>
        </w:tc>
      </w:tr>
      <w:tr w:rsidR="00880312" w:rsidRPr="00880312" w14:paraId="55E4B476" w14:textId="77777777" w:rsidTr="009E69CE">
        <w:trPr>
          <w:jc w:val="center"/>
        </w:trPr>
        <w:tc>
          <w:tcPr>
            <w:tcW w:w="3257" w:type="dxa"/>
            <w:tcBorders>
              <w:left w:val="single" w:sz="4" w:space="0" w:color="auto"/>
            </w:tcBorders>
          </w:tcPr>
          <w:p w14:paraId="0001478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4C2119F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(0.0185)</w:t>
            </w:r>
          </w:p>
        </w:tc>
        <w:tc>
          <w:tcPr>
            <w:tcW w:w="1440" w:type="dxa"/>
          </w:tcPr>
          <w:p w14:paraId="2CEF285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(0.0187)</w:t>
            </w:r>
          </w:p>
        </w:tc>
        <w:tc>
          <w:tcPr>
            <w:tcW w:w="1584" w:type="dxa"/>
          </w:tcPr>
          <w:p w14:paraId="6DEAD3F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(0.0186)</w:t>
            </w:r>
          </w:p>
        </w:tc>
        <w:tc>
          <w:tcPr>
            <w:tcW w:w="1584" w:type="dxa"/>
            <w:tcBorders>
              <w:right w:val="single" w:sz="4" w:space="0" w:color="auto"/>
            </w:tcBorders>
          </w:tcPr>
          <w:p w14:paraId="64D18B9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(0.0186)</w:t>
            </w:r>
          </w:p>
        </w:tc>
      </w:tr>
      <w:tr w:rsidR="00880312" w:rsidRPr="00880312" w14:paraId="6CA47BE8" w14:textId="77777777" w:rsidTr="009E69CE">
        <w:trPr>
          <w:jc w:val="center"/>
        </w:trPr>
        <w:tc>
          <w:tcPr>
            <w:tcW w:w="3257" w:type="dxa"/>
            <w:tcBorders>
              <w:left w:val="single" w:sz="4" w:space="0" w:color="auto"/>
            </w:tcBorders>
          </w:tcPr>
          <w:p w14:paraId="41EBEAD5"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Constant</w:t>
            </w:r>
          </w:p>
        </w:tc>
        <w:tc>
          <w:tcPr>
            <w:tcW w:w="1584" w:type="dxa"/>
          </w:tcPr>
          <w:p w14:paraId="129CD0A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0.0475***</w:t>
            </w:r>
          </w:p>
        </w:tc>
        <w:tc>
          <w:tcPr>
            <w:tcW w:w="1440" w:type="dxa"/>
          </w:tcPr>
          <w:p w14:paraId="24FDB0B9"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0.0201***</w:t>
            </w:r>
          </w:p>
        </w:tc>
        <w:tc>
          <w:tcPr>
            <w:tcW w:w="1584" w:type="dxa"/>
          </w:tcPr>
          <w:p w14:paraId="33716E1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0.0541***</w:t>
            </w:r>
          </w:p>
        </w:tc>
        <w:tc>
          <w:tcPr>
            <w:tcW w:w="1584" w:type="dxa"/>
            <w:tcBorders>
              <w:right w:val="single" w:sz="4" w:space="0" w:color="auto"/>
            </w:tcBorders>
          </w:tcPr>
          <w:p w14:paraId="2198593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0.0612**</w:t>
            </w:r>
          </w:p>
        </w:tc>
      </w:tr>
      <w:tr w:rsidR="00880312" w:rsidRPr="00880312" w14:paraId="6FDD47DB" w14:textId="77777777" w:rsidTr="009E69CE">
        <w:trPr>
          <w:jc w:val="center"/>
        </w:trPr>
        <w:tc>
          <w:tcPr>
            <w:tcW w:w="3257" w:type="dxa"/>
            <w:tcBorders>
              <w:left w:val="single" w:sz="4" w:space="0" w:color="auto"/>
            </w:tcBorders>
          </w:tcPr>
          <w:p w14:paraId="7D32720E"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134E902E"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(0.0201)</w:t>
            </w:r>
          </w:p>
        </w:tc>
        <w:tc>
          <w:tcPr>
            <w:tcW w:w="1440" w:type="dxa"/>
          </w:tcPr>
          <w:p w14:paraId="47FDE963"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(0.0202)</w:t>
            </w:r>
          </w:p>
        </w:tc>
        <w:tc>
          <w:tcPr>
            <w:tcW w:w="1584" w:type="dxa"/>
          </w:tcPr>
          <w:p w14:paraId="72EF490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(0.0203)</w:t>
            </w:r>
          </w:p>
        </w:tc>
        <w:tc>
          <w:tcPr>
            <w:tcW w:w="1584" w:type="dxa"/>
            <w:tcBorders>
              <w:right w:val="single" w:sz="4" w:space="0" w:color="auto"/>
            </w:tcBorders>
          </w:tcPr>
          <w:p w14:paraId="60D1E8C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(0.0204)</w:t>
            </w:r>
          </w:p>
        </w:tc>
      </w:tr>
      <w:tr w:rsidR="00880312" w:rsidRPr="00880312" w14:paraId="7A638FA7" w14:textId="77777777" w:rsidTr="009E69CE">
        <w:trPr>
          <w:jc w:val="center"/>
        </w:trPr>
        <w:tc>
          <w:tcPr>
            <w:tcW w:w="3257" w:type="dxa"/>
            <w:tcBorders>
              <w:left w:val="single" w:sz="4" w:space="0" w:color="auto"/>
            </w:tcBorders>
          </w:tcPr>
          <w:p w14:paraId="171A83A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584" w:type="dxa"/>
          </w:tcPr>
          <w:p w14:paraId="6F39C1D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440" w:type="dxa"/>
          </w:tcPr>
          <w:p w14:paraId="15CE079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Pr>
          <w:p w14:paraId="1C06AFA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c>
          <w:tcPr>
            <w:tcW w:w="1584" w:type="dxa"/>
            <w:tcBorders>
              <w:right w:val="single" w:sz="4" w:space="0" w:color="auto"/>
            </w:tcBorders>
          </w:tcPr>
          <w:p w14:paraId="478CAA0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p>
        </w:tc>
      </w:tr>
      <w:tr w:rsidR="00880312" w:rsidRPr="00880312" w14:paraId="028866D9" w14:textId="77777777" w:rsidTr="009E69CE">
        <w:trPr>
          <w:jc w:val="center"/>
        </w:trPr>
        <w:tc>
          <w:tcPr>
            <w:tcW w:w="3257" w:type="dxa"/>
            <w:tcBorders>
              <w:left w:val="single" w:sz="4" w:space="0" w:color="auto"/>
            </w:tcBorders>
          </w:tcPr>
          <w:p w14:paraId="588AF3F3"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Observations</w:t>
            </w:r>
          </w:p>
        </w:tc>
        <w:tc>
          <w:tcPr>
            <w:tcW w:w="1584" w:type="dxa"/>
          </w:tcPr>
          <w:p w14:paraId="65BD9BE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1,615</w:t>
            </w:r>
          </w:p>
        </w:tc>
        <w:tc>
          <w:tcPr>
            <w:tcW w:w="1440" w:type="dxa"/>
          </w:tcPr>
          <w:p w14:paraId="3612B29A"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1,615</w:t>
            </w:r>
          </w:p>
        </w:tc>
        <w:tc>
          <w:tcPr>
            <w:tcW w:w="1584" w:type="dxa"/>
          </w:tcPr>
          <w:p w14:paraId="065A94F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1,615</w:t>
            </w:r>
          </w:p>
        </w:tc>
        <w:tc>
          <w:tcPr>
            <w:tcW w:w="1584" w:type="dxa"/>
            <w:tcBorders>
              <w:right w:val="single" w:sz="4" w:space="0" w:color="auto"/>
            </w:tcBorders>
          </w:tcPr>
          <w:p w14:paraId="5C10909B"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1,615</w:t>
            </w:r>
          </w:p>
        </w:tc>
      </w:tr>
      <w:tr w:rsidR="00880312" w:rsidRPr="00880312" w14:paraId="3DF74DA8" w14:textId="77777777" w:rsidTr="009E69CE">
        <w:trPr>
          <w:jc w:val="center"/>
        </w:trPr>
        <w:tc>
          <w:tcPr>
            <w:tcW w:w="3257" w:type="dxa"/>
            <w:tcBorders>
              <w:left w:val="single" w:sz="4" w:space="0" w:color="auto"/>
              <w:bottom w:val="single" w:sz="4" w:space="0" w:color="auto"/>
            </w:tcBorders>
          </w:tcPr>
          <w:p w14:paraId="45DE52D2"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R-squared</w:t>
            </w:r>
          </w:p>
        </w:tc>
        <w:tc>
          <w:tcPr>
            <w:tcW w:w="1584" w:type="dxa"/>
            <w:tcBorders>
              <w:bottom w:val="single" w:sz="4" w:space="0" w:color="auto"/>
            </w:tcBorders>
          </w:tcPr>
          <w:p w14:paraId="7D1C20C6"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0.484</w:t>
            </w:r>
          </w:p>
        </w:tc>
        <w:tc>
          <w:tcPr>
            <w:tcW w:w="1440" w:type="dxa"/>
            <w:tcBorders>
              <w:bottom w:val="single" w:sz="4" w:space="0" w:color="auto"/>
            </w:tcBorders>
          </w:tcPr>
          <w:p w14:paraId="3B223EA5"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0.475</w:t>
            </w:r>
          </w:p>
        </w:tc>
        <w:tc>
          <w:tcPr>
            <w:tcW w:w="1584" w:type="dxa"/>
            <w:tcBorders>
              <w:bottom w:val="single" w:sz="4" w:space="0" w:color="auto"/>
            </w:tcBorders>
          </w:tcPr>
          <w:p w14:paraId="2BCA1D6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0.481</w:t>
            </w:r>
          </w:p>
        </w:tc>
        <w:tc>
          <w:tcPr>
            <w:tcW w:w="1584" w:type="dxa"/>
            <w:tcBorders>
              <w:bottom w:val="single" w:sz="4" w:space="0" w:color="auto"/>
              <w:right w:val="single" w:sz="4" w:space="0" w:color="auto"/>
            </w:tcBorders>
          </w:tcPr>
          <w:p w14:paraId="03D5D920"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0.486</w:t>
            </w:r>
          </w:p>
        </w:tc>
      </w:tr>
      <w:tr w:rsidR="00880312" w:rsidRPr="00880312" w14:paraId="3DD8D181" w14:textId="77777777" w:rsidTr="009E69CE">
        <w:trPr>
          <w:jc w:val="center"/>
        </w:trPr>
        <w:tc>
          <w:tcPr>
            <w:tcW w:w="3257" w:type="dxa"/>
            <w:tcBorders>
              <w:top w:val="single" w:sz="4" w:space="0" w:color="auto"/>
              <w:left w:val="single" w:sz="4" w:space="0" w:color="auto"/>
              <w:bottom w:val="single" w:sz="4" w:space="0" w:color="auto"/>
            </w:tcBorders>
          </w:tcPr>
          <w:p w14:paraId="536B063D"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Year and Bank FE</w:t>
            </w:r>
          </w:p>
        </w:tc>
        <w:tc>
          <w:tcPr>
            <w:tcW w:w="1584" w:type="dxa"/>
            <w:tcBorders>
              <w:top w:val="single" w:sz="4" w:space="0" w:color="auto"/>
              <w:bottom w:val="single" w:sz="4" w:space="0" w:color="auto"/>
            </w:tcBorders>
          </w:tcPr>
          <w:p w14:paraId="4BDB34B1"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Yes</w:t>
            </w:r>
          </w:p>
        </w:tc>
        <w:tc>
          <w:tcPr>
            <w:tcW w:w="1440" w:type="dxa"/>
            <w:tcBorders>
              <w:top w:val="single" w:sz="4" w:space="0" w:color="auto"/>
              <w:bottom w:val="single" w:sz="4" w:space="0" w:color="auto"/>
            </w:tcBorders>
          </w:tcPr>
          <w:p w14:paraId="33813EAC"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Yes</w:t>
            </w:r>
          </w:p>
        </w:tc>
        <w:tc>
          <w:tcPr>
            <w:tcW w:w="1584" w:type="dxa"/>
            <w:tcBorders>
              <w:top w:val="single" w:sz="4" w:space="0" w:color="auto"/>
              <w:bottom w:val="single" w:sz="4" w:space="0" w:color="auto"/>
            </w:tcBorders>
          </w:tcPr>
          <w:p w14:paraId="004E1432"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Yes</w:t>
            </w:r>
          </w:p>
        </w:tc>
        <w:tc>
          <w:tcPr>
            <w:tcW w:w="1584" w:type="dxa"/>
            <w:tcBorders>
              <w:top w:val="single" w:sz="4" w:space="0" w:color="auto"/>
              <w:bottom w:val="single" w:sz="4" w:space="0" w:color="auto"/>
              <w:right w:val="single" w:sz="4" w:space="0" w:color="auto"/>
            </w:tcBorders>
          </w:tcPr>
          <w:p w14:paraId="4E696F1F" w14:textId="77777777" w:rsidR="00880312" w:rsidRPr="00880312" w:rsidRDefault="00880312" w:rsidP="0088031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GB"/>
              </w:rPr>
            </w:pPr>
            <w:r w:rsidRPr="00880312">
              <w:rPr>
                <w:rFonts w:ascii="Times New Roman" w:eastAsia="Times New Roman" w:hAnsi="Times New Roman" w:cs="Times New Roman"/>
                <w:sz w:val="20"/>
                <w:szCs w:val="20"/>
                <w:lang w:eastAsia="en-GB"/>
              </w:rPr>
              <w:t>Yes</w:t>
            </w:r>
          </w:p>
        </w:tc>
      </w:tr>
    </w:tbl>
    <w:p w14:paraId="41EA108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lang w:eastAsia="en-GB"/>
        </w:rPr>
      </w:pPr>
    </w:p>
    <w:p w14:paraId="5F55B7E7" w14:textId="77777777" w:rsidR="00880312" w:rsidRPr="00880312" w:rsidRDefault="00880312" w:rsidP="00880312">
      <w:pPr>
        <w:rPr>
          <w:rFonts w:ascii="Times New Roman" w:eastAsia="Times New Roman" w:hAnsi="Times New Roman" w:cs="Times New Roman"/>
          <w:color w:val="000000"/>
          <w:lang w:eastAsia="en-GB"/>
        </w:rPr>
      </w:pPr>
      <w:r w:rsidRPr="00880312">
        <w:rPr>
          <w:rFonts w:ascii="Times New Roman" w:eastAsia="Times New Roman" w:hAnsi="Times New Roman" w:cs="Times New Roman"/>
          <w:color w:val="000000"/>
          <w:lang w:eastAsia="en-GB"/>
        </w:rPr>
        <w:br w:type="page"/>
      </w:r>
    </w:p>
    <w:p w14:paraId="66E7035A" w14:textId="3A887BF5" w:rsidR="00DE7639" w:rsidRPr="00F037AE" w:rsidRDefault="00DE7639" w:rsidP="00DE7639">
      <w:pPr>
        <w:pStyle w:val="Caption"/>
        <w:keepNext/>
        <w:rPr>
          <w:rFonts w:ascii="Times New Roman" w:hAnsi="Times New Roman" w:cs="Times New Roman"/>
          <w:b/>
          <w:bCs/>
          <w:i w:val="0"/>
          <w:iCs w:val="0"/>
          <w:color w:val="auto"/>
          <w:sz w:val="28"/>
          <w:szCs w:val="28"/>
        </w:rPr>
      </w:pPr>
      <w:bookmarkStart w:id="131" w:name="_Toc132386108"/>
      <w:bookmarkStart w:id="132" w:name="_Toc132437300"/>
      <w:r w:rsidRPr="00F037AE">
        <w:rPr>
          <w:rFonts w:ascii="Times New Roman" w:hAnsi="Times New Roman" w:cs="Times New Roman"/>
          <w:b/>
          <w:bCs/>
          <w:i w:val="0"/>
          <w:iCs w:val="0"/>
          <w:color w:val="auto"/>
          <w:sz w:val="28"/>
          <w:szCs w:val="28"/>
        </w:rPr>
        <w:t>Table4.</w:t>
      </w:r>
      <w:r w:rsidR="00221C3A">
        <w:rPr>
          <w:rFonts w:ascii="Times New Roman" w:hAnsi="Times New Roman" w:cs="Times New Roman"/>
          <w:b/>
          <w:bCs/>
          <w:i w:val="0"/>
          <w:iCs w:val="0"/>
          <w:color w:val="auto"/>
          <w:sz w:val="28"/>
          <w:szCs w:val="28"/>
        </w:rPr>
        <w:t>7</w:t>
      </w:r>
      <w:r w:rsidRPr="00F037AE">
        <w:rPr>
          <w:rFonts w:ascii="Times New Roman" w:hAnsi="Times New Roman" w:cs="Times New Roman"/>
          <w:b/>
          <w:bCs/>
          <w:i w:val="0"/>
          <w:iCs w:val="0"/>
          <w:color w:val="auto"/>
          <w:sz w:val="28"/>
          <w:szCs w:val="28"/>
        </w:rPr>
        <w:t>. Risk Culture, Board Gender Diversity and Bank Risk: Post-2007 Impact</w:t>
      </w:r>
      <w:bookmarkEnd w:id="131"/>
      <w:bookmarkEnd w:id="132"/>
    </w:p>
    <w:p w14:paraId="18095BFA" w14:textId="210847A3" w:rsidR="00DE7639" w:rsidRPr="00DE7639" w:rsidRDefault="00DE7639" w:rsidP="00DE7639">
      <w:pPr>
        <w:jc w:val="both"/>
        <w:rPr>
          <w:rFonts w:ascii="Times New Roman" w:eastAsia="Times New Roman" w:hAnsi="Times New Roman" w:cs="Times New Roman"/>
          <w:color w:val="000000"/>
          <w:lang w:eastAsia="en-GB"/>
        </w:rPr>
      </w:pPr>
      <w:r w:rsidRPr="00880312">
        <w:rPr>
          <w:rFonts w:ascii="Times New Roman" w:eastAsia="Times New Roman" w:hAnsi="Times New Roman" w:cs="Times New Roman"/>
          <w:color w:val="000000"/>
          <w:lang w:eastAsia="en-GB"/>
        </w:rPr>
        <w:t>This table reports panel estimation results for moderating the role of board gender diversity on bank risk</w:t>
      </w:r>
      <w:r>
        <w:rPr>
          <w:rFonts w:ascii="Times New Roman" w:eastAsia="Times New Roman" w:hAnsi="Times New Roman" w:cs="Times New Roman"/>
          <w:color w:val="000000"/>
          <w:lang w:eastAsia="en-GB"/>
        </w:rPr>
        <w:t xml:space="preserve"> and culture (equation1) after the financial crisis of 2007-2009</w:t>
      </w:r>
      <w:r w:rsidRPr="00880312">
        <w:rPr>
          <w:rFonts w:ascii="Times New Roman" w:eastAsia="Times New Roman" w:hAnsi="Times New Roman" w:cs="Times New Roman"/>
          <w:color w:val="000000"/>
          <w:lang w:eastAsia="en-GB"/>
        </w:rPr>
        <w:t xml:space="preserve">. The dependent variable is </w:t>
      </w:r>
      <w:r>
        <w:rPr>
          <w:rFonts w:ascii="Times New Roman" w:eastAsia="Times New Roman" w:hAnsi="Times New Roman" w:cs="Times New Roman"/>
          <w:color w:val="000000"/>
          <w:lang w:eastAsia="en-GB"/>
        </w:rPr>
        <w:t xml:space="preserve">Credit </w:t>
      </w:r>
      <w:r>
        <w:rPr>
          <w:rFonts w:ascii="Times New Roman" w:eastAsia="Times New Roman" w:hAnsi="Times New Roman" w:cs="Times New Roman"/>
          <w:i/>
          <w:iCs/>
          <w:color w:val="000000"/>
          <w:lang w:eastAsia="en-GB"/>
        </w:rPr>
        <w:t>R</w:t>
      </w:r>
      <w:r w:rsidRPr="00880312">
        <w:rPr>
          <w:rFonts w:ascii="Times New Roman" w:eastAsia="Times New Roman" w:hAnsi="Times New Roman" w:cs="Times New Roman"/>
          <w:i/>
          <w:iCs/>
          <w:color w:val="000000"/>
          <w:lang w:eastAsia="en-GB"/>
        </w:rPr>
        <w:t>isk,</w:t>
      </w:r>
      <w:r w:rsidRPr="00880312">
        <w:rPr>
          <w:rFonts w:ascii="Times New Roman" w:eastAsia="Times New Roman" w:hAnsi="Times New Roman" w:cs="Times New Roman"/>
          <w:color w:val="000000"/>
          <w:lang w:eastAsia="en-GB"/>
        </w:rPr>
        <w:t xml:space="preserve"> whereas the independent variable includes </w:t>
      </w:r>
      <w:r w:rsidRPr="00880312">
        <w:rPr>
          <w:rFonts w:ascii="Times New Roman" w:eastAsia="Times New Roman" w:hAnsi="Times New Roman" w:cs="Times New Roman"/>
          <w:i/>
          <w:iCs/>
          <w:color w:val="000000"/>
          <w:lang w:eastAsia="en-GB"/>
        </w:rPr>
        <w:t>Risk culture</w:t>
      </w:r>
      <w:r w:rsidRPr="00880312">
        <w:rPr>
          <w:rFonts w:ascii="Times New Roman" w:eastAsia="Times New Roman" w:hAnsi="Times New Roman" w:cs="Times New Roman"/>
          <w:color w:val="000000"/>
          <w:lang w:eastAsia="en-GB"/>
        </w:rPr>
        <w:t xml:space="preserve"> and Female</w:t>
      </w:r>
      <w:r w:rsidRPr="00880312">
        <w:rPr>
          <w:rFonts w:ascii="Times New Roman" w:eastAsia="Times New Roman" w:hAnsi="Times New Roman" w:cs="Times New Roman"/>
          <w:i/>
          <w:iCs/>
          <w:color w:val="000000"/>
          <w:lang w:eastAsia="en-GB"/>
        </w:rPr>
        <w:t xml:space="preserve"> Board</w:t>
      </w:r>
      <w:r w:rsidRPr="00880312">
        <w:rPr>
          <w:rFonts w:ascii="Times New Roman" w:eastAsia="Times New Roman" w:hAnsi="Times New Roman" w:cs="Times New Roman"/>
          <w:color w:val="000000"/>
          <w:lang w:eastAsia="en-GB"/>
        </w:rPr>
        <w:t xml:space="preserve"> (gender diversity). 'Post-2007' is a dummy that equals one for years &gt; 2007 and 0 otherwise. The main variable of interest is the interaction term of Risk Culture * Female Board *Post 2007. </w:t>
      </w:r>
      <w:r>
        <w:rPr>
          <w:rFonts w:ascii="Times New Roman" w:eastAsia="Times New Roman" w:hAnsi="Times New Roman" w:cs="Times New Roman"/>
          <w:color w:val="000000"/>
          <w:lang w:eastAsia="en-GB"/>
        </w:rPr>
        <w:t>Model(</w:t>
      </w:r>
      <w:r w:rsidRPr="00880312">
        <w:rPr>
          <w:rFonts w:ascii="Times New Roman" w:eastAsia="Times New Roman" w:hAnsi="Times New Roman" w:cs="Times New Roman"/>
          <w:color w:val="000000"/>
          <w:lang w:eastAsia="en-GB"/>
        </w:rPr>
        <w:t>1</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 xml:space="preserve"> reports result without any control</w:t>
      </w:r>
      <w:r>
        <w:rPr>
          <w:rFonts w:ascii="Times New Roman" w:eastAsia="Times New Roman" w:hAnsi="Times New Roman" w:cs="Times New Roman"/>
          <w:color w:val="000000"/>
          <w:lang w:eastAsia="en-GB"/>
        </w:rPr>
        <w:t>, Model</w:t>
      </w:r>
      <w:r w:rsidRPr="00880312">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2</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 xml:space="preserve"> reports on governance control</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 xml:space="preserve"> while Column 3 reports </w:t>
      </w:r>
      <w:r>
        <w:rPr>
          <w:rFonts w:ascii="Times New Roman" w:eastAsia="Times New Roman" w:hAnsi="Times New Roman" w:cs="Times New Roman"/>
          <w:color w:val="000000"/>
          <w:lang w:eastAsia="en-GB"/>
        </w:rPr>
        <w:t>on</w:t>
      </w:r>
      <w:r w:rsidRPr="00880312">
        <w:rPr>
          <w:rFonts w:ascii="Times New Roman" w:eastAsia="Times New Roman" w:hAnsi="Times New Roman" w:cs="Times New Roman"/>
          <w:color w:val="000000"/>
          <w:lang w:eastAsia="en-GB"/>
        </w:rPr>
        <w:t xml:space="preserve"> governance and firm-specific controls. Even after </w:t>
      </w:r>
      <w:r>
        <w:rPr>
          <w:rFonts w:ascii="Times New Roman" w:eastAsia="Times New Roman" w:hAnsi="Times New Roman" w:cs="Times New Roman"/>
          <w:color w:val="000000"/>
          <w:lang w:eastAsia="en-GB"/>
        </w:rPr>
        <w:t xml:space="preserve">the </w:t>
      </w:r>
      <w:r w:rsidRPr="00880312">
        <w:rPr>
          <w:rFonts w:ascii="Times New Roman" w:eastAsia="Times New Roman" w:hAnsi="Times New Roman" w:cs="Times New Roman"/>
          <w:color w:val="000000"/>
          <w:lang w:eastAsia="en-GB"/>
        </w:rPr>
        <w:t>addition of control variables in model 2 and 3 the main relationship of 3-way interaction between risk culture * Female Board * Post 2007 remains significant.</w:t>
      </w:r>
      <w:r>
        <w:rPr>
          <w:rFonts w:ascii="Times New Roman" w:eastAsia="Times New Roman" w:hAnsi="Times New Roman" w:cs="Times New Roman"/>
          <w:color w:val="000000"/>
          <w:lang w:eastAsia="en-GB"/>
        </w:rPr>
        <w:t xml:space="preserve"> </w:t>
      </w:r>
      <w:r w:rsidRPr="00880312">
        <w:rPr>
          <w:rFonts w:ascii="Times New Roman" w:eastAsia="Times New Roman" w:hAnsi="Times New Roman" w:cs="Times New Roman"/>
          <w:color w:val="000000"/>
          <w:lang w:eastAsia="en-GB"/>
        </w:rPr>
        <w:t>Robust standard errors are clustered at the bank level. Standard errors are in parentheses. *, **, *** Statistical significance at 10%, 5%, 1% levels, respectively</w:t>
      </w:r>
    </w:p>
    <w:tbl>
      <w:tblPr>
        <w:tblW w:w="5054" w:type="pct"/>
        <w:jc w:val="center"/>
        <w:tblCellMar>
          <w:left w:w="75" w:type="dxa"/>
          <w:right w:w="75" w:type="dxa"/>
        </w:tblCellMar>
        <w:tblLook w:val="0000" w:firstRow="0" w:lastRow="0" w:firstColumn="0" w:lastColumn="0" w:noHBand="0" w:noVBand="0"/>
      </w:tblPr>
      <w:tblGrid>
        <w:gridCol w:w="3448"/>
        <w:gridCol w:w="2426"/>
        <w:gridCol w:w="1896"/>
        <w:gridCol w:w="1797"/>
      </w:tblGrid>
      <w:tr w:rsidR="00880312" w:rsidRPr="00880312" w14:paraId="31070A61" w14:textId="77777777" w:rsidTr="009E69CE">
        <w:trPr>
          <w:cantSplit/>
          <w:trHeight w:hRule="exact" w:val="227"/>
          <w:jc w:val="center"/>
        </w:trPr>
        <w:tc>
          <w:tcPr>
            <w:tcW w:w="1802" w:type="pct"/>
            <w:tcBorders>
              <w:top w:val="single" w:sz="4" w:space="0" w:color="auto"/>
              <w:left w:val="single" w:sz="4" w:space="0" w:color="auto"/>
              <w:bottom w:val="single" w:sz="4" w:space="0" w:color="auto"/>
            </w:tcBorders>
          </w:tcPr>
          <w:p w14:paraId="0C55FC0E"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1268" w:type="pct"/>
            <w:tcBorders>
              <w:top w:val="single" w:sz="4" w:space="0" w:color="auto"/>
              <w:bottom w:val="single" w:sz="4" w:space="0" w:color="auto"/>
            </w:tcBorders>
          </w:tcPr>
          <w:p w14:paraId="59B35BC9"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(1)</w:t>
            </w:r>
          </w:p>
        </w:tc>
        <w:tc>
          <w:tcPr>
            <w:tcW w:w="991" w:type="pct"/>
            <w:tcBorders>
              <w:top w:val="single" w:sz="4" w:space="0" w:color="auto"/>
              <w:bottom w:val="single" w:sz="4" w:space="0" w:color="auto"/>
            </w:tcBorders>
          </w:tcPr>
          <w:p w14:paraId="50D50F6B"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(2)</w:t>
            </w:r>
          </w:p>
        </w:tc>
        <w:tc>
          <w:tcPr>
            <w:tcW w:w="939" w:type="pct"/>
            <w:tcBorders>
              <w:top w:val="single" w:sz="4" w:space="0" w:color="auto"/>
              <w:bottom w:val="single" w:sz="4" w:space="0" w:color="auto"/>
              <w:right w:val="single" w:sz="4" w:space="0" w:color="auto"/>
            </w:tcBorders>
          </w:tcPr>
          <w:p w14:paraId="18BD4B86"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(3)</w:t>
            </w:r>
          </w:p>
        </w:tc>
      </w:tr>
      <w:tr w:rsidR="00880312" w:rsidRPr="00880312" w14:paraId="187C3204" w14:textId="77777777" w:rsidTr="009E69CE">
        <w:trPr>
          <w:cantSplit/>
          <w:trHeight w:hRule="exact" w:val="227"/>
          <w:jc w:val="center"/>
        </w:trPr>
        <w:tc>
          <w:tcPr>
            <w:tcW w:w="1802" w:type="pct"/>
            <w:tcBorders>
              <w:top w:val="single" w:sz="4" w:space="0" w:color="auto"/>
              <w:left w:val="single" w:sz="4" w:space="0" w:color="auto"/>
            </w:tcBorders>
          </w:tcPr>
          <w:p w14:paraId="7625F5A4"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VARIABLES</w:t>
            </w:r>
          </w:p>
        </w:tc>
        <w:tc>
          <w:tcPr>
            <w:tcW w:w="1268" w:type="pct"/>
            <w:tcBorders>
              <w:top w:val="single" w:sz="4" w:space="0" w:color="auto"/>
            </w:tcBorders>
          </w:tcPr>
          <w:p w14:paraId="294D7C95"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991" w:type="pct"/>
            <w:tcBorders>
              <w:top w:val="single" w:sz="4" w:space="0" w:color="auto"/>
            </w:tcBorders>
          </w:tcPr>
          <w:p w14:paraId="1CB1181A"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c>
          <w:tcPr>
            <w:tcW w:w="939" w:type="pct"/>
            <w:tcBorders>
              <w:top w:val="single" w:sz="4" w:space="0" w:color="auto"/>
              <w:right w:val="single" w:sz="4" w:space="0" w:color="auto"/>
            </w:tcBorders>
          </w:tcPr>
          <w:p w14:paraId="50F66B38"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w:t>
            </w:r>
          </w:p>
        </w:tc>
      </w:tr>
      <w:tr w:rsidR="00880312" w:rsidRPr="00880312" w14:paraId="7FF68F65" w14:textId="77777777" w:rsidTr="009E69CE">
        <w:trPr>
          <w:cantSplit/>
          <w:trHeight w:hRule="exact" w:val="227"/>
          <w:jc w:val="center"/>
        </w:trPr>
        <w:tc>
          <w:tcPr>
            <w:tcW w:w="1802" w:type="pct"/>
            <w:tcBorders>
              <w:left w:val="single" w:sz="4" w:space="0" w:color="auto"/>
              <w:bottom w:val="single" w:sz="4" w:space="0" w:color="auto"/>
            </w:tcBorders>
          </w:tcPr>
          <w:p w14:paraId="6F9781CA"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1268" w:type="pct"/>
            <w:tcBorders>
              <w:bottom w:val="single" w:sz="4" w:space="0" w:color="auto"/>
            </w:tcBorders>
          </w:tcPr>
          <w:p w14:paraId="225B2762"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991" w:type="pct"/>
            <w:tcBorders>
              <w:bottom w:val="single" w:sz="4" w:space="0" w:color="auto"/>
            </w:tcBorders>
          </w:tcPr>
          <w:p w14:paraId="1E029DF7"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939" w:type="pct"/>
            <w:tcBorders>
              <w:bottom w:val="single" w:sz="4" w:space="0" w:color="auto"/>
              <w:right w:val="single" w:sz="4" w:space="0" w:color="auto"/>
            </w:tcBorders>
          </w:tcPr>
          <w:p w14:paraId="6572CB85"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r>
      <w:tr w:rsidR="00880312" w:rsidRPr="00880312" w14:paraId="73694C24" w14:textId="77777777" w:rsidTr="009E69CE">
        <w:trPr>
          <w:cantSplit/>
          <w:trHeight w:hRule="exact" w:val="695"/>
          <w:jc w:val="center"/>
        </w:trPr>
        <w:tc>
          <w:tcPr>
            <w:tcW w:w="1802" w:type="pct"/>
            <w:tcBorders>
              <w:top w:val="single" w:sz="4" w:space="0" w:color="auto"/>
              <w:left w:val="single" w:sz="4" w:space="0" w:color="auto"/>
            </w:tcBorders>
          </w:tcPr>
          <w:p w14:paraId="30E80CFA"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Risk Culture* Post 2007 </w:t>
            </w:r>
          </w:p>
        </w:tc>
        <w:tc>
          <w:tcPr>
            <w:tcW w:w="1268" w:type="pct"/>
            <w:tcBorders>
              <w:top w:val="single" w:sz="4" w:space="0" w:color="auto"/>
            </w:tcBorders>
          </w:tcPr>
          <w:p w14:paraId="5146B34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0.0336</w:t>
            </w:r>
          </w:p>
          <w:p w14:paraId="205795B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(0.0250)</w:t>
            </w:r>
          </w:p>
        </w:tc>
        <w:tc>
          <w:tcPr>
            <w:tcW w:w="991" w:type="pct"/>
            <w:tcBorders>
              <w:top w:val="single" w:sz="4" w:space="0" w:color="auto"/>
            </w:tcBorders>
          </w:tcPr>
          <w:p w14:paraId="5B1648F1"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939" w:type="pct"/>
            <w:tcBorders>
              <w:top w:val="single" w:sz="4" w:space="0" w:color="auto"/>
              <w:right w:val="single" w:sz="4" w:space="0" w:color="auto"/>
            </w:tcBorders>
          </w:tcPr>
          <w:p w14:paraId="00F934C0"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r>
      <w:tr w:rsidR="00880312" w:rsidRPr="00880312" w14:paraId="1244AE86" w14:textId="77777777" w:rsidTr="009E69CE">
        <w:trPr>
          <w:cantSplit/>
          <w:trHeight w:hRule="exact" w:val="695"/>
          <w:jc w:val="center"/>
        </w:trPr>
        <w:tc>
          <w:tcPr>
            <w:tcW w:w="1802" w:type="pct"/>
            <w:tcBorders>
              <w:left w:val="single" w:sz="4" w:space="0" w:color="auto"/>
            </w:tcBorders>
          </w:tcPr>
          <w:p w14:paraId="299AE93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Female Board * Post 2007</w:t>
            </w:r>
          </w:p>
        </w:tc>
        <w:tc>
          <w:tcPr>
            <w:tcW w:w="1268" w:type="pct"/>
          </w:tcPr>
          <w:p w14:paraId="36F24DE2"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991" w:type="pct"/>
          </w:tcPr>
          <w:p w14:paraId="08A29B9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-0.0719***</w:t>
            </w:r>
          </w:p>
          <w:p w14:paraId="6137A414" w14:textId="77777777" w:rsidR="00880312" w:rsidRPr="00880312" w:rsidRDefault="00880312" w:rsidP="00880312">
            <w:pPr>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color w:val="000000"/>
                <w:sz w:val="20"/>
                <w:szCs w:val="20"/>
                <w:lang w:eastAsia="en-GB"/>
              </w:rPr>
              <w:t>(0.0271)</w:t>
            </w:r>
          </w:p>
        </w:tc>
        <w:tc>
          <w:tcPr>
            <w:tcW w:w="939" w:type="pct"/>
            <w:tcBorders>
              <w:right w:val="single" w:sz="4" w:space="0" w:color="auto"/>
            </w:tcBorders>
          </w:tcPr>
          <w:p w14:paraId="2E9E8442" w14:textId="77777777" w:rsidR="00880312" w:rsidRPr="00880312" w:rsidRDefault="00880312" w:rsidP="00880312">
            <w:pPr>
              <w:rPr>
                <w:rFonts w:ascii="Times New Roman" w:eastAsia="Times New Roman" w:hAnsi="Times New Roman" w:cs="Times New Roman"/>
                <w:color w:val="000000"/>
                <w:sz w:val="20"/>
                <w:szCs w:val="20"/>
                <w:lang w:eastAsia="en-GB"/>
              </w:rPr>
            </w:pPr>
          </w:p>
        </w:tc>
      </w:tr>
      <w:tr w:rsidR="00880312" w:rsidRPr="00880312" w14:paraId="0E527F11" w14:textId="77777777" w:rsidTr="009E69CE">
        <w:trPr>
          <w:cantSplit/>
          <w:trHeight w:hRule="exact" w:val="695"/>
          <w:jc w:val="center"/>
        </w:trPr>
        <w:tc>
          <w:tcPr>
            <w:tcW w:w="1802" w:type="pct"/>
            <w:tcBorders>
              <w:left w:val="single" w:sz="4" w:space="0" w:color="auto"/>
            </w:tcBorders>
          </w:tcPr>
          <w:p w14:paraId="6FE7F64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 * Post 2007 *Female Board</w:t>
            </w:r>
          </w:p>
        </w:tc>
        <w:tc>
          <w:tcPr>
            <w:tcW w:w="1268" w:type="pct"/>
          </w:tcPr>
          <w:p w14:paraId="30E043C9" w14:textId="77777777" w:rsidR="00880312" w:rsidRPr="00880312" w:rsidRDefault="00880312" w:rsidP="00880312">
            <w:pPr>
              <w:rPr>
                <w:rFonts w:ascii="Times New Roman" w:eastAsia="Times New Roman" w:hAnsi="Times New Roman" w:cs="Times New Roman"/>
                <w:b/>
                <w:bCs/>
                <w:color w:val="000000"/>
                <w:sz w:val="20"/>
                <w:szCs w:val="20"/>
                <w:lang w:eastAsia="en-GB"/>
              </w:rPr>
            </w:pPr>
          </w:p>
        </w:tc>
        <w:tc>
          <w:tcPr>
            <w:tcW w:w="991" w:type="pct"/>
          </w:tcPr>
          <w:p w14:paraId="269533D6"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44F26CF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-0.0248**</w:t>
            </w:r>
          </w:p>
          <w:p w14:paraId="234AF98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(0.0126)</w:t>
            </w:r>
          </w:p>
        </w:tc>
      </w:tr>
      <w:tr w:rsidR="00880312" w:rsidRPr="00880312" w14:paraId="7D17E564" w14:textId="77777777" w:rsidTr="009E69CE">
        <w:trPr>
          <w:cantSplit/>
          <w:trHeight w:hRule="exact" w:val="227"/>
          <w:jc w:val="center"/>
        </w:trPr>
        <w:tc>
          <w:tcPr>
            <w:tcW w:w="1802" w:type="pct"/>
            <w:tcBorders>
              <w:left w:val="single" w:sz="4" w:space="0" w:color="auto"/>
            </w:tcBorders>
          </w:tcPr>
          <w:p w14:paraId="0DE1614E"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1A5EB4AC"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3E45DAF7"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18EDFD37" w14:textId="77777777" w:rsidR="00880312" w:rsidRPr="00880312" w:rsidRDefault="00880312" w:rsidP="00880312">
            <w:pPr>
              <w:rPr>
                <w:rFonts w:ascii="Times New Roman" w:eastAsia="Times New Roman" w:hAnsi="Times New Roman" w:cs="Times New Roman"/>
                <w:color w:val="000000"/>
                <w:sz w:val="20"/>
                <w:szCs w:val="20"/>
                <w:lang w:eastAsia="en-GB"/>
              </w:rPr>
            </w:pPr>
          </w:p>
        </w:tc>
      </w:tr>
      <w:tr w:rsidR="00880312" w:rsidRPr="00880312" w14:paraId="2BB747AA" w14:textId="77777777" w:rsidTr="009E69CE">
        <w:trPr>
          <w:cantSplit/>
          <w:trHeight w:hRule="exact" w:val="227"/>
          <w:jc w:val="center"/>
        </w:trPr>
        <w:tc>
          <w:tcPr>
            <w:tcW w:w="1802" w:type="pct"/>
            <w:tcBorders>
              <w:left w:val="single" w:sz="4" w:space="0" w:color="auto"/>
            </w:tcBorders>
          </w:tcPr>
          <w:p w14:paraId="18C8394C"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268" w:type="pct"/>
          </w:tcPr>
          <w:p w14:paraId="544AD7C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0.0482**</w:t>
            </w:r>
          </w:p>
        </w:tc>
        <w:tc>
          <w:tcPr>
            <w:tcW w:w="991" w:type="pct"/>
          </w:tcPr>
          <w:p w14:paraId="5644A57D"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228D8F1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0.0475**</w:t>
            </w:r>
          </w:p>
        </w:tc>
      </w:tr>
      <w:tr w:rsidR="00880312" w:rsidRPr="00880312" w14:paraId="0389B6BA" w14:textId="77777777" w:rsidTr="009E69CE">
        <w:trPr>
          <w:cantSplit/>
          <w:trHeight w:hRule="exact" w:val="227"/>
          <w:jc w:val="center"/>
        </w:trPr>
        <w:tc>
          <w:tcPr>
            <w:tcW w:w="1802" w:type="pct"/>
            <w:tcBorders>
              <w:left w:val="single" w:sz="4" w:space="0" w:color="auto"/>
            </w:tcBorders>
          </w:tcPr>
          <w:p w14:paraId="31450439"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3FBFD2C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(0.0240)</w:t>
            </w:r>
          </w:p>
        </w:tc>
        <w:tc>
          <w:tcPr>
            <w:tcW w:w="991" w:type="pct"/>
          </w:tcPr>
          <w:p w14:paraId="3D05EE7D"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279B153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(0.0230)</w:t>
            </w:r>
          </w:p>
        </w:tc>
      </w:tr>
      <w:tr w:rsidR="00880312" w:rsidRPr="00880312" w14:paraId="4D22F60A" w14:textId="77777777" w:rsidTr="009E69CE">
        <w:trPr>
          <w:cantSplit/>
          <w:trHeight w:hRule="exact" w:val="227"/>
          <w:jc w:val="center"/>
        </w:trPr>
        <w:tc>
          <w:tcPr>
            <w:tcW w:w="1802" w:type="pct"/>
            <w:tcBorders>
              <w:left w:val="single" w:sz="4" w:space="0" w:color="auto"/>
            </w:tcBorders>
          </w:tcPr>
          <w:p w14:paraId="5533A59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Female Board (%)</w:t>
            </w:r>
          </w:p>
        </w:tc>
        <w:tc>
          <w:tcPr>
            <w:tcW w:w="1268" w:type="pct"/>
          </w:tcPr>
          <w:p w14:paraId="39641ED2"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50FF220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-0.0898***</w:t>
            </w:r>
          </w:p>
        </w:tc>
        <w:tc>
          <w:tcPr>
            <w:tcW w:w="939" w:type="pct"/>
            <w:tcBorders>
              <w:right w:val="single" w:sz="4" w:space="0" w:color="auto"/>
            </w:tcBorders>
          </w:tcPr>
          <w:p w14:paraId="66C921C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-0.0937***</w:t>
            </w:r>
          </w:p>
        </w:tc>
      </w:tr>
      <w:tr w:rsidR="00880312" w:rsidRPr="00880312" w14:paraId="1BA492AC" w14:textId="77777777" w:rsidTr="009E69CE">
        <w:trPr>
          <w:cantSplit/>
          <w:trHeight w:hRule="exact" w:val="227"/>
          <w:jc w:val="center"/>
        </w:trPr>
        <w:tc>
          <w:tcPr>
            <w:tcW w:w="1802" w:type="pct"/>
            <w:tcBorders>
              <w:left w:val="single" w:sz="4" w:space="0" w:color="auto"/>
            </w:tcBorders>
          </w:tcPr>
          <w:p w14:paraId="5145B06E"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798E3AC8"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60720E2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(0.0182)</w:t>
            </w:r>
          </w:p>
        </w:tc>
        <w:tc>
          <w:tcPr>
            <w:tcW w:w="939" w:type="pct"/>
            <w:tcBorders>
              <w:right w:val="single" w:sz="4" w:space="0" w:color="auto"/>
            </w:tcBorders>
          </w:tcPr>
          <w:p w14:paraId="1295E5F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(0.0167)</w:t>
            </w:r>
          </w:p>
        </w:tc>
      </w:tr>
      <w:tr w:rsidR="00880312" w:rsidRPr="00880312" w14:paraId="006B6E3A" w14:textId="77777777" w:rsidTr="009E69CE">
        <w:trPr>
          <w:cantSplit/>
          <w:trHeight w:hRule="exact" w:val="227"/>
          <w:jc w:val="center"/>
        </w:trPr>
        <w:tc>
          <w:tcPr>
            <w:tcW w:w="1802" w:type="pct"/>
            <w:tcBorders>
              <w:left w:val="single" w:sz="4" w:space="0" w:color="auto"/>
            </w:tcBorders>
          </w:tcPr>
          <w:p w14:paraId="139B84B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Post_2007</w:t>
            </w:r>
          </w:p>
        </w:tc>
        <w:tc>
          <w:tcPr>
            <w:tcW w:w="1268" w:type="pct"/>
          </w:tcPr>
          <w:p w14:paraId="503F04B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0.5433***</w:t>
            </w:r>
          </w:p>
        </w:tc>
        <w:tc>
          <w:tcPr>
            <w:tcW w:w="991" w:type="pct"/>
          </w:tcPr>
          <w:p w14:paraId="1CA5E9EE"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0.5544***</w:t>
            </w:r>
          </w:p>
        </w:tc>
        <w:tc>
          <w:tcPr>
            <w:tcW w:w="939" w:type="pct"/>
            <w:tcBorders>
              <w:right w:val="single" w:sz="4" w:space="0" w:color="auto"/>
            </w:tcBorders>
          </w:tcPr>
          <w:p w14:paraId="240C216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0.568***</w:t>
            </w:r>
          </w:p>
        </w:tc>
      </w:tr>
      <w:tr w:rsidR="00880312" w:rsidRPr="00880312" w14:paraId="0746DED5" w14:textId="77777777" w:rsidTr="009E69CE">
        <w:trPr>
          <w:cantSplit/>
          <w:trHeight w:hRule="exact" w:val="227"/>
          <w:jc w:val="center"/>
        </w:trPr>
        <w:tc>
          <w:tcPr>
            <w:tcW w:w="1802" w:type="pct"/>
            <w:tcBorders>
              <w:left w:val="single" w:sz="4" w:space="0" w:color="auto"/>
            </w:tcBorders>
          </w:tcPr>
          <w:p w14:paraId="347064D0"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56D84CD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(0.0333)</w:t>
            </w:r>
          </w:p>
        </w:tc>
        <w:tc>
          <w:tcPr>
            <w:tcW w:w="991" w:type="pct"/>
          </w:tcPr>
          <w:p w14:paraId="4307B75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(0.0320)</w:t>
            </w:r>
          </w:p>
        </w:tc>
        <w:tc>
          <w:tcPr>
            <w:tcW w:w="939" w:type="pct"/>
            <w:tcBorders>
              <w:right w:val="single" w:sz="4" w:space="0" w:color="auto"/>
            </w:tcBorders>
          </w:tcPr>
          <w:p w14:paraId="1A10883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(0.0313)</w:t>
            </w:r>
          </w:p>
        </w:tc>
      </w:tr>
      <w:tr w:rsidR="00880312" w:rsidRPr="00880312" w14:paraId="2CBDE7C9" w14:textId="77777777" w:rsidTr="009E69CE">
        <w:trPr>
          <w:cantSplit/>
          <w:trHeight w:hRule="exact" w:val="227"/>
          <w:jc w:val="center"/>
        </w:trPr>
        <w:tc>
          <w:tcPr>
            <w:tcW w:w="1802" w:type="pct"/>
            <w:tcBorders>
              <w:left w:val="single" w:sz="4" w:space="0" w:color="auto"/>
            </w:tcBorders>
          </w:tcPr>
          <w:p w14:paraId="44DF48F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 Director</w:t>
            </w:r>
          </w:p>
        </w:tc>
        <w:tc>
          <w:tcPr>
            <w:tcW w:w="1268" w:type="pct"/>
          </w:tcPr>
          <w:p w14:paraId="44FF701E"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0.0049</w:t>
            </w:r>
          </w:p>
        </w:tc>
        <w:tc>
          <w:tcPr>
            <w:tcW w:w="991" w:type="pct"/>
          </w:tcPr>
          <w:p w14:paraId="167D0BD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0.0131**</w:t>
            </w:r>
          </w:p>
        </w:tc>
        <w:tc>
          <w:tcPr>
            <w:tcW w:w="939" w:type="pct"/>
            <w:tcBorders>
              <w:right w:val="single" w:sz="4" w:space="0" w:color="auto"/>
            </w:tcBorders>
          </w:tcPr>
          <w:p w14:paraId="563AE70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0.0155</w:t>
            </w:r>
          </w:p>
        </w:tc>
      </w:tr>
      <w:tr w:rsidR="00880312" w:rsidRPr="00880312" w14:paraId="57A8889B" w14:textId="77777777" w:rsidTr="009E69CE">
        <w:trPr>
          <w:cantSplit/>
          <w:trHeight w:hRule="exact" w:val="349"/>
          <w:jc w:val="center"/>
        </w:trPr>
        <w:tc>
          <w:tcPr>
            <w:tcW w:w="1802" w:type="pct"/>
            <w:tcBorders>
              <w:left w:val="single" w:sz="4" w:space="0" w:color="auto"/>
            </w:tcBorders>
          </w:tcPr>
          <w:p w14:paraId="0C71E79C"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08CEFA2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(0.0169)</w:t>
            </w:r>
          </w:p>
          <w:p w14:paraId="075E8F2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 </w:t>
            </w:r>
          </w:p>
          <w:p w14:paraId="51A6390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w:t>
            </w:r>
          </w:p>
          <w:p w14:paraId="70E6E9C1"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65A288F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(0.0169)</w:t>
            </w:r>
          </w:p>
        </w:tc>
        <w:tc>
          <w:tcPr>
            <w:tcW w:w="939" w:type="pct"/>
            <w:tcBorders>
              <w:right w:val="single" w:sz="4" w:space="0" w:color="auto"/>
            </w:tcBorders>
          </w:tcPr>
          <w:p w14:paraId="276E9074"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(0.0169)</w:t>
            </w:r>
          </w:p>
        </w:tc>
      </w:tr>
      <w:tr w:rsidR="00880312" w:rsidRPr="00880312" w14:paraId="70D21D95" w14:textId="77777777" w:rsidTr="009E69CE">
        <w:trPr>
          <w:cantSplit/>
          <w:trHeight w:hRule="exact" w:val="227"/>
          <w:jc w:val="center"/>
        </w:trPr>
        <w:tc>
          <w:tcPr>
            <w:tcW w:w="1802" w:type="pct"/>
            <w:tcBorders>
              <w:left w:val="single" w:sz="4" w:space="0" w:color="auto"/>
            </w:tcBorders>
          </w:tcPr>
          <w:p w14:paraId="778D93AC"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268" w:type="pct"/>
          </w:tcPr>
          <w:p w14:paraId="0D6726D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-0.0088</w:t>
            </w:r>
          </w:p>
        </w:tc>
        <w:tc>
          <w:tcPr>
            <w:tcW w:w="991" w:type="pct"/>
          </w:tcPr>
          <w:p w14:paraId="494AF66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-0.0077</w:t>
            </w:r>
          </w:p>
        </w:tc>
        <w:tc>
          <w:tcPr>
            <w:tcW w:w="939" w:type="pct"/>
            <w:tcBorders>
              <w:right w:val="single" w:sz="4" w:space="0" w:color="auto"/>
            </w:tcBorders>
          </w:tcPr>
          <w:p w14:paraId="5BDAB80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-0.00420</w:t>
            </w:r>
          </w:p>
        </w:tc>
      </w:tr>
      <w:tr w:rsidR="00880312" w:rsidRPr="00880312" w14:paraId="73A55082" w14:textId="77777777" w:rsidTr="009E69CE">
        <w:trPr>
          <w:cantSplit/>
          <w:trHeight w:hRule="exact" w:val="227"/>
          <w:jc w:val="center"/>
        </w:trPr>
        <w:tc>
          <w:tcPr>
            <w:tcW w:w="1802" w:type="pct"/>
            <w:tcBorders>
              <w:left w:val="single" w:sz="4" w:space="0" w:color="auto"/>
            </w:tcBorders>
          </w:tcPr>
          <w:p w14:paraId="47C5DCCE"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0CB4B87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(0.0170)</w:t>
            </w:r>
          </w:p>
        </w:tc>
        <w:tc>
          <w:tcPr>
            <w:tcW w:w="991" w:type="pct"/>
          </w:tcPr>
          <w:p w14:paraId="0C15306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(0.0169)</w:t>
            </w:r>
          </w:p>
        </w:tc>
        <w:tc>
          <w:tcPr>
            <w:tcW w:w="939" w:type="pct"/>
            <w:tcBorders>
              <w:right w:val="single" w:sz="4" w:space="0" w:color="auto"/>
            </w:tcBorders>
          </w:tcPr>
          <w:p w14:paraId="23EDC4D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(0.0169)</w:t>
            </w:r>
          </w:p>
        </w:tc>
      </w:tr>
      <w:tr w:rsidR="00880312" w:rsidRPr="00880312" w14:paraId="2CD6980E" w14:textId="77777777" w:rsidTr="009E69CE">
        <w:trPr>
          <w:cantSplit/>
          <w:trHeight w:hRule="exact" w:val="227"/>
          <w:jc w:val="center"/>
        </w:trPr>
        <w:tc>
          <w:tcPr>
            <w:tcW w:w="1802" w:type="pct"/>
            <w:tcBorders>
              <w:left w:val="single" w:sz="4" w:space="0" w:color="auto"/>
            </w:tcBorders>
          </w:tcPr>
          <w:p w14:paraId="280E745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268" w:type="pct"/>
          </w:tcPr>
          <w:p w14:paraId="4D92748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0.0377***</w:t>
            </w:r>
          </w:p>
        </w:tc>
        <w:tc>
          <w:tcPr>
            <w:tcW w:w="991" w:type="pct"/>
          </w:tcPr>
          <w:p w14:paraId="068DB5C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0.0385***</w:t>
            </w:r>
          </w:p>
        </w:tc>
        <w:tc>
          <w:tcPr>
            <w:tcW w:w="939" w:type="pct"/>
            <w:tcBorders>
              <w:right w:val="single" w:sz="4" w:space="0" w:color="auto"/>
            </w:tcBorders>
          </w:tcPr>
          <w:p w14:paraId="0583D03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0.0358***</w:t>
            </w:r>
          </w:p>
        </w:tc>
      </w:tr>
      <w:tr w:rsidR="00880312" w:rsidRPr="00880312" w14:paraId="62269CC2" w14:textId="77777777" w:rsidTr="009E69CE">
        <w:trPr>
          <w:cantSplit/>
          <w:trHeight w:hRule="exact" w:val="227"/>
          <w:jc w:val="center"/>
        </w:trPr>
        <w:tc>
          <w:tcPr>
            <w:tcW w:w="1802" w:type="pct"/>
            <w:tcBorders>
              <w:left w:val="single" w:sz="4" w:space="0" w:color="auto"/>
            </w:tcBorders>
          </w:tcPr>
          <w:p w14:paraId="3F942A07"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321D1953"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(0.0106)</w:t>
            </w:r>
          </w:p>
        </w:tc>
        <w:tc>
          <w:tcPr>
            <w:tcW w:w="991" w:type="pct"/>
          </w:tcPr>
          <w:p w14:paraId="2161434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(0.0105)</w:t>
            </w:r>
          </w:p>
        </w:tc>
        <w:tc>
          <w:tcPr>
            <w:tcW w:w="939" w:type="pct"/>
            <w:tcBorders>
              <w:right w:val="single" w:sz="4" w:space="0" w:color="auto"/>
            </w:tcBorders>
          </w:tcPr>
          <w:p w14:paraId="2B5E77CC"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(0.0105)</w:t>
            </w:r>
          </w:p>
        </w:tc>
      </w:tr>
      <w:tr w:rsidR="00880312" w:rsidRPr="00880312" w14:paraId="41DBD696" w14:textId="77777777" w:rsidTr="009E69CE">
        <w:trPr>
          <w:cantSplit/>
          <w:trHeight w:hRule="exact" w:val="227"/>
          <w:jc w:val="center"/>
        </w:trPr>
        <w:tc>
          <w:tcPr>
            <w:tcW w:w="1802" w:type="pct"/>
            <w:tcBorders>
              <w:left w:val="single" w:sz="4" w:space="0" w:color="auto"/>
            </w:tcBorders>
          </w:tcPr>
          <w:p w14:paraId="7E589B8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268" w:type="pct"/>
          </w:tcPr>
          <w:p w14:paraId="2853C78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0.5227***</w:t>
            </w:r>
          </w:p>
        </w:tc>
        <w:tc>
          <w:tcPr>
            <w:tcW w:w="991" w:type="pct"/>
          </w:tcPr>
          <w:p w14:paraId="311ABAD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0.5873***</w:t>
            </w:r>
          </w:p>
        </w:tc>
        <w:tc>
          <w:tcPr>
            <w:tcW w:w="939" w:type="pct"/>
            <w:tcBorders>
              <w:right w:val="single" w:sz="4" w:space="0" w:color="auto"/>
            </w:tcBorders>
          </w:tcPr>
          <w:p w14:paraId="697ED5C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0.573***</w:t>
            </w:r>
          </w:p>
        </w:tc>
      </w:tr>
      <w:tr w:rsidR="00880312" w:rsidRPr="00880312" w14:paraId="1C06D198" w14:textId="77777777" w:rsidTr="009E69CE">
        <w:trPr>
          <w:cantSplit/>
          <w:trHeight w:hRule="exact" w:val="227"/>
          <w:jc w:val="center"/>
        </w:trPr>
        <w:tc>
          <w:tcPr>
            <w:tcW w:w="1802" w:type="pct"/>
            <w:tcBorders>
              <w:left w:val="single" w:sz="4" w:space="0" w:color="auto"/>
            </w:tcBorders>
          </w:tcPr>
          <w:p w14:paraId="29C4012D"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5F6DD62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(0.0531)</w:t>
            </w:r>
          </w:p>
        </w:tc>
        <w:tc>
          <w:tcPr>
            <w:tcW w:w="991" w:type="pct"/>
          </w:tcPr>
          <w:p w14:paraId="13BDF9A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(0.0526)</w:t>
            </w:r>
          </w:p>
        </w:tc>
        <w:tc>
          <w:tcPr>
            <w:tcW w:w="939" w:type="pct"/>
            <w:tcBorders>
              <w:right w:val="single" w:sz="4" w:space="0" w:color="auto"/>
            </w:tcBorders>
          </w:tcPr>
          <w:p w14:paraId="7A1F40D3"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(0.0528)</w:t>
            </w:r>
          </w:p>
        </w:tc>
      </w:tr>
      <w:tr w:rsidR="00880312" w:rsidRPr="00880312" w14:paraId="6DC8860C" w14:textId="77777777" w:rsidTr="009E69CE">
        <w:trPr>
          <w:cantSplit/>
          <w:trHeight w:hRule="exact" w:val="227"/>
          <w:jc w:val="center"/>
        </w:trPr>
        <w:tc>
          <w:tcPr>
            <w:tcW w:w="1802" w:type="pct"/>
            <w:tcBorders>
              <w:left w:val="single" w:sz="4" w:space="0" w:color="auto"/>
            </w:tcBorders>
          </w:tcPr>
          <w:p w14:paraId="4CA3804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268" w:type="pct"/>
          </w:tcPr>
          <w:p w14:paraId="377CBEE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-0.0290</w:t>
            </w:r>
          </w:p>
        </w:tc>
        <w:tc>
          <w:tcPr>
            <w:tcW w:w="991" w:type="pct"/>
          </w:tcPr>
          <w:p w14:paraId="47B50DC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-0.00038</w:t>
            </w:r>
          </w:p>
        </w:tc>
        <w:tc>
          <w:tcPr>
            <w:tcW w:w="939" w:type="pct"/>
            <w:tcBorders>
              <w:right w:val="single" w:sz="4" w:space="0" w:color="auto"/>
            </w:tcBorders>
          </w:tcPr>
          <w:p w14:paraId="07DE1496"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0.000755</w:t>
            </w:r>
          </w:p>
        </w:tc>
      </w:tr>
      <w:tr w:rsidR="00880312" w:rsidRPr="00880312" w14:paraId="73D642ED" w14:textId="77777777" w:rsidTr="009E69CE">
        <w:trPr>
          <w:cantSplit/>
          <w:trHeight w:hRule="exact" w:val="227"/>
          <w:jc w:val="center"/>
        </w:trPr>
        <w:tc>
          <w:tcPr>
            <w:tcW w:w="1802" w:type="pct"/>
            <w:tcBorders>
              <w:left w:val="single" w:sz="4" w:space="0" w:color="auto"/>
            </w:tcBorders>
          </w:tcPr>
          <w:p w14:paraId="40CB661B"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5618FB7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(0.0442)</w:t>
            </w:r>
          </w:p>
        </w:tc>
        <w:tc>
          <w:tcPr>
            <w:tcW w:w="991" w:type="pct"/>
          </w:tcPr>
          <w:p w14:paraId="1772EB8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(0.0418)</w:t>
            </w:r>
          </w:p>
        </w:tc>
        <w:tc>
          <w:tcPr>
            <w:tcW w:w="939" w:type="pct"/>
            <w:tcBorders>
              <w:right w:val="single" w:sz="4" w:space="0" w:color="auto"/>
            </w:tcBorders>
          </w:tcPr>
          <w:p w14:paraId="2EC26CD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(0.0421)</w:t>
            </w:r>
          </w:p>
        </w:tc>
      </w:tr>
      <w:tr w:rsidR="00880312" w:rsidRPr="00880312" w14:paraId="475624E4" w14:textId="77777777" w:rsidTr="009E69CE">
        <w:trPr>
          <w:cantSplit/>
          <w:trHeight w:hRule="exact" w:val="227"/>
          <w:jc w:val="center"/>
        </w:trPr>
        <w:tc>
          <w:tcPr>
            <w:tcW w:w="1802" w:type="pct"/>
            <w:tcBorders>
              <w:left w:val="single" w:sz="4" w:space="0" w:color="auto"/>
            </w:tcBorders>
          </w:tcPr>
          <w:p w14:paraId="7DD2819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268" w:type="pct"/>
          </w:tcPr>
          <w:p w14:paraId="0FC29C0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0.2187***</w:t>
            </w:r>
          </w:p>
        </w:tc>
        <w:tc>
          <w:tcPr>
            <w:tcW w:w="991" w:type="pct"/>
          </w:tcPr>
          <w:p w14:paraId="37E8A37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0.2253***</w:t>
            </w:r>
          </w:p>
        </w:tc>
        <w:tc>
          <w:tcPr>
            <w:tcW w:w="939" w:type="pct"/>
            <w:tcBorders>
              <w:right w:val="single" w:sz="4" w:space="0" w:color="auto"/>
            </w:tcBorders>
          </w:tcPr>
          <w:p w14:paraId="72D3EDC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0.203**</w:t>
            </w:r>
          </w:p>
        </w:tc>
      </w:tr>
      <w:tr w:rsidR="00880312" w:rsidRPr="00880312" w14:paraId="78CA2726" w14:textId="77777777" w:rsidTr="009E69CE">
        <w:trPr>
          <w:cantSplit/>
          <w:trHeight w:hRule="exact" w:val="285"/>
          <w:jc w:val="center"/>
        </w:trPr>
        <w:tc>
          <w:tcPr>
            <w:tcW w:w="1802" w:type="pct"/>
            <w:tcBorders>
              <w:left w:val="single" w:sz="4" w:space="0" w:color="auto"/>
            </w:tcBorders>
          </w:tcPr>
          <w:p w14:paraId="4ED215D2"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6C9BEEB4"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(0.1025)</w:t>
            </w:r>
          </w:p>
        </w:tc>
        <w:tc>
          <w:tcPr>
            <w:tcW w:w="991" w:type="pct"/>
          </w:tcPr>
          <w:p w14:paraId="3521724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(0.1017)</w:t>
            </w:r>
          </w:p>
        </w:tc>
        <w:tc>
          <w:tcPr>
            <w:tcW w:w="939" w:type="pct"/>
            <w:tcBorders>
              <w:right w:val="single" w:sz="4" w:space="0" w:color="auto"/>
            </w:tcBorders>
          </w:tcPr>
          <w:p w14:paraId="5F2A674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(0.101)</w:t>
            </w:r>
          </w:p>
        </w:tc>
      </w:tr>
      <w:tr w:rsidR="00880312" w:rsidRPr="00880312" w14:paraId="35CEF1D3" w14:textId="77777777" w:rsidTr="009E69CE">
        <w:trPr>
          <w:cantSplit/>
          <w:trHeight w:hRule="exact" w:val="754"/>
          <w:jc w:val="center"/>
        </w:trPr>
        <w:tc>
          <w:tcPr>
            <w:tcW w:w="1802" w:type="pct"/>
            <w:tcBorders>
              <w:left w:val="single" w:sz="4" w:space="0" w:color="auto"/>
            </w:tcBorders>
          </w:tcPr>
          <w:p w14:paraId="7E4CDAC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268" w:type="pct"/>
          </w:tcPr>
          <w:p w14:paraId="65712B5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-0.0107***</w:t>
            </w:r>
          </w:p>
          <w:p w14:paraId="419904AC"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(0.1919)</w:t>
            </w:r>
          </w:p>
          <w:p w14:paraId="26550052"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25FA085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-0.1852***</w:t>
            </w:r>
          </w:p>
          <w:p w14:paraId="041F583D"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(0.0107)</w:t>
            </w:r>
          </w:p>
        </w:tc>
        <w:tc>
          <w:tcPr>
            <w:tcW w:w="939" w:type="pct"/>
            <w:tcBorders>
              <w:right w:val="single" w:sz="4" w:space="0" w:color="auto"/>
            </w:tcBorders>
          </w:tcPr>
          <w:p w14:paraId="4188D315"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-0.188***</w:t>
            </w:r>
          </w:p>
          <w:p w14:paraId="3916ABF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(0.0107)</w:t>
            </w:r>
          </w:p>
        </w:tc>
      </w:tr>
      <w:tr w:rsidR="00880312" w:rsidRPr="00880312" w14:paraId="13D5DB82" w14:textId="77777777" w:rsidTr="009E69CE">
        <w:trPr>
          <w:cantSplit/>
          <w:trHeight w:hRule="exact" w:val="227"/>
          <w:jc w:val="center"/>
        </w:trPr>
        <w:tc>
          <w:tcPr>
            <w:tcW w:w="1802" w:type="pct"/>
            <w:tcBorders>
              <w:left w:val="single" w:sz="4" w:space="0" w:color="auto"/>
            </w:tcBorders>
          </w:tcPr>
          <w:p w14:paraId="5F200B1C"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268" w:type="pct"/>
          </w:tcPr>
          <w:p w14:paraId="6B571ABE"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0.1441***</w:t>
            </w:r>
          </w:p>
          <w:p w14:paraId="07A9E89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w:t>
            </w:r>
          </w:p>
          <w:p w14:paraId="1C4D4645"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5B8D953D"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0.1445***</w:t>
            </w:r>
          </w:p>
          <w:p w14:paraId="61A32CA2" w14:textId="77777777" w:rsidR="00880312" w:rsidRPr="00880312" w:rsidRDefault="00880312" w:rsidP="00880312">
            <w:pPr>
              <w:rPr>
                <w:rFonts w:ascii="Times New Roman" w:eastAsia="Times New Roman" w:hAnsi="Times New Roman" w:cs="Times New Roman"/>
                <w:color w:val="000000"/>
                <w:sz w:val="20"/>
                <w:szCs w:val="20"/>
                <w:lang w:eastAsia="en-GB"/>
              </w:rPr>
            </w:pPr>
          </w:p>
          <w:p w14:paraId="4BF43D22"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73DA2BF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0.140***</w:t>
            </w:r>
          </w:p>
        </w:tc>
      </w:tr>
      <w:tr w:rsidR="00880312" w:rsidRPr="00880312" w14:paraId="593C5C03" w14:textId="77777777" w:rsidTr="009E69CE">
        <w:trPr>
          <w:cantSplit/>
          <w:trHeight w:hRule="exact" w:val="363"/>
          <w:jc w:val="center"/>
        </w:trPr>
        <w:tc>
          <w:tcPr>
            <w:tcW w:w="1802" w:type="pct"/>
            <w:tcBorders>
              <w:left w:val="single" w:sz="4" w:space="0" w:color="auto"/>
            </w:tcBorders>
          </w:tcPr>
          <w:p w14:paraId="0E52BB02"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16DCF8B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(0.0175)</w:t>
            </w:r>
          </w:p>
          <w:p w14:paraId="363E7F24"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16A048D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(0.0172)</w:t>
            </w:r>
          </w:p>
        </w:tc>
        <w:tc>
          <w:tcPr>
            <w:tcW w:w="939" w:type="pct"/>
            <w:tcBorders>
              <w:right w:val="single" w:sz="4" w:space="0" w:color="auto"/>
            </w:tcBorders>
          </w:tcPr>
          <w:p w14:paraId="1E16515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(0.0172)</w:t>
            </w:r>
          </w:p>
        </w:tc>
      </w:tr>
      <w:tr w:rsidR="00880312" w:rsidRPr="00880312" w14:paraId="124C7172" w14:textId="77777777" w:rsidTr="009E69CE">
        <w:trPr>
          <w:cantSplit/>
          <w:trHeight w:hRule="exact" w:val="227"/>
          <w:jc w:val="center"/>
        </w:trPr>
        <w:tc>
          <w:tcPr>
            <w:tcW w:w="1802" w:type="pct"/>
            <w:tcBorders>
              <w:left w:val="single" w:sz="4" w:space="0" w:color="auto"/>
            </w:tcBorders>
          </w:tcPr>
          <w:p w14:paraId="7BA2C943"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Constant</w:t>
            </w:r>
          </w:p>
        </w:tc>
        <w:tc>
          <w:tcPr>
            <w:tcW w:w="1268" w:type="pct"/>
          </w:tcPr>
          <w:p w14:paraId="2F0FF7F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-0.465***</w:t>
            </w:r>
          </w:p>
        </w:tc>
        <w:tc>
          <w:tcPr>
            <w:tcW w:w="991" w:type="pct"/>
          </w:tcPr>
          <w:p w14:paraId="12A7A1E9"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-0.465***</w:t>
            </w:r>
          </w:p>
        </w:tc>
        <w:tc>
          <w:tcPr>
            <w:tcW w:w="939" w:type="pct"/>
            <w:tcBorders>
              <w:right w:val="single" w:sz="4" w:space="0" w:color="auto"/>
            </w:tcBorders>
          </w:tcPr>
          <w:p w14:paraId="43FB1474"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-0.474***</w:t>
            </w:r>
          </w:p>
        </w:tc>
      </w:tr>
      <w:tr w:rsidR="00880312" w:rsidRPr="00880312" w14:paraId="56461EE9" w14:textId="77777777" w:rsidTr="009E69CE">
        <w:trPr>
          <w:cantSplit/>
          <w:trHeight w:hRule="exact" w:val="227"/>
          <w:jc w:val="center"/>
        </w:trPr>
        <w:tc>
          <w:tcPr>
            <w:tcW w:w="1802" w:type="pct"/>
            <w:tcBorders>
              <w:left w:val="single" w:sz="4" w:space="0" w:color="auto"/>
            </w:tcBorders>
          </w:tcPr>
          <w:p w14:paraId="19A8EAF3"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004A192A"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(0.0363)</w:t>
            </w:r>
          </w:p>
        </w:tc>
        <w:tc>
          <w:tcPr>
            <w:tcW w:w="991" w:type="pct"/>
          </w:tcPr>
          <w:p w14:paraId="35B40C2B"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(0.0352)</w:t>
            </w:r>
          </w:p>
        </w:tc>
        <w:tc>
          <w:tcPr>
            <w:tcW w:w="939" w:type="pct"/>
            <w:tcBorders>
              <w:right w:val="single" w:sz="4" w:space="0" w:color="auto"/>
            </w:tcBorders>
          </w:tcPr>
          <w:p w14:paraId="57439208"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(0.0347)</w:t>
            </w:r>
          </w:p>
        </w:tc>
      </w:tr>
      <w:tr w:rsidR="00880312" w:rsidRPr="00880312" w14:paraId="7D52A480" w14:textId="77777777" w:rsidTr="009E69CE">
        <w:trPr>
          <w:cantSplit/>
          <w:trHeight w:hRule="exact" w:val="64"/>
          <w:jc w:val="center"/>
        </w:trPr>
        <w:tc>
          <w:tcPr>
            <w:tcW w:w="1802" w:type="pct"/>
            <w:tcBorders>
              <w:left w:val="single" w:sz="4" w:space="0" w:color="auto"/>
            </w:tcBorders>
          </w:tcPr>
          <w:p w14:paraId="5B1CC0F6"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1268" w:type="pct"/>
          </w:tcPr>
          <w:p w14:paraId="792381EB"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91" w:type="pct"/>
          </w:tcPr>
          <w:p w14:paraId="623C0B6E" w14:textId="77777777" w:rsidR="00880312" w:rsidRPr="00880312" w:rsidRDefault="00880312" w:rsidP="00880312">
            <w:pPr>
              <w:rPr>
                <w:rFonts w:ascii="Times New Roman" w:eastAsia="Times New Roman" w:hAnsi="Times New Roman" w:cs="Times New Roman"/>
                <w:color w:val="000000"/>
                <w:sz w:val="20"/>
                <w:szCs w:val="20"/>
                <w:lang w:eastAsia="en-GB"/>
              </w:rPr>
            </w:pPr>
          </w:p>
        </w:tc>
        <w:tc>
          <w:tcPr>
            <w:tcW w:w="939" w:type="pct"/>
            <w:tcBorders>
              <w:right w:val="single" w:sz="4" w:space="0" w:color="auto"/>
            </w:tcBorders>
          </w:tcPr>
          <w:p w14:paraId="348F6CEE" w14:textId="77777777" w:rsidR="00880312" w:rsidRPr="00880312" w:rsidRDefault="00880312" w:rsidP="00880312">
            <w:pPr>
              <w:rPr>
                <w:rFonts w:ascii="Times New Roman" w:eastAsia="Times New Roman" w:hAnsi="Times New Roman" w:cs="Times New Roman"/>
                <w:color w:val="000000"/>
                <w:sz w:val="20"/>
                <w:szCs w:val="20"/>
                <w:lang w:eastAsia="en-GB"/>
              </w:rPr>
            </w:pPr>
          </w:p>
        </w:tc>
      </w:tr>
      <w:tr w:rsidR="00880312" w:rsidRPr="00880312" w14:paraId="00A5A1F3" w14:textId="77777777" w:rsidTr="009E69CE">
        <w:trPr>
          <w:cantSplit/>
          <w:trHeight w:hRule="exact" w:val="227"/>
          <w:jc w:val="center"/>
        </w:trPr>
        <w:tc>
          <w:tcPr>
            <w:tcW w:w="1802" w:type="pct"/>
            <w:tcBorders>
              <w:left w:val="single" w:sz="4" w:space="0" w:color="auto"/>
            </w:tcBorders>
          </w:tcPr>
          <w:p w14:paraId="667DAB9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Observations</w:t>
            </w:r>
          </w:p>
        </w:tc>
        <w:tc>
          <w:tcPr>
            <w:tcW w:w="1268" w:type="pct"/>
          </w:tcPr>
          <w:p w14:paraId="7E2DECF7"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991" w:type="pct"/>
          </w:tcPr>
          <w:p w14:paraId="42E8C9C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1,630</w:t>
            </w:r>
          </w:p>
        </w:tc>
        <w:tc>
          <w:tcPr>
            <w:tcW w:w="939" w:type="pct"/>
            <w:tcBorders>
              <w:right w:val="single" w:sz="4" w:space="0" w:color="auto"/>
            </w:tcBorders>
          </w:tcPr>
          <w:p w14:paraId="779094B3"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r>
      <w:tr w:rsidR="00880312" w:rsidRPr="00880312" w14:paraId="2B8F0C26" w14:textId="77777777" w:rsidTr="009E69CE">
        <w:trPr>
          <w:cantSplit/>
          <w:trHeight w:hRule="exact" w:val="227"/>
          <w:jc w:val="center"/>
        </w:trPr>
        <w:tc>
          <w:tcPr>
            <w:tcW w:w="1802" w:type="pct"/>
            <w:tcBorders>
              <w:left w:val="single" w:sz="4" w:space="0" w:color="auto"/>
              <w:bottom w:val="single" w:sz="4" w:space="0" w:color="auto"/>
            </w:tcBorders>
          </w:tcPr>
          <w:p w14:paraId="6D4291C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R-squared</w:t>
            </w:r>
          </w:p>
        </w:tc>
        <w:tc>
          <w:tcPr>
            <w:tcW w:w="1268" w:type="pct"/>
            <w:tcBorders>
              <w:bottom w:val="single" w:sz="4" w:space="0" w:color="auto"/>
            </w:tcBorders>
          </w:tcPr>
          <w:p w14:paraId="2DDEBF4F"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0.446</w:t>
            </w:r>
          </w:p>
        </w:tc>
        <w:tc>
          <w:tcPr>
            <w:tcW w:w="991" w:type="pct"/>
            <w:tcBorders>
              <w:bottom w:val="single" w:sz="4" w:space="0" w:color="auto"/>
            </w:tcBorders>
          </w:tcPr>
          <w:p w14:paraId="555DF41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0.451</w:t>
            </w:r>
          </w:p>
        </w:tc>
        <w:tc>
          <w:tcPr>
            <w:tcW w:w="939" w:type="pct"/>
            <w:tcBorders>
              <w:bottom w:val="single" w:sz="4" w:space="0" w:color="auto"/>
              <w:right w:val="single" w:sz="4" w:space="0" w:color="auto"/>
            </w:tcBorders>
          </w:tcPr>
          <w:p w14:paraId="10691D2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0.575</w:t>
            </w:r>
          </w:p>
        </w:tc>
      </w:tr>
      <w:tr w:rsidR="00880312" w:rsidRPr="00880312" w14:paraId="1BFD69C4" w14:textId="77777777" w:rsidTr="009E69CE">
        <w:trPr>
          <w:cantSplit/>
          <w:trHeight w:hRule="exact" w:val="227"/>
          <w:jc w:val="center"/>
        </w:trPr>
        <w:tc>
          <w:tcPr>
            <w:tcW w:w="1802" w:type="pct"/>
            <w:tcBorders>
              <w:top w:val="single" w:sz="4" w:space="0" w:color="auto"/>
              <w:left w:val="single" w:sz="4" w:space="0" w:color="auto"/>
              <w:bottom w:val="single" w:sz="4" w:space="0" w:color="auto"/>
            </w:tcBorders>
          </w:tcPr>
          <w:p w14:paraId="29D1D823" w14:textId="737187E4"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Year</w:t>
            </w:r>
            <w:r>
              <w:rPr>
                <w:rFonts w:ascii="Times New Roman" w:eastAsia="Times New Roman" w:hAnsi="Times New Roman" w:cs="Times New Roman"/>
                <w:color w:val="000000"/>
                <w:sz w:val="20"/>
                <w:szCs w:val="20"/>
                <w:lang w:eastAsia="en-GB"/>
              </w:rPr>
              <w:t xml:space="preserve"> &amp; Bank</w:t>
            </w:r>
            <w:r w:rsidRPr="00880312">
              <w:rPr>
                <w:rFonts w:ascii="Times New Roman" w:eastAsia="Times New Roman" w:hAnsi="Times New Roman" w:cs="Times New Roman"/>
                <w:color w:val="000000"/>
                <w:sz w:val="20"/>
                <w:szCs w:val="20"/>
                <w:lang w:eastAsia="en-GB"/>
              </w:rPr>
              <w:t xml:space="preserve"> F.E.</w:t>
            </w:r>
          </w:p>
        </w:tc>
        <w:tc>
          <w:tcPr>
            <w:tcW w:w="1268" w:type="pct"/>
            <w:tcBorders>
              <w:top w:val="single" w:sz="4" w:space="0" w:color="auto"/>
              <w:bottom w:val="single" w:sz="4" w:space="0" w:color="auto"/>
            </w:tcBorders>
          </w:tcPr>
          <w:p w14:paraId="725D7162"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991" w:type="pct"/>
            <w:tcBorders>
              <w:top w:val="single" w:sz="4" w:space="0" w:color="auto"/>
              <w:bottom w:val="single" w:sz="4" w:space="0" w:color="auto"/>
            </w:tcBorders>
          </w:tcPr>
          <w:p w14:paraId="05D39F10"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939" w:type="pct"/>
            <w:tcBorders>
              <w:top w:val="single" w:sz="4" w:space="0" w:color="auto"/>
              <w:bottom w:val="single" w:sz="4" w:space="0" w:color="auto"/>
              <w:right w:val="single" w:sz="4" w:space="0" w:color="auto"/>
            </w:tcBorders>
          </w:tcPr>
          <w:p w14:paraId="2289D001" w14:textId="77777777" w:rsidR="00880312" w:rsidRPr="00880312" w:rsidRDefault="00880312" w:rsidP="00880312">
            <w:pP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bl>
    <w:p w14:paraId="60AFD0A7" w14:textId="77777777" w:rsidR="00E30E2D" w:rsidRDefault="00E30E2D">
      <w:pPr>
        <w:rPr>
          <w:rFonts w:ascii="Times New Roman" w:eastAsia="Times New Roman" w:hAnsi="Times New Roman" w:cs="Times New Roman"/>
          <w:b/>
          <w:bCs/>
          <w:color w:val="000000"/>
          <w:sz w:val="28"/>
          <w:szCs w:val="28"/>
          <w:lang w:eastAsia="en-GB"/>
        </w:rPr>
      </w:pPr>
      <w:r>
        <w:rPr>
          <w:rFonts w:ascii="Times New Roman" w:eastAsia="Times New Roman" w:hAnsi="Times New Roman" w:cs="Times New Roman"/>
          <w:b/>
          <w:bCs/>
          <w:color w:val="000000"/>
          <w:sz w:val="28"/>
          <w:szCs w:val="28"/>
          <w:lang w:eastAsia="en-GB"/>
        </w:rPr>
        <w:br w:type="page"/>
      </w:r>
    </w:p>
    <w:p w14:paraId="2B69E435" w14:textId="77777777" w:rsidR="00880312" w:rsidRP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31A772AD" w14:textId="03342A1A" w:rsidR="00DE7639" w:rsidRPr="00E30E2D" w:rsidRDefault="00DE7639" w:rsidP="00DE7639">
      <w:pPr>
        <w:pStyle w:val="Caption"/>
        <w:keepNext/>
        <w:rPr>
          <w:rFonts w:ascii="Times New Roman" w:hAnsi="Times New Roman" w:cs="Times New Roman"/>
          <w:b/>
          <w:bCs/>
          <w:i w:val="0"/>
          <w:iCs w:val="0"/>
          <w:color w:val="auto"/>
          <w:sz w:val="28"/>
          <w:szCs w:val="28"/>
        </w:rPr>
      </w:pPr>
      <w:bookmarkStart w:id="133" w:name="_Toc132386109"/>
      <w:bookmarkStart w:id="134" w:name="_Toc132437301"/>
      <w:r w:rsidRPr="00E30E2D">
        <w:rPr>
          <w:rFonts w:ascii="Times New Roman" w:hAnsi="Times New Roman" w:cs="Times New Roman"/>
          <w:b/>
          <w:bCs/>
          <w:i w:val="0"/>
          <w:iCs w:val="0"/>
          <w:color w:val="auto"/>
          <w:sz w:val="28"/>
          <w:szCs w:val="28"/>
        </w:rPr>
        <w:t>Table4.</w:t>
      </w:r>
      <w:r w:rsidR="00221C3A">
        <w:rPr>
          <w:rFonts w:ascii="Times New Roman" w:hAnsi="Times New Roman" w:cs="Times New Roman"/>
          <w:b/>
          <w:bCs/>
          <w:i w:val="0"/>
          <w:iCs w:val="0"/>
          <w:color w:val="auto"/>
          <w:sz w:val="28"/>
          <w:szCs w:val="28"/>
        </w:rPr>
        <w:t>8</w:t>
      </w:r>
      <w:r w:rsidRPr="00E30E2D">
        <w:rPr>
          <w:rFonts w:ascii="Times New Roman" w:hAnsi="Times New Roman" w:cs="Times New Roman"/>
          <w:b/>
          <w:bCs/>
          <w:i w:val="0"/>
          <w:iCs w:val="0"/>
          <w:color w:val="auto"/>
          <w:sz w:val="28"/>
          <w:szCs w:val="28"/>
        </w:rPr>
        <w:t>. Propensity Score Matching</w:t>
      </w:r>
      <w:bookmarkEnd w:id="133"/>
      <w:bookmarkEnd w:id="134"/>
    </w:p>
    <w:tbl>
      <w:tblPr>
        <w:tblpPr w:leftFromText="180" w:rightFromText="180" w:vertAnchor="page" w:horzAnchor="margin" w:tblpY="5247"/>
        <w:tblW w:w="7962" w:type="dxa"/>
        <w:tblCellMar>
          <w:left w:w="0" w:type="dxa"/>
          <w:right w:w="0" w:type="dxa"/>
        </w:tblCellMar>
        <w:tblLook w:val="04A0" w:firstRow="1" w:lastRow="0" w:firstColumn="1" w:lastColumn="0" w:noHBand="0" w:noVBand="1"/>
      </w:tblPr>
      <w:tblGrid>
        <w:gridCol w:w="2336"/>
        <w:gridCol w:w="578"/>
        <w:gridCol w:w="887"/>
        <w:gridCol w:w="579"/>
        <w:gridCol w:w="828"/>
        <w:gridCol w:w="844"/>
        <w:gridCol w:w="1910"/>
      </w:tblGrid>
      <w:tr w:rsidR="000A3F4A" w:rsidRPr="00880312" w14:paraId="39AA9F68" w14:textId="77777777" w:rsidTr="00E30E2D">
        <w:trPr>
          <w:cantSplit/>
          <w:trHeight w:hRule="exact" w:val="264"/>
        </w:trPr>
        <w:tc>
          <w:tcPr>
            <w:tcW w:w="2336"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4D0FD9CB"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 Variables</w:t>
            </w:r>
          </w:p>
        </w:tc>
        <w:tc>
          <w:tcPr>
            <w:tcW w:w="1465" w:type="dxa"/>
            <w:gridSpan w:val="2"/>
            <w:tcBorders>
              <w:top w:val="single" w:sz="4" w:space="0" w:color="auto"/>
              <w:bottom w:val="single" w:sz="4" w:space="0" w:color="auto"/>
            </w:tcBorders>
            <w:tcMar>
              <w:top w:w="15" w:type="dxa"/>
              <w:left w:w="108" w:type="dxa"/>
              <w:bottom w:w="0" w:type="dxa"/>
              <w:right w:w="108" w:type="dxa"/>
            </w:tcMar>
            <w:hideMark/>
          </w:tcPr>
          <w:p w14:paraId="74232D8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Treatment Group</w:t>
            </w:r>
          </w:p>
        </w:tc>
        <w:tc>
          <w:tcPr>
            <w:tcW w:w="1407" w:type="dxa"/>
            <w:gridSpan w:val="2"/>
            <w:tcBorders>
              <w:top w:val="single" w:sz="4" w:space="0" w:color="auto"/>
              <w:bottom w:val="single" w:sz="4" w:space="0" w:color="auto"/>
            </w:tcBorders>
            <w:tcMar>
              <w:top w:w="15" w:type="dxa"/>
              <w:left w:w="108" w:type="dxa"/>
              <w:bottom w:w="0" w:type="dxa"/>
              <w:right w:w="108" w:type="dxa"/>
            </w:tcMar>
            <w:hideMark/>
          </w:tcPr>
          <w:p w14:paraId="0496FD7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Control Group</w:t>
            </w:r>
          </w:p>
        </w:tc>
        <w:tc>
          <w:tcPr>
            <w:tcW w:w="844" w:type="dxa"/>
            <w:tcBorders>
              <w:top w:val="single" w:sz="4" w:space="0" w:color="auto"/>
              <w:bottom w:val="single" w:sz="4" w:space="0" w:color="auto"/>
            </w:tcBorders>
            <w:tcMar>
              <w:top w:w="15" w:type="dxa"/>
              <w:left w:w="108" w:type="dxa"/>
              <w:bottom w:w="0" w:type="dxa"/>
              <w:right w:w="108" w:type="dxa"/>
            </w:tcMar>
            <w:hideMark/>
          </w:tcPr>
          <w:p w14:paraId="2F85D110"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 </w:t>
            </w:r>
          </w:p>
        </w:tc>
        <w:tc>
          <w:tcPr>
            <w:tcW w:w="191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3BB213B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t-test</w:t>
            </w:r>
          </w:p>
        </w:tc>
      </w:tr>
      <w:tr w:rsidR="000A3F4A" w:rsidRPr="00880312" w14:paraId="1471A01D" w14:textId="77777777" w:rsidTr="00E30E2D">
        <w:trPr>
          <w:cantSplit/>
          <w:trHeight w:hRule="exact" w:val="264"/>
        </w:trPr>
        <w:tc>
          <w:tcPr>
            <w:tcW w:w="2336" w:type="dxa"/>
            <w:tcBorders>
              <w:top w:val="single" w:sz="4" w:space="0" w:color="auto"/>
              <w:left w:val="single" w:sz="4" w:space="0" w:color="auto"/>
              <w:bottom w:val="single" w:sz="4" w:space="0" w:color="auto"/>
            </w:tcBorders>
            <w:tcMar>
              <w:top w:w="15" w:type="dxa"/>
              <w:left w:w="108" w:type="dxa"/>
              <w:bottom w:w="0" w:type="dxa"/>
              <w:right w:w="108" w:type="dxa"/>
            </w:tcMar>
            <w:hideMark/>
          </w:tcPr>
          <w:p w14:paraId="61B2296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w:t>
            </w:r>
          </w:p>
        </w:tc>
        <w:tc>
          <w:tcPr>
            <w:tcW w:w="578" w:type="dxa"/>
            <w:tcBorders>
              <w:top w:val="single" w:sz="4" w:space="0" w:color="auto"/>
              <w:bottom w:val="single" w:sz="4" w:space="0" w:color="auto"/>
            </w:tcBorders>
            <w:tcMar>
              <w:top w:w="15" w:type="dxa"/>
              <w:left w:w="108" w:type="dxa"/>
              <w:bottom w:w="0" w:type="dxa"/>
              <w:right w:w="108" w:type="dxa"/>
            </w:tcMar>
            <w:hideMark/>
          </w:tcPr>
          <w:p w14:paraId="0AEB3F5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N</w:t>
            </w:r>
          </w:p>
        </w:tc>
        <w:tc>
          <w:tcPr>
            <w:tcW w:w="887" w:type="dxa"/>
            <w:tcBorders>
              <w:top w:val="single" w:sz="4" w:space="0" w:color="auto"/>
              <w:bottom w:val="single" w:sz="4" w:space="0" w:color="auto"/>
            </w:tcBorders>
            <w:tcMar>
              <w:top w:w="15" w:type="dxa"/>
              <w:left w:w="108" w:type="dxa"/>
              <w:bottom w:w="0" w:type="dxa"/>
              <w:right w:w="108" w:type="dxa"/>
            </w:tcMar>
            <w:hideMark/>
          </w:tcPr>
          <w:p w14:paraId="7DE9CE29"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Mean</w:t>
            </w:r>
          </w:p>
        </w:tc>
        <w:tc>
          <w:tcPr>
            <w:tcW w:w="579" w:type="dxa"/>
            <w:tcBorders>
              <w:top w:val="single" w:sz="4" w:space="0" w:color="auto"/>
              <w:bottom w:val="single" w:sz="4" w:space="0" w:color="auto"/>
            </w:tcBorders>
            <w:tcMar>
              <w:top w:w="15" w:type="dxa"/>
              <w:left w:w="108" w:type="dxa"/>
              <w:bottom w:w="0" w:type="dxa"/>
              <w:right w:w="108" w:type="dxa"/>
            </w:tcMar>
            <w:hideMark/>
          </w:tcPr>
          <w:p w14:paraId="0D96E7C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N</w:t>
            </w:r>
          </w:p>
        </w:tc>
        <w:tc>
          <w:tcPr>
            <w:tcW w:w="828" w:type="dxa"/>
            <w:tcBorders>
              <w:top w:val="single" w:sz="4" w:space="0" w:color="auto"/>
              <w:bottom w:val="single" w:sz="4" w:space="0" w:color="auto"/>
            </w:tcBorders>
            <w:tcMar>
              <w:top w:w="15" w:type="dxa"/>
              <w:left w:w="108" w:type="dxa"/>
              <w:bottom w:w="0" w:type="dxa"/>
              <w:right w:w="108" w:type="dxa"/>
            </w:tcMar>
            <w:hideMark/>
          </w:tcPr>
          <w:p w14:paraId="71462131"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Mean</w:t>
            </w:r>
          </w:p>
        </w:tc>
        <w:tc>
          <w:tcPr>
            <w:tcW w:w="844" w:type="dxa"/>
            <w:tcBorders>
              <w:top w:val="single" w:sz="4" w:space="0" w:color="auto"/>
              <w:bottom w:val="single" w:sz="4" w:space="0" w:color="auto"/>
            </w:tcBorders>
            <w:tcMar>
              <w:top w:w="15" w:type="dxa"/>
              <w:left w:w="108" w:type="dxa"/>
              <w:bottom w:w="0" w:type="dxa"/>
              <w:right w:w="108" w:type="dxa"/>
            </w:tcMar>
            <w:hideMark/>
          </w:tcPr>
          <w:p w14:paraId="2A74509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%Bias</w:t>
            </w:r>
          </w:p>
        </w:tc>
        <w:tc>
          <w:tcPr>
            <w:tcW w:w="1910" w:type="dxa"/>
            <w:tcBorders>
              <w:top w:val="single" w:sz="4" w:space="0" w:color="auto"/>
              <w:bottom w:val="single" w:sz="4" w:space="0" w:color="auto"/>
              <w:right w:val="single" w:sz="4" w:space="0" w:color="auto"/>
            </w:tcBorders>
            <w:tcMar>
              <w:top w:w="15" w:type="dxa"/>
              <w:left w:w="108" w:type="dxa"/>
              <w:bottom w:w="0" w:type="dxa"/>
              <w:right w:w="108" w:type="dxa"/>
            </w:tcMar>
            <w:hideMark/>
          </w:tcPr>
          <w:p w14:paraId="4B4440A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Treatment-Control</w:t>
            </w:r>
          </w:p>
        </w:tc>
      </w:tr>
      <w:tr w:rsidR="000A3F4A" w:rsidRPr="00880312" w14:paraId="4EABA22E" w14:textId="77777777" w:rsidTr="00E30E2D">
        <w:trPr>
          <w:cantSplit/>
          <w:trHeight w:hRule="exact" w:val="264"/>
        </w:trPr>
        <w:tc>
          <w:tcPr>
            <w:tcW w:w="2336" w:type="dxa"/>
            <w:tcBorders>
              <w:top w:val="single" w:sz="4" w:space="0" w:color="auto"/>
              <w:left w:val="single" w:sz="4" w:space="0" w:color="auto"/>
            </w:tcBorders>
            <w:tcMar>
              <w:top w:w="15" w:type="dxa"/>
              <w:left w:w="108" w:type="dxa"/>
              <w:bottom w:w="0" w:type="dxa"/>
              <w:right w:w="108" w:type="dxa"/>
            </w:tcMar>
            <w:hideMark/>
          </w:tcPr>
          <w:p w14:paraId="661830A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 xml:space="preserve">Indp_Director </w:t>
            </w:r>
          </w:p>
        </w:tc>
        <w:tc>
          <w:tcPr>
            <w:tcW w:w="578" w:type="dxa"/>
            <w:tcBorders>
              <w:top w:val="single" w:sz="4" w:space="0" w:color="auto"/>
            </w:tcBorders>
            <w:tcMar>
              <w:top w:w="15" w:type="dxa"/>
              <w:left w:w="108" w:type="dxa"/>
              <w:bottom w:w="0" w:type="dxa"/>
              <w:right w:w="108" w:type="dxa"/>
            </w:tcMar>
            <w:hideMark/>
          </w:tcPr>
          <w:p w14:paraId="490F78BE"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Borders>
              <w:top w:val="single" w:sz="4" w:space="0" w:color="auto"/>
            </w:tcBorders>
            <w:tcMar>
              <w:top w:w="15" w:type="dxa"/>
              <w:left w:w="108" w:type="dxa"/>
              <w:bottom w:w="0" w:type="dxa"/>
              <w:right w:w="108" w:type="dxa"/>
            </w:tcMar>
            <w:hideMark/>
          </w:tcPr>
          <w:p w14:paraId="7197F77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.78145</w:t>
            </w:r>
          </w:p>
        </w:tc>
        <w:tc>
          <w:tcPr>
            <w:tcW w:w="579" w:type="dxa"/>
            <w:tcBorders>
              <w:top w:val="single" w:sz="4" w:space="0" w:color="auto"/>
            </w:tcBorders>
            <w:tcMar>
              <w:top w:w="15" w:type="dxa"/>
              <w:left w:w="108" w:type="dxa"/>
              <w:bottom w:w="0" w:type="dxa"/>
              <w:right w:w="108" w:type="dxa"/>
            </w:tcMar>
            <w:hideMark/>
          </w:tcPr>
          <w:p w14:paraId="6DFCDC3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Borders>
              <w:top w:val="single" w:sz="4" w:space="0" w:color="auto"/>
            </w:tcBorders>
            <w:tcMar>
              <w:top w:w="15" w:type="dxa"/>
              <w:left w:w="108" w:type="dxa"/>
              <w:bottom w:w="0" w:type="dxa"/>
              <w:right w:w="108" w:type="dxa"/>
            </w:tcMar>
            <w:hideMark/>
          </w:tcPr>
          <w:p w14:paraId="18999B2D"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zh-CN"/>
              </w:rPr>
              <w:t>.78754</w:t>
            </w:r>
          </w:p>
        </w:tc>
        <w:tc>
          <w:tcPr>
            <w:tcW w:w="844" w:type="dxa"/>
            <w:tcBorders>
              <w:top w:val="single" w:sz="4" w:space="0" w:color="auto"/>
            </w:tcBorders>
            <w:tcMar>
              <w:top w:w="15" w:type="dxa"/>
              <w:left w:w="108" w:type="dxa"/>
              <w:bottom w:w="0" w:type="dxa"/>
              <w:right w:w="108" w:type="dxa"/>
            </w:tcMar>
            <w:hideMark/>
          </w:tcPr>
          <w:p w14:paraId="57E2DBCC"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-4.7</w:t>
            </w:r>
          </w:p>
        </w:tc>
        <w:tc>
          <w:tcPr>
            <w:tcW w:w="1910" w:type="dxa"/>
            <w:tcBorders>
              <w:top w:val="single" w:sz="4" w:space="0" w:color="auto"/>
              <w:right w:val="single" w:sz="4" w:space="0" w:color="auto"/>
            </w:tcBorders>
            <w:tcMar>
              <w:top w:w="15" w:type="dxa"/>
              <w:left w:w="108" w:type="dxa"/>
              <w:bottom w:w="0" w:type="dxa"/>
              <w:right w:w="108" w:type="dxa"/>
            </w:tcMar>
            <w:hideMark/>
          </w:tcPr>
          <w:p w14:paraId="351701C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-0.61 (0.541)</w:t>
            </w:r>
          </w:p>
        </w:tc>
      </w:tr>
      <w:tr w:rsidR="000A3F4A" w:rsidRPr="00880312" w14:paraId="1829D498"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hideMark/>
          </w:tcPr>
          <w:p w14:paraId="2979A0B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578" w:type="dxa"/>
            <w:tcMar>
              <w:top w:w="15" w:type="dxa"/>
              <w:left w:w="108" w:type="dxa"/>
              <w:bottom w:w="0" w:type="dxa"/>
              <w:right w:w="108" w:type="dxa"/>
            </w:tcMar>
            <w:hideMark/>
          </w:tcPr>
          <w:p w14:paraId="3A177CCC"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hideMark/>
          </w:tcPr>
          <w:p w14:paraId="321B82A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2.5275</w:t>
            </w:r>
          </w:p>
        </w:tc>
        <w:tc>
          <w:tcPr>
            <w:tcW w:w="579" w:type="dxa"/>
            <w:tcMar>
              <w:top w:w="15" w:type="dxa"/>
              <w:left w:w="108" w:type="dxa"/>
              <w:bottom w:w="0" w:type="dxa"/>
              <w:right w:w="108" w:type="dxa"/>
            </w:tcMar>
            <w:hideMark/>
          </w:tcPr>
          <w:p w14:paraId="64708474"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hideMark/>
          </w:tcPr>
          <w:p w14:paraId="4B96480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2.5348</w:t>
            </w:r>
          </w:p>
        </w:tc>
        <w:tc>
          <w:tcPr>
            <w:tcW w:w="844" w:type="dxa"/>
            <w:tcMar>
              <w:top w:w="15" w:type="dxa"/>
              <w:left w:w="108" w:type="dxa"/>
              <w:bottom w:w="0" w:type="dxa"/>
              <w:right w:w="108" w:type="dxa"/>
            </w:tcMar>
            <w:hideMark/>
          </w:tcPr>
          <w:p w14:paraId="5F56385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-2.9</w:t>
            </w:r>
          </w:p>
        </w:tc>
        <w:tc>
          <w:tcPr>
            <w:tcW w:w="1910" w:type="dxa"/>
            <w:tcBorders>
              <w:right w:val="single" w:sz="4" w:space="0" w:color="auto"/>
            </w:tcBorders>
            <w:tcMar>
              <w:top w:w="15" w:type="dxa"/>
              <w:left w:w="108" w:type="dxa"/>
              <w:bottom w:w="0" w:type="dxa"/>
              <w:right w:w="108" w:type="dxa"/>
            </w:tcMar>
            <w:hideMark/>
          </w:tcPr>
          <w:p w14:paraId="09BC4EDB"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-0.38 (0.706)</w:t>
            </w:r>
          </w:p>
        </w:tc>
      </w:tr>
      <w:tr w:rsidR="000A3F4A" w:rsidRPr="00880312" w14:paraId="7F18EA78"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hideMark/>
          </w:tcPr>
          <w:p w14:paraId="17CD8511"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578" w:type="dxa"/>
            <w:tcMar>
              <w:top w:w="15" w:type="dxa"/>
              <w:left w:w="108" w:type="dxa"/>
              <w:bottom w:w="0" w:type="dxa"/>
              <w:right w:w="108" w:type="dxa"/>
            </w:tcMar>
            <w:hideMark/>
          </w:tcPr>
          <w:p w14:paraId="4276995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hideMark/>
          </w:tcPr>
          <w:p w14:paraId="5AE59956"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9.789</w:t>
            </w:r>
          </w:p>
        </w:tc>
        <w:tc>
          <w:tcPr>
            <w:tcW w:w="579" w:type="dxa"/>
            <w:tcMar>
              <w:top w:w="15" w:type="dxa"/>
              <w:left w:w="108" w:type="dxa"/>
              <w:bottom w:w="0" w:type="dxa"/>
              <w:right w:w="108" w:type="dxa"/>
            </w:tcMar>
            <w:hideMark/>
          </w:tcPr>
          <w:p w14:paraId="35386650"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hideMark/>
          </w:tcPr>
          <w:p w14:paraId="4FB9DE62"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9.7704</w:t>
            </w:r>
          </w:p>
        </w:tc>
        <w:tc>
          <w:tcPr>
            <w:tcW w:w="844" w:type="dxa"/>
            <w:tcMar>
              <w:top w:w="15" w:type="dxa"/>
              <w:left w:w="108" w:type="dxa"/>
              <w:bottom w:w="0" w:type="dxa"/>
              <w:right w:w="108" w:type="dxa"/>
            </w:tcMar>
            <w:hideMark/>
          </w:tcPr>
          <w:p w14:paraId="28952ED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1.1</w:t>
            </w:r>
          </w:p>
        </w:tc>
        <w:tc>
          <w:tcPr>
            <w:tcW w:w="1910" w:type="dxa"/>
            <w:tcBorders>
              <w:right w:val="single" w:sz="4" w:space="0" w:color="auto"/>
            </w:tcBorders>
            <w:tcMar>
              <w:top w:w="15" w:type="dxa"/>
              <w:left w:w="108" w:type="dxa"/>
              <w:bottom w:w="0" w:type="dxa"/>
              <w:right w:w="108" w:type="dxa"/>
            </w:tcMar>
            <w:hideMark/>
          </w:tcPr>
          <w:p w14:paraId="7E32D4C1"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0.14 (0.886)</w:t>
            </w:r>
          </w:p>
        </w:tc>
      </w:tr>
      <w:tr w:rsidR="000A3F4A" w:rsidRPr="00880312" w14:paraId="64E3EB1E"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tcPr>
          <w:p w14:paraId="79E7EF42"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578" w:type="dxa"/>
            <w:tcMar>
              <w:top w:w="15" w:type="dxa"/>
              <w:left w:w="108" w:type="dxa"/>
              <w:bottom w:w="0" w:type="dxa"/>
              <w:right w:w="108" w:type="dxa"/>
            </w:tcMar>
          </w:tcPr>
          <w:p w14:paraId="51D2A5F2"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tcPr>
          <w:p w14:paraId="19350F3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444.13</w:t>
            </w:r>
          </w:p>
        </w:tc>
        <w:tc>
          <w:tcPr>
            <w:tcW w:w="579" w:type="dxa"/>
            <w:tcMar>
              <w:top w:w="15" w:type="dxa"/>
              <w:left w:w="108" w:type="dxa"/>
              <w:bottom w:w="0" w:type="dxa"/>
              <w:right w:w="108" w:type="dxa"/>
            </w:tcMar>
          </w:tcPr>
          <w:p w14:paraId="2395130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tcPr>
          <w:p w14:paraId="29071AC1"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360.03</w:t>
            </w:r>
          </w:p>
        </w:tc>
        <w:tc>
          <w:tcPr>
            <w:tcW w:w="844" w:type="dxa"/>
            <w:tcMar>
              <w:top w:w="15" w:type="dxa"/>
              <w:left w:w="108" w:type="dxa"/>
              <w:bottom w:w="0" w:type="dxa"/>
              <w:right w:w="108" w:type="dxa"/>
            </w:tcMar>
          </w:tcPr>
          <w:p w14:paraId="109A2E9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8.8</w:t>
            </w:r>
          </w:p>
        </w:tc>
        <w:tc>
          <w:tcPr>
            <w:tcW w:w="1910" w:type="dxa"/>
            <w:tcBorders>
              <w:right w:val="single" w:sz="4" w:space="0" w:color="auto"/>
            </w:tcBorders>
            <w:tcMar>
              <w:top w:w="15" w:type="dxa"/>
              <w:left w:w="108" w:type="dxa"/>
              <w:bottom w:w="0" w:type="dxa"/>
              <w:right w:w="108" w:type="dxa"/>
            </w:tcMar>
          </w:tcPr>
          <w:p w14:paraId="05FA0D7B"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1.11 (0.268)</w:t>
            </w:r>
          </w:p>
        </w:tc>
      </w:tr>
      <w:tr w:rsidR="000A3F4A" w:rsidRPr="00880312" w14:paraId="1187A04C"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tcPr>
          <w:p w14:paraId="16BFCA06"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578" w:type="dxa"/>
            <w:tcMar>
              <w:top w:w="15" w:type="dxa"/>
              <w:left w:w="108" w:type="dxa"/>
              <w:bottom w:w="0" w:type="dxa"/>
              <w:right w:w="108" w:type="dxa"/>
            </w:tcMar>
          </w:tcPr>
          <w:p w14:paraId="56B5FFC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tcPr>
          <w:p w14:paraId="1F22469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89497</w:t>
            </w:r>
          </w:p>
        </w:tc>
        <w:tc>
          <w:tcPr>
            <w:tcW w:w="579" w:type="dxa"/>
            <w:tcMar>
              <w:top w:w="15" w:type="dxa"/>
              <w:left w:w="108" w:type="dxa"/>
              <w:bottom w:w="0" w:type="dxa"/>
              <w:right w:w="108" w:type="dxa"/>
            </w:tcMar>
          </w:tcPr>
          <w:p w14:paraId="00FAEBC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tcPr>
          <w:p w14:paraId="3533A109"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.89486</w:t>
            </w:r>
          </w:p>
        </w:tc>
        <w:tc>
          <w:tcPr>
            <w:tcW w:w="844" w:type="dxa"/>
            <w:tcMar>
              <w:top w:w="15" w:type="dxa"/>
              <w:left w:w="108" w:type="dxa"/>
              <w:bottom w:w="0" w:type="dxa"/>
              <w:right w:w="108" w:type="dxa"/>
            </w:tcMar>
          </w:tcPr>
          <w:p w14:paraId="18B5A02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w:t>
            </w:r>
          </w:p>
        </w:tc>
        <w:tc>
          <w:tcPr>
            <w:tcW w:w="1910" w:type="dxa"/>
            <w:tcBorders>
              <w:right w:val="single" w:sz="4" w:space="0" w:color="auto"/>
            </w:tcBorders>
            <w:tcMar>
              <w:top w:w="15" w:type="dxa"/>
              <w:left w:w="108" w:type="dxa"/>
              <w:bottom w:w="0" w:type="dxa"/>
              <w:right w:w="108" w:type="dxa"/>
            </w:tcMar>
          </w:tcPr>
          <w:p w14:paraId="0ACDBAE5"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0.07 (0.944)</w:t>
            </w:r>
          </w:p>
        </w:tc>
      </w:tr>
      <w:tr w:rsidR="000A3F4A" w:rsidRPr="00880312" w14:paraId="2FD592AD"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tcPr>
          <w:p w14:paraId="1B1D4F2D"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578" w:type="dxa"/>
            <w:tcMar>
              <w:top w:w="15" w:type="dxa"/>
              <w:left w:w="108" w:type="dxa"/>
              <w:bottom w:w="0" w:type="dxa"/>
              <w:right w:w="108" w:type="dxa"/>
            </w:tcMar>
          </w:tcPr>
          <w:p w14:paraId="4E733F16"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tcPr>
          <w:p w14:paraId="364806FF"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.84236</w:t>
            </w:r>
          </w:p>
        </w:tc>
        <w:tc>
          <w:tcPr>
            <w:tcW w:w="579" w:type="dxa"/>
            <w:tcMar>
              <w:top w:w="15" w:type="dxa"/>
              <w:left w:w="108" w:type="dxa"/>
              <w:bottom w:w="0" w:type="dxa"/>
              <w:right w:w="108" w:type="dxa"/>
            </w:tcMar>
          </w:tcPr>
          <w:p w14:paraId="0441384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tcPr>
          <w:p w14:paraId="55180AB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.91881</w:t>
            </w:r>
          </w:p>
        </w:tc>
        <w:tc>
          <w:tcPr>
            <w:tcW w:w="844" w:type="dxa"/>
            <w:tcMar>
              <w:top w:w="15" w:type="dxa"/>
              <w:left w:w="108" w:type="dxa"/>
              <w:bottom w:w="0" w:type="dxa"/>
              <w:right w:w="108" w:type="dxa"/>
            </w:tcMar>
          </w:tcPr>
          <w:p w14:paraId="166057BE"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-10.3</w:t>
            </w:r>
          </w:p>
        </w:tc>
        <w:tc>
          <w:tcPr>
            <w:tcW w:w="1910" w:type="dxa"/>
            <w:tcBorders>
              <w:right w:val="single" w:sz="4" w:space="0" w:color="auto"/>
            </w:tcBorders>
            <w:tcMar>
              <w:top w:w="15" w:type="dxa"/>
              <w:left w:w="108" w:type="dxa"/>
              <w:bottom w:w="0" w:type="dxa"/>
              <w:right w:w="108" w:type="dxa"/>
            </w:tcMar>
          </w:tcPr>
          <w:p w14:paraId="0912C32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-1.29 (0.198)</w:t>
            </w:r>
          </w:p>
        </w:tc>
      </w:tr>
      <w:tr w:rsidR="000A3F4A" w:rsidRPr="00880312" w14:paraId="55716A9A"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hideMark/>
          </w:tcPr>
          <w:p w14:paraId="2F68B2B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578" w:type="dxa"/>
            <w:tcMar>
              <w:top w:w="15" w:type="dxa"/>
              <w:left w:w="108" w:type="dxa"/>
              <w:bottom w:w="0" w:type="dxa"/>
              <w:right w:w="108" w:type="dxa"/>
            </w:tcMar>
            <w:hideMark/>
          </w:tcPr>
          <w:p w14:paraId="5E9CF557"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hideMark/>
          </w:tcPr>
          <w:p w14:paraId="467CE2CC"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6.4426</w:t>
            </w:r>
          </w:p>
        </w:tc>
        <w:tc>
          <w:tcPr>
            <w:tcW w:w="579" w:type="dxa"/>
            <w:tcMar>
              <w:top w:w="15" w:type="dxa"/>
              <w:left w:w="108" w:type="dxa"/>
              <w:bottom w:w="0" w:type="dxa"/>
              <w:right w:w="108" w:type="dxa"/>
            </w:tcMar>
            <w:hideMark/>
          </w:tcPr>
          <w:p w14:paraId="40157DEE"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hideMark/>
          </w:tcPr>
          <w:p w14:paraId="138CFAC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6.4844</w:t>
            </w:r>
          </w:p>
        </w:tc>
        <w:tc>
          <w:tcPr>
            <w:tcW w:w="844" w:type="dxa"/>
            <w:tcMar>
              <w:top w:w="15" w:type="dxa"/>
              <w:left w:w="108" w:type="dxa"/>
              <w:bottom w:w="0" w:type="dxa"/>
              <w:right w:w="108" w:type="dxa"/>
            </w:tcMar>
            <w:hideMark/>
          </w:tcPr>
          <w:p w14:paraId="227DDD5E"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-3.8</w:t>
            </w:r>
          </w:p>
        </w:tc>
        <w:tc>
          <w:tcPr>
            <w:tcW w:w="1910" w:type="dxa"/>
            <w:tcBorders>
              <w:right w:val="single" w:sz="4" w:space="0" w:color="auto"/>
            </w:tcBorders>
            <w:tcMar>
              <w:top w:w="15" w:type="dxa"/>
              <w:left w:w="108" w:type="dxa"/>
              <w:bottom w:w="0" w:type="dxa"/>
              <w:right w:w="108" w:type="dxa"/>
            </w:tcMar>
            <w:hideMark/>
          </w:tcPr>
          <w:p w14:paraId="51A22BA6"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-0.53 (0.598)</w:t>
            </w:r>
          </w:p>
        </w:tc>
      </w:tr>
      <w:tr w:rsidR="000A3F4A" w:rsidRPr="00880312" w14:paraId="03C1B97B" w14:textId="77777777" w:rsidTr="00E30E2D">
        <w:trPr>
          <w:cantSplit/>
          <w:trHeight w:hRule="exact" w:val="264"/>
        </w:trPr>
        <w:tc>
          <w:tcPr>
            <w:tcW w:w="2336" w:type="dxa"/>
            <w:tcBorders>
              <w:left w:val="single" w:sz="4" w:space="0" w:color="auto"/>
            </w:tcBorders>
            <w:tcMar>
              <w:top w:w="15" w:type="dxa"/>
              <w:left w:w="108" w:type="dxa"/>
              <w:bottom w:w="0" w:type="dxa"/>
              <w:right w:w="108" w:type="dxa"/>
            </w:tcMar>
          </w:tcPr>
          <w:p w14:paraId="7B1373FA"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578" w:type="dxa"/>
            <w:tcMar>
              <w:top w:w="15" w:type="dxa"/>
              <w:left w:w="108" w:type="dxa"/>
              <w:bottom w:w="0" w:type="dxa"/>
              <w:right w:w="108" w:type="dxa"/>
            </w:tcMar>
          </w:tcPr>
          <w:p w14:paraId="34553C7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87" w:type="dxa"/>
            <w:tcMar>
              <w:top w:w="15" w:type="dxa"/>
              <w:left w:w="108" w:type="dxa"/>
              <w:bottom w:w="0" w:type="dxa"/>
              <w:right w:w="108" w:type="dxa"/>
            </w:tcMar>
          </w:tcPr>
          <w:p w14:paraId="44FCE0B8"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12.423</w:t>
            </w:r>
          </w:p>
        </w:tc>
        <w:tc>
          <w:tcPr>
            <w:tcW w:w="579" w:type="dxa"/>
            <w:tcMar>
              <w:top w:w="15" w:type="dxa"/>
              <w:left w:w="108" w:type="dxa"/>
              <w:bottom w:w="0" w:type="dxa"/>
              <w:right w:w="108" w:type="dxa"/>
            </w:tcMar>
          </w:tcPr>
          <w:p w14:paraId="3445BDA0"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301</w:t>
            </w:r>
          </w:p>
        </w:tc>
        <w:tc>
          <w:tcPr>
            <w:tcW w:w="828" w:type="dxa"/>
            <w:tcMar>
              <w:top w:w="15" w:type="dxa"/>
              <w:left w:w="108" w:type="dxa"/>
              <w:bottom w:w="0" w:type="dxa"/>
              <w:right w:w="108" w:type="dxa"/>
            </w:tcMar>
          </w:tcPr>
          <w:p w14:paraId="7288613D"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12.188</w:t>
            </w:r>
          </w:p>
        </w:tc>
        <w:tc>
          <w:tcPr>
            <w:tcW w:w="844" w:type="dxa"/>
            <w:tcMar>
              <w:top w:w="15" w:type="dxa"/>
              <w:left w:w="108" w:type="dxa"/>
              <w:bottom w:w="0" w:type="dxa"/>
              <w:right w:w="108" w:type="dxa"/>
            </w:tcMar>
          </w:tcPr>
          <w:p w14:paraId="75075140"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7.1</w:t>
            </w:r>
          </w:p>
        </w:tc>
        <w:tc>
          <w:tcPr>
            <w:tcW w:w="1910" w:type="dxa"/>
            <w:tcBorders>
              <w:right w:val="single" w:sz="4" w:space="0" w:color="auto"/>
            </w:tcBorders>
            <w:tcMar>
              <w:top w:w="15" w:type="dxa"/>
              <w:left w:w="108" w:type="dxa"/>
              <w:bottom w:w="0" w:type="dxa"/>
              <w:right w:w="108" w:type="dxa"/>
            </w:tcMar>
          </w:tcPr>
          <w:p w14:paraId="34C4FA43" w14:textId="77777777" w:rsidR="000A3F4A" w:rsidRPr="00880312" w:rsidRDefault="000A3F4A"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1.07 (0.287)</w:t>
            </w:r>
          </w:p>
        </w:tc>
      </w:tr>
      <w:tr w:rsidR="00DE7639" w:rsidRPr="00880312" w14:paraId="70A8D256" w14:textId="77777777" w:rsidTr="00E30E2D">
        <w:trPr>
          <w:cantSplit/>
          <w:trHeight w:hRule="exact" w:val="264"/>
        </w:trPr>
        <w:tc>
          <w:tcPr>
            <w:tcW w:w="2336" w:type="dxa"/>
            <w:tcBorders>
              <w:left w:val="single" w:sz="4" w:space="0" w:color="auto"/>
              <w:bottom w:val="single" w:sz="4" w:space="0" w:color="auto"/>
            </w:tcBorders>
            <w:tcMar>
              <w:top w:w="15" w:type="dxa"/>
              <w:left w:w="108" w:type="dxa"/>
              <w:bottom w:w="0" w:type="dxa"/>
              <w:right w:w="108" w:type="dxa"/>
            </w:tcMar>
          </w:tcPr>
          <w:p w14:paraId="0C5353B1" w14:textId="7A7FD47B" w:rsidR="00DE7639"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p w14:paraId="68B62DEC" w14:textId="77777777" w:rsidR="00DE7639"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p w14:paraId="4954B105" w14:textId="73BE5B01"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578" w:type="dxa"/>
            <w:tcBorders>
              <w:bottom w:val="single" w:sz="4" w:space="0" w:color="auto"/>
            </w:tcBorders>
            <w:tcMar>
              <w:top w:w="15" w:type="dxa"/>
              <w:left w:w="108" w:type="dxa"/>
              <w:bottom w:w="0" w:type="dxa"/>
              <w:right w:w="108" w:type="dxa"/>
            </w:tcMar>
          </w:tcPr>
          <w:p w14:paraId="5117F32B"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887" w:type="dxa"/>
            <w:tcBorders>
              <w:bottom w:val="single" w:sz="4" w:space="0" w:color="auto"/>
            </w:tcBorders>
            <w:tcMar>
              <w:top w:w="15" w:type="dxa"/>
              <w:left w:w="108" w:type="dxa"/>
              <w:bottom w:w="0" w:type="dxa"/>
              <w:right w:w="108" w:type="dxa"/>
            </w:tcMar>
          </w:tcPr>
          <w:p w14:paraId="1ED8971C"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579" w:type="dxa"/>
            <w:tcBorders>
              <w:bottom w:val="single" w:sz="4" w:space="0" w:color="auto"/>
            </w:tcBorders>
            <w:tcMar>
              <w:top w:w="15" w:type="dxa"/>
              <w:left w:w="108" w:type="dxa"/>
              <w:bottom w:w="0" w:type="dxa"/>
              <w:right w:w="108" w:type="dxa"/>
            </w:tcMar>
          </w:tcPr>
          <w:p w14:paraId="7629C285"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828" w:type="dxa"/>
            <w:tcBorders>
              <w:bottom w:val="single" w:sz="4" w:space="0" w:color="auto"/>
            </w:tcBorders>
            <w:tcMar>
              <w:top w:w="15" w:type="dxa"/>
              <w:left w:w="108" w:type="dxa"/>
              <w:bottom w:w="0" w:type="dxa"/>
              <w:right w:w="108" w:type="dxa"/>
            </w:tcMar>
          </w:tcPr>
          <w:p w14:paraId="3B184EBE"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844" w:type="dxa"/>
            <w:tcBorders>
              <w:bottom w:val="single" w:sz="4" w:space="0" w:color="auto"/>
            </w:tcBorders>
            <w:tcMar>
              <w:top w:w="15" w:type="dxa"/>
              <w:left w:w="108" w:type="dxa"/>
              <w:bottom w:w="0" w:type="dxa"/>
              <w:right w:w="108" w:type="dxa"/>
            </w:tcMar>
          </w:tcPr>
          <w:p w14:paraId="2E91B48D"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10" w:type="dxa"/>
            <w:tcBorders>
              <w:bottom w:val="single" w:sz="4" w:space="0" w:color="auto"/>
              <w:right w:val="single" w:sz="4" w:space="0" w:color="auto"/>
            </w:tcBorders>
            <w:tcMar>
              <w:top w:w="15" w:type="dxa"/>
              <w:left w:w="108" w:type="dxa"/>
              <w:bottom w:w="0" w:type="dxa"/>
              <w:right w:w="108" w:type="dxa"/>
            </w:tcMar>
          </w:tcPr>
          <w:p w14:paraId="26C863C9" w14:textId="77777777" w:rsidR="00DE7639" w:rsidRPr="00880312" w:rsidRDefault="00DE7639" w:rsidP="00DE763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bl>
    <w:p w14:paraId="134C5197" w14:textId="55594CBB" w:rsidR="00DE7639" w:rsidRDefault="00DE7639" w:rsidP="00DE7639">
      <w:pPr>
        <w:widowControl w:val="0"/>
        <w:autoSpaceDE w:val="0"/>
        <w:autoSpaceDN w:val="0"/>
        <w:adjustRightInd w:val="0"/>
        <w:spacing w:after="0" w:line="240" w:lineRule="auto"/>
        <w:jc w:val="both"/>
        <w:rPr>
          <w:rFonts w:ascii="Times New Roman" w:eastAsia="Times New Roman" w:hAnsi="Times New Roman" w:cs="Times New Roman"/>
          <w:color w:val="000000"/>
          <w:lang w:eastAsia="en-GB"/>
        </w:rPr>
      </w:pPr>
      <w:r w:rsidRPr="00880312">
        <w:rPr>
          <w:rFonts w:ascii="Times New Roman" w:eastAsia="Times New Roman" w:hAnsi="Times New Roman" w:cs="Times New Roman"/>
          <w:color w:val="000000"/>
          <w:lang w:eastAsia="en-GB"/>
        </w:rPr>
        <w:t xml:space="preserve">This table identifies the treatment group as banks with a high-risk culture (greater than the median). In comparison, the control group includes banks with less risk culture (less than equal to median value) by employing a propensity score matching procedure. Panel A demonstrate the statistics of the matching process, and Panel B demonstrates the estimation of regression analysis </w:t>
      </w:r>
      <w:r>
        <w:rPr>
          <w:rFonts w:ascii="Times New Roman" w:eastAsia="Times New Roman" w:hAnsi="Times New Roman" w:cs="Times New Roman"/>
          <w:color w:val="000000"/>
          <w:lang w:eastAsia="en-GB"/>
        </w:rPr>
        <w:t xml:space="preserve">on our base line result (equation1) </w:t>
      </w:r>
      <w:r w:rsidRPr="00880312">
        <w:rPr>
          <w:rFonts w:ascii="Times New Roman" w:eastAsia="Times New Roman" w:hAnsi="Times New Roman" w:cs="Times New Roman"/>
          <w:color w:val="000000"/>
          <w:lang w:eastAsia="en-GB"/>
        </w:rPr>
        <w:t>using the Propensity Score Matching sample. Standard errors are reported in parentheses. ***, **, * indicates significance at the 1, 5, 10 percent levels, respectively</w:t>
      </w:r>
    </w:p>
    <w:p w14:paraId="2F981E1E" w14:textId="77777777" w:rsidR="00E30E2D" w:rsidRPr="00880312" w:rsidRDefault="00E30E2D" w:rsidP="00DE763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412A135D" w14:textId="19EDCF74" w:rsidR="00E30E2D" w:rsidRDefault="00DE7639" w:rsidP="00880312">
      <w:pPr>
        <w:widowControl w:val="0"/>
        <w:autoSpaceDE w:val="0"/>
        <w:autoSpaceDN w:val="0"/>
        <w:adjustRightInd w:val="0"/>
        <w:spacing w:after="0" w:line="240" w:lineRule="auto"/>
        <w:jc w:val="both"/>
        <w:rPr>
          <w:rFonts w:ascii="Times New Roman" w:eastAsia="Times New Roman" w:hAnsi="Times New Roman" w:cs="Times New Roman"/>
          <w:b/>
          <w:bCs/>
          <w:color w:val="000000"/>
          <w:lang w:eastAsia="en-GB"/>
        </w:rPr>
      </w:pPr>
      <w:r w:rsidRPr="00880312">
        <w:rPr>
          <w:rFonts w:ascii="Times New Roman" w:eastAsia="Times New Roman" w:hAnsi="Times New Roman" w:cs="Times New Roman"/>
          <w:b/>
          <w:bCs/>
          <w:color w:val="000000"/>
          <w:lang w:eastAsia="en-GB"/>
        </w:rPr>
        <w:t>Panel A: Balancing Table for Propensity Score Matchin</w:t>
      </w:r>
      <w:r w:rsidR="00E30E2D">
        <w:rPr>
          <w:rFonts w:ascii="Times New Roman" w:eastAsia="Times New Roman" w:hAnsi="Times New Roman" w:cs="Times New Roman"/>
          <w:b/>
          <w:bCs/>
          <w:color w:val="000000"/>
          <w:lang w:eastAsia="en-GB"/>
        </w:rPr>
        <w:t>g</w:t>
      </w:r>
    </w:p>
    <w:p w14:paraId="4F217460" w14:textId="77777777" w:rsidR="00E30E2D" w:rsidRDefault="00E30E2D" w:rsidP="00880312">
      <w:pPr>
        <w:widowControl w:val="0"/>
        <w:autoSpaceDE w:val="0"/>
        <w:autoSpaceDN w:val="0"/>
        <w:adjustRightInd w:val="0"/>
        <w:spacing w:after="0" w:line="240" w:lineRule="auto"/>
        <w:jc w:val="both"/>
        <w:rPr>
          <w:rFonts w:ascii="Times New Roman" w:eastAsia="Times New Roman" w:hAnsi="Times New Roman" w:cs="Times New Roman"/>
          <w:b/>
          <w:bCs/>
          <w:color w:val="000000"/>
          <w:lang w:eastAsia="en-GB"/>
        </w:rPr>
      </w:pPr>
    </w:p>
    <w:p w14:paraId="540DC413" w14:textId="77777777" w:rsidR="00E30E2D" w:rsidRDefault="00E30E2D" w:rsidP="00880312">
      <w:pPr>
        <w:widowControl w:val="0"/>
        <w:autoSpaceDE w:val="0"/>
        <w:autoSpaceDN w:val="0"/>
        <w:adjustRightInd w:val="0"/>
        <w:spacing w:after="0" w:line="240" w:lineRule="auto"/>
        <w:jc w:val="both"/>
        <w:rPr>
          <w:rFonts w:ascii="Times New Roman" w:eastAsia="Times New Roman" w:hAnsi="Times New Roman" w:cs="Times New Roman"/>
          <w:b/>
          <w:bCs/>
          <w:color w:val="000000"/>
          <w:lang w:eastAsia="en-GB"/>
        </w:rPr>
      </w:pPr>
    </w:p>
    <w:p w14:paraId="2802A1C0" w14:textId="77777777" w:rsidR="00E30E2D" w:rsidRDefault="00E30E2D" w:rsidP="00880312">
      <w:pPr>
        <w:widowControl w:val="0"/>
        <w:autoSpaceDE w:val="0"/>
        <w:autoSpaceDN w:val="0"/>
        <w:adjustRightInd w:val="0"/>
        <w:spacing w:after="0" w:line="240" w:lineRule="auto"/>
        <w:jc w:val="both"/>
        <w:rPr>
          <w:rFonts w:ascii="Times New Roman" w:eastAsia="Times New Roman" w:hAnsi="Times New Roman" w:cs="Times New Roman"/>
          <w:b/>
          <w:bCs/>
          <w:color w:val="000000"/>
          <w:lang w:eastAsia="en-GB"/>
        </w:rPr>
      </w:pPr>
    </w:p>
    <w:p w14:paraId="1DF53F1F" w14:textId="77777777" w:rsidR="00E30E2D" w:rsidRPr="00880312" w:rsidRDefault="00E30E2D"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3CAEC07B" w14:textId="77777777" w:rsidR="00880312" w:rsidRP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171B060E" w14:textId="77777777" w:rsidR="00880312" w:rsidRP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02C3F2A0" w14:textId="77777777" w:rsidR="00880312" w:rsidRP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323F85B2" w14:textId="77777777" w:rsidR="00880312" w:rsidRP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49F8BF87" w14:textId="3DDAF808" w:rsidR="00880312" w:rsidRDefault="00880312"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146A1A2F" w14:textId="77777777" w:rsidR="001278ED" w:rsidRPr="00880312" w:rsidRDefault="001278ED" w:rsidP="0088031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14:paraId="7AC5F4AA" w14:textId="77777777" w:rsidR="00880312" w:rsidRPr="00880312"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GB"/>
        </w:rPr>
      </w:pPr>
    </w:p>
    <w:p w14:paraId="4003EF41" w14:textId="77777777" w:rsidR="000A3F4A" w:rsidRDefault="000A3F4A" w:rsidP="00880312">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GB"/>
        </w:rPr>
      </w:pPr>
    </w:p>
    <w:p w14:paraId="7D722180" w14:textId="77777777" w:rsidR="00EE2013" w:rsidRDefault="00EE2013" w:rsidP="00880312">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GB"/>
        </w:rPr>
      </w:pPr>
    </w:p>
    <w:p w14:paraId="4F036D57" w14:textId="77777777" w:rsidR="00DE7639" w:rsidRDefault="00DE7639" w:rsidP="00880312">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GB"/>
        </w:rPr>
      </w:pPr>
    </w:p>
    <w:p w14:paraId="0A7DE50D" w14:textId="79C83D16" w:rsidR="00880312" w:rsidRPr="00E30E2D" w:rsidRDefault="00880312" w:rsidP="00880312">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en-GB"/>
        </w:rPr>
      </w:pPr>
      <w:r w:rsidRPr="009E69CE">
        <w:rPr>
          <w:rFonts w:ascii="Times New Roman" w:eastAsia="Times New Roman" w:hAnsi="Times New Roman" w:cs="Times New Roman"/>
          <w:b/>
          <w:bCs/>
          <w:color w:val="000000"/>
          <w:sz w:val="24"/>
          <w:szCs w:val="24"/>
          <w:lang w:eastAsia="en-GB"/>
        </w:rPr>
        <w:t>Panel B: Base Line Regression using Propensity Score Matched Sample</w:t>
      </w:r>
    </w:p>
    <w:tbl>
      <w:tblPr>
        <w:tblW w:w="0" w:type="auto"/>
        <w:tblLayout w:type="fixed"/>
        <w:tblCellMar>
          <w:left w:w="75" w:type="dxa"/>
          <w:right w:w="75" w:type="dxa"/>
        </w:tblCellMar>
        <w:tblLook w:val="0000" w:firstRow="0" w:lastRow="0" w:firstColumn="0" w:lastColumn="0" w:noHBand="0" w:noVBand="0"/>
      </w:tblPr>
      <w:tblGrid>
        <w:gridCol w:w="3765"/>
        <w:gridCol w:w="1420"/>
        <w:gridCol w:w="1420"/>
        <w:gridCol w:w="1612"/>
      </w:tblGrid>
      <w:tr w:rsidR="00880312" w:rsidRPr="00880312" w14:paraId="027E36D2" w14:textId="77777777" w:rsidTr="009E69CE">
        <w:trPr>
          <w:cantSplit/>
          <w:trHeight w:hRule="exact" w:val="194"/>
        </w:trPr>
        <w:tc>
          <w:tcPr>
            <w:tcW w:w="3765" w:type="dxa"/>
            <w:tcBorders>
              <w:top w:val="single" w:sz="4" w:space="0" w:color="auto"/>
              <w:left w:val="single" w:sz="4" w:space="0" w:color="auto"/>
              <w:bottom w:val="single" w:sz="4" w:space="0" w:color="auto"/>
            </w:tcBorders>
          </w:tcPr>
          <w:p w14:paraId="1AC8D135"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Borders>
              <w:top w:val="single" w:sz="4" w:space="0" w:color="auto"/>
              <w:bottom w:val="single" w:sz="4" w:space="0" w:color="auto"/>
            </w:tcBorders>
          </w:tcPr>
          <w:p w14:paraId="250E9B8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(1)</w:t>
            </w:r>
          </w:p>
        </w:tc>
        <w:tc>
          <w:tcPr>
            <w:tcW w:w="1420" w:type="dxa"/>
            <w:tcBorders>
              <w:top w:val="single" w:sz="4" w:space="0" w:color="auto"/>
              <w:bottom w:val="single" w:sz="4" w:space="0" w:color="auto"/>
            </w:tcBorders>
          </w:tcPr>
          <w:p w14:paraId="3C7213A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(2)</w:t>
            </w:r>
          </w:p>
        </w:tc>
        <w:tc>
          <w:tcPr>
            <w:tcW w:w="1612" w:type="dxa"/>
            <w:tcBorders>
              <w:top w:val="single" w:sz="4" w:space="0" w:color="auto"/>
              <w:bottom w:val="single" w:sz="4" w:space="0" w:color="auto"/>
              <w:right w:val="single" w:sz="4" w:space="0" w:color="auto"/>
            </w:tcBorders>
          </w:tcPr>
          <w:p w14:paraId="7F69375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(3)</w:t>
            </w:r>
          </w:p>
        </w:tc>
      </w:tr>
      <w:tr w:rsidR="00880312" w:rsidRPr="00880312" w14:paraId="12C89E5A" w14:textId="77777777" w:rsidTr="009E69CE">
        <w:trPr>
          <w:cantSplit/>
          <w:trHeight w:hRule="exact" w:val="194"/>
        </w:trPr>
        <w:tc>
          <w:tcPr>
            <w:tcW w:w="3765" w:type="dxa"/>
            <w:tcBorders>
              <w:top w:val="single" w:sz="4" w:space="0" w:color="auto"/>
              <w:left w:val="single" w:sz="4" w:space="0" w:color="auto"/>
              <w:bottom w:val="single" w:sz="4" w:space="0" w:color="auto"/>
            </w:tcBorders>
          </w:tcPr>
          <w:p w14:paraId="3F09BAC8"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VARIABLES</w:t>
            </w:r>
          </w:p>
        </w:tc>
        <w:tc>
          <w:tcPr>
            <w:tcW w:w="1420" w:type="dxa"/>
            <w:tcBorders>
              <w:top w:val="single" w:sz="4" w:space="0" w:color="auto"/>
              <w:bottom w:val="single" w:sz="4" w:space="0" w:color="auto"/>
            </w:tcBorders>
          </w:tcPr>
          <w:p w14:paraId="734F4FBD"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Credit Risk</w:t>
            </w:r>
          </w:p>
        </w:tc>
        <w:tc>
          <w:tcPr>
            <w:tcW w:w="1420" w:type="dxa"/>
            <w:tcBorders>
              <w:top w:val="single" w:sz="4" w:space="0" w:color="auto"/>
              <w:bottom w:val="single" w:sz="4" w:space="0" w:color="auto"/>
            </w:tcBorders>
          </w:tcPr>
          <w:p w14:paraId="44B308A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Credit Risk</w:t>
            </w:r>
          </w:p>
        </w:tc>
        <w:tc>
          <w:tcPr>
            <w:tcW w:w="1612" w:type="dxa"/>
            <w:tcBorders>
              <w:top w:val="single" w:sz="4" w:space="0" w:color="auto"/>
              <w:bottom w:val="single" w:sz="4" w:space="0" w:color="auto"/>
              <w:right w:val="single" w:sz="4" w:space="0" w:color="auto"/>
            </w:tcBorders>
          </w:tcPr>
          <w:p w14:paraId="235F1C2D"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b/>
                <w:bCs/>
                <w:color w:val="000000"/>
                <w:sz w:val="20"/>
                <w:szCs w:val="20"/>
                <w:lang w:eastAsia="en-GB"/>
              </w:rPr>
              <w:t>Credit Risk</w:t>
            </w:r>
          </w:p>
        </w:tc>
      </w:tr>
      <w:tr w:rsidR="00880312" w:rsidRPr="00880312" w14:paraId="6832D9D6" w14:textId="77777777" w:rsidTr="009E69CE">
        <w:trPr>
          <w:cantSplit/>
          <w:trHeight w:hRule="exact" w:val="194"/>
        </w:trPr>
        <w:tc>
          <w:tcPr>
            <w:tcW w:w="3765" w:type="dxa"/>
            <w:tcBorders>
              <w:top w:val="single" w:sz="4" w:space="0" w:color="auto"/>
              <w:left w:val="single" w:sz="4" w:space="0" w:color="auto"/>
            </w:tcBorders>
          </w:tcPr>
          <w:p w14:paraId="356F986B"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b/>
                <w:bCs/>
                <w:color w:val="000000"/>
                <w:sz w:val="20"/>
                <w:szCs w:val="20"/>
                <w:lang w:eastAsia="en-GB"/>
              </w:rPr>
            </w:pPr>
          </w:p>
        </w:tc>
        <w:tc>
          <w:tcPr>
            <w:tcW w:w="1420" w:type="dxa"/>
            <w:tcBorders>
              <w:top w:val="single" w:sz="4" w:space="0" w:color="auto"/>
            </w:tcBorders>
          </w:tcPr>
          <w:p w14:paraId="153723C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c>
          <w:tcPr>
            <w:tcW w:w="1420" w:type="dxa"/>
            <w:tcBorders>
              <w:top w:val="single" w:sz="4" w:space="0" w:color="auto"/>
            </w:tcBorders>
          </w:tcPr>
          <w:p w14:paraId="7F645A2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c>
          <w:tcPr>
            <w:tcW w:w="1612" w:type="dxa"/>
            <w:tcBorders>
              <w:top w:val="single" w:sz="4" w:space="0" w:color="auto"/>
              <w:right w:val="single" w:sz="4" w:space="0" w:color="auto"/>
            </w:tcBorders>
          </w:tcPr>
          <w:p w14:paraId="47E2F08B"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r>
      <w:tr w:rsidR="00880312" w:rsidRPr="00880312" w14:paraId="6AAE8753" w14:textId="77777777" w:rsidTr="009E69CE">
        <w:trPr>
          <w:cantSplit/>
          <w:trHeight w:hRule="exact" w:val="665"/>
        </w:trPr>
        <w:tc>
          <w:tcPr>
            <w:tcW w:w="3765" w:type="dxa"/>
            <w:tcBorders>
              <w:left w:val="single" w:sz="4" w:space="0" w:color="auto"/>
            </w:tcBorders>
          </w:tcPr>
          <w:p w14:paraId="01DBE2AD"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b/>
                <w:bCs/>
                <w:color w:val="000000"/>
                <w:sz w:val="20"/>
                <w:szCs w:val="20"/>
                <w:lang w:eastAsia="en-GB"/>
              </w:rPr>
            </w:pPr>
            <w:r w:rsidRPr="00880312">
              <w:rPr>
                <w:rFonts w:ascii="Times New Roman" w:eastAsia="DengXian" w:hAnsi="Times New Roman" w:cs="Times New Roman"/>
                <w:color w:val="000000"/>
                <w:sz w:val="20"/>
                <w:szCs w:val="20"/>
                <w:lang w:eastAsia="en-GB"/>
              </w:rPr>
              <w:t>Female Board * Risk Culture</w:t>
            </w:r>
          </w:p>
        </w:tc>
        <w:tc>
          <w:tcPr>
            <w:tcW w:w="1420" w:type="dxa"/>
          </w:tcPr>
          <w:p w14:paraId="6B93CAF5"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c>
          <w:tcPr>
            <w:tcW w:w="1420" w:type="dxa"/>
          </w:tcPr>
          <w:p w14:paraId="1FDDF71E"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c>
          <w:tcPr>
            <w:tcW w:w="1612" w:type="dxa"/>
            <w:tcBorders>
              <w:right w:val="single" w:sz="4" w:space="0" w:color="auto"/>
            </w:tcBorders>
          </w:tcPr>
          <w:p w14:paraId="215E09D9"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-0.0527***</w:t>
            </w:r>
          </w:p>
          <w:p w14:paraId="2FAC9C6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(0.0158)</w:t>
            </w:r>
          </w:p>
          <w:p w14:paraId="0BF8FBB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p w14:paraId="69DCEB86"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p w14:paraId="5B446A4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b/>
                <w:bCs/>
                <w:color w:val="000000"/>
                <w:sz w:val="20"/>
                <w:szCs w:val="20"/>
                <w:lang w:eastAsia="en-GB"/>
              </w:rPr>
            </w:pPr>
          </w:p>
        </w:tc>
      </w:tr>
      <w:tr w:rsidR="00880312" w:rsidRPr="00880312" w14:paraId="75B3E5B1" w14:textId="77777777" w:rsidTr="009E69CE">
        <w:trPr>
          <w:cantSplit/>
          <w:trHeight w:hRule="exact" w:val="194"/>
        </w:trPr>
        <w:tc>
          <w:tcPr>
            <w:tcW w:w="3765" w:type="dxa"/>
            <w:tcBorders>
              <w:left w:val="single" w:sz="4" w:space="0" w:color="auto"/>
            </w:tcBorders>
          </w:tcPr>
          <w:p w14:paraId="448A7150"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0E29F51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420" w:type="dxa"/>
          </w:tcPr>
          <w:p w14:paraId="7AAB28F9"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612" w:type="dxa"/>
            <w:tcBorders>
              <w:right w:val="single" w:sz="4" w:space="0" w:color="auto"/>
            </w:tcBorders>
          </w:tcPr>
          <w:p w14:paraId="134FC136"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r>
      <w:tr w:rsidR="00880312" w:rsidRPr="00880312" w14:paraId="4581765D" w14:textId="77777777" w:rsidTr="009E69CE">
        <w:trPr>
          <w:cantSplit/>
          <w:trHeight w:hRule="exact" w:val="194"/>
        </w:trPr>
        <w:tc>
          <w:tcPr>
            <w:tcW w:w="3765" w:type="dxa"/>
            <w:tcBorders>
              <w:left w:val="single" w:sz="4" w:space="0" w:color="auto"/>
            </w:tcBorders>
          </w:tcPr>
          <w:p w14:paraId="117FB688"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Risk Culture</w:t>
            </w:r>
          </w:p>
        </w:tc>
        <w:tc>
          <w:tcPr>
            <w:tcW w:w="1420" w:type="dxa"/>
          </w:tcPr>
          <w:p w14:paraId="6B8A435D"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0.0778***</w:t>
            </w:r>
          </w:p>
        </w:tc>
        <w:tc>
          <w:tcPr>
            <w:tcW w:w="1420" w:type="dxa"/>
          </w:tcPr>
          <w:p w14:paraId="32473D5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612" w:type="dxa"/>
            <w:tcBorders>
              <w:right w:val="single" w:sz="4" w:space="0" w:color="auto"/>
            </w:tcBorders>
          </w:tcPr>
          <w:p w14:paraId="72085A6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0.0955***</w:t>
            </w:r>
          </w:p>
        </w:tc>
      </w:tr>
      <w:tr w:rsidR="00880312" w:rsidRPr="00880312" w14:paraId="2CB61F21" w14:textId="77777777" w:rsidTr="009E69CE">
        <w:trPr>
          <w:cantSplit/>
          <w:trHeight w:hRule="exact" w:val="194"/>
        </w:trPr>
        <w:tc>
          <w:tcPr>
            <w:tcW w:w="3765" w:type="dxa"/>
            <w:tcBorders>
              <w:left w:val="single" w:sz="4" w:space="0" w:color="auto"/>
            </w:tcBorders>
          </w:tcPr>
          <w:p w14:paraId="12A6B052"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1FC6E7C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(0.0244)</w:t>
            </w:r>
          </w:p>
        </w:tc>
        <w:tc>
          <w:tcPr>
            <w:tcW w:w="1420" w:type="dxa"/>
          </w:tcPr>
          <w:p w14:paraId="2CB744D1"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612" w:type="dxa"/>
            <w:tcBorders>
              <w:right w:val="single" w:sz="4" w:space="0" w:color="auto"/>
            </w:tcBorders>
          </w:tcPr>
          <w:p w14:paraId="0DD7D94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(0.0245)</w:t>
            </w:r>
          </w:p>
        </w:tc>
      </w:tr>
      <w:tr w:rsidR="00880312" w:rsidRPr="00880312" w14:paraId="087DD4F4" w14:textId="77777777" w:rsidTr="009E69CE">
        <w:trPr>
          <w:cantSplit/>
          <w:trHeight w:hRule="exact" w:val="194"/>
        </w:trPr>
        <w:tc>
          <w:tcPr>
            <w:tcW w:w="3765" w:type="dxa"/>
            <w:tcBorders>
              <w:left w:val="single" w:sz="4" w:space="0" w:color="auto"/>
            </w:tcBorders>
          </w:tcPr>
          <w:p w14:paraId="61D4F546" w14:textId="77777777" w:rsidR="00880312" w:rsidRPr="00880312" w:rsidRDefault="00880312" w:rsidP="00880312">
            <w:pPr>
              <w:widowControl w:val="0"/>
              <w:tabs>
                <w:tab w:val="left" w:pos="2429"/>
              </w:tabs>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Female Board</w:t>
            </w:r>
          </w:p>
        </w:tc>
        <w:tc>
          <w:tcPr>
            <w:tcW w:w="1420" w:type="dxa"/>
          </w:tcPr>
          <w:p w14:paraId="41D278C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420" w:type="dxa"/>
          </w:tcPr>
          <w:p w14:paraId="4270A89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-0.0711***</w:t>
            </w:r>
          </w:p>
        </w:tc>
        <w:tc>
          <w:tcPr>
            <w:tcW w:w="1612" w:type="dxa"/>
            <w:tcBorders>
              <w:right w:val="single" w:sz="4" w:space="0" w:color="auto"/>
            </w:tcBorders>
          </w:tcPr>
          <w:p w14:paraId="7701509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-0.0751***</w:t>
            </w:r>
          </w:p>
        </w:tc>
      </w:tr>
      <w:tr w:rsidR="00880312" w:rsidRPr="00880312" w14:paraId="338AC2D1" w14:textId="77777777" w:rsidTr="009E69CE">
        <w:trPr>
          <w:cantSplit/>
          <w:trHeight w:hRule="exact" w:val="484"/>
        </w:trPr>
        <w:tc>
          <w:tcPr>
            <w:tcW w:w="3765" w:type="dxa"/>
            <w:tcBorders>
              <w:left w:val="single" w:sz="4" w:space="0" w:color="auto"/>
            </w:tcBorders>
          </w:tcPr>
          <w:p w14:paraId="5E5F4053"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07338606"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p>
        </w:tc>
        <w:tc>
          <w:tcPr>
            <w:tcW w:w="1420" w:type="dxa"/>
          </w:tcPr>
          <w:p w14:paraId="5EA94DC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(0.0184)</w:t>
            </w:r>
          </w:p>
        </w:tc>
        <w:tc>
          <w:tcPr>
            <w:tcW w:w="1612" w:type="dxa"/>
            <w:tcBorders>
              <w:right w:val="single" w:sz="4" w:space="0" w:color="auto"/>
            </w:tcBorders>
          </w:tcPr>
          <w:p w14:paraId="201A7F1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(0.0183)</w:t>
            </w:r>
          </w:p>
        </w:tc>
      </w:tr>
      <w:tr w:rsidR="00880312" w:rsidRPr="00880312" w14:paraId="103BB3C7" w14:textId="77777777" w:rsidTr="009E69CE">
        <w:trPr>
          <w:cantSplit/>
          <w:trHeight w:hRule="exact" w:val="194"/>
        </w:trPr>
        <w:tc>
          <w:tcPr>
            <w:tcW w:w="3765" w:type="dxa"/>
            <w:tcBorders>
              <w:left w:val="single" w:sz="4" w:space="0" w:color="auto"/>
            </w:tcBorders>
          </w:tcPr>
          <w:p w14:paraId="6D609281"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Indp_Director</w:t>
            </w:r>
          </w:p>
        </w:tc>
        <w:tc>
          <w:tcPr>
            <w:tcW w:w="1420" w:type="dxa"/>
          </w:tcPr>
          <w:p w14:paraId="2CE1631D"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0.0273</w:t>
            </w:r>
          </w:p>
        </w:tc>
        <w:tc>
          <w:tcPr>
            <w:tcW w:w="1420" w:type="dxa"/>
          </w:tcPr>
          <w:p w14:paraId="5DA419F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0.0358*</w:t>
            </w:r>
          </w:p>
        </w:tc>
        <w:tc>
          <w:tcPr>
            <w:tcW w:w="1612" w:type="dxa"/>
            <w:tcBorders>
              <w:right w:val="single" w:sz="4" w:space="0" w:color="auto"/>
            </w:tcBorders>
          </w:tcPr>
          <w:p w14:paraId="7B83F42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0.0324</w:t>
            </w:r>
          </w:p>
        </w:tc>
      </w:tr>
      <w:tr w:rsidR="00880312" w:rsidRPr="00880312" w14:paraId="612FE37D" w14:textId="77777777" w:rsidTr="009E69CE">
        <w:trPr>
          <w:cantSplit/>
          <w:trHeight w:hRule="exact" w:val="194"/>
        </w:trPr>
        <w:tc>
          <w:tcPr>
            <w:tcW w:w="3765" w:type="dxa"/>
            <w:tcBorders>
              <w:left w:val="single" w:sz="4" w:space="0" w:color="auto"/>
            </w:tcBorders>
          </w:tcPr>
          <w:p w14:paraId="5D6C80C7"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269547E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(0.0185)</w:t>
            </w:r>
          </w:p>
        </w:tc>
        <w:tc>
          <w:tcPr>
            <w:tcW w:w="1420" w:type="dxa"/>
          </w:tcPr>
          <w:p w14:paraId="47F5560B"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(0.0187)</w:t>
            </w:r>
          </w:p>
        </w:tc>
        <w:tc>
          <w:tcPr>
            <w:tcW w:w="1612" w:type="dxa"/>
            <w:tcBorders>
              <w:right w:val="single" w:sz="4" w:space="0" w:color="auto"/>
            </w:tcBorders>
          </w:tcPr>
          <w:p w14:paraId="29F2C302"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(0.0186)</w:t>
            </w:r>
          </w:p>
        </w:tc>
      </w:tr>
      <w:tr w:rsidR="00880312" w:rsidRPr="00880312" w14:paraId="538B3CCD" w14:textId="77777777" w:rsidTr="009E69CE">
        <w:trPr>
          <w:cantSplit/>
          <w:trHeight w:hRule="exact" w:val="194"/>
        </w:trPr>
        <w:tc>
          <w:tcPr>
            <w:tcW w:w="3765" w:type="dxa"/>
            <w:tcBorders>
              <w:left w:val="single" w:sz="4" w:space="0" w:color="auto"/>
            </w:tcBorders>
          </w:tcPr>
          <w:p w14:paraId="0537225B"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Board Size</w:t>
            </w:r>
          </w:p>
        </w:tc>
        <w:tc>
          <w:tcPr>
            <w:tcW w:w="1420" w:type="dxa"/>
          </w:tcPr>
          <w:p w14:paraId="2F2DBEC6"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-0.0523***</w:t>
            </w:r>
          </w:p>
        </w:tc>
        <w:tc>
          <w:tcPr>
            <w:tcW w:w="1420" w:type="dxa"/>
          </w:tcPr>
          <w:p w14:paraId="08FC70E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-0.0553***</w:t>
            </w:r>
          </w:p>
        </w:tc>
        <w:tc>
          <w:tcPr>
            <w:tcW w:w="1612" w:type="dxa"/>
            <w:tcBorders>
              <w:right w:val="single" w:sz="4" w:space="0" w:color="auto"/>
            </w:tcBorders>
          </w:tcPr>
          <w:p w14:paraId="5782E4A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-0.0542***</w:t>
            </w:r>
          </w:p>
        </w:tc>
      </w:tr>
      <w:tr w:rsidR="00880312" w:rsidRPr="00880312" w14:paraId="324DF02C" w14:textId="77777777" w:rsidTr="009E69CE">
        <w:trPr>
          <w:cantSplit/>
          <w:trHeight w:hRule="exact" w:val="194"/>
        </w:trPr>
        <w:tc>
          <w:tcPr>
            <w:tcW w:w="3765" w:type="dxa"/>
            <w:tcBorders>
              <w:left w:val="single" w:sz="4" w:space="0" w:color="auto"/>
            </w:tcBorders>
          </w:tcPr>
          <w:p w14:paraId="1FA865A8"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1A50A81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(0.0184)</w:t>
            </w:r>
          </w:p>
        </w:tc>
        <w:tc>
          <w:tcPr>
            <w:tcW w:w="1420" w:type="dxa"/>
          </w:tcPr>
          <w:p w14:paraId="234C32F9"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(0.0186)</w:t>
            </w:r>
          </w:p>
        </w:tc>
        <w:tc>
          <w:tcPr>
            <w:tcW w:w="1612" w:type="dxa"/>
            <w:tcBorders>
              <w:right w:val="single" w:sz="4" w:space="0" w:color="auto"/>
            </w:tcBorders>
          </w:tcPr>
          <w:p w14:paraId="3D4C4709"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(0.0183)</w:t>
            </w:r>
          </w:p>
        </w:tc>
      </w:tr>
      <w:tr w:rsidR="00880312" w:rsidRPr="00880312" w14:paraId="5D317217" w14:textId="77777777" w:rsidTr="009E69CE">
        <w:trPr>
          <w:cantSplit/>
          <w:trHeight w:hRule="exact" w:val="194"/>
        </w:trPr>
        <w:tc>
          <w:tcPr>
            <w:tcW w:w="3765" w:type="dxa"/>
            <w:tcBorders>
              <w:left w:val="single" w:sz="4" w:space="0" w:color="auto"/>
            </w:tcBorders>
          </w:tcPr>
          <w:p w14:paraId="7303A1E5"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Bank Size</w:t>
            </w:r>
          </w:p>
        </w:tc>
        <w:tc>
          <w:tcPr>
            <w:tcW w:w="1420" w:type="dxa"/>
          </w:tcPr>
          <w:p w14:paraId="6D66CD31"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0.8870***</w:t>
            </w:r>
          </w:p>
        </w:tc>
        <w:tc>
          <w:tcPr>
            <w:tcW w:w="1420" w:type="dxa"/>
          </w:tcPr>
          <w:p w14:paraId="1BDACC8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1.010***</w:t>
            </w:r>
          </w:p>
        </w:tc>
        <w:tc>
          <w:tcPr>
            <w:tcW w:w="1612" w:type="dxa"/>
            <w:tcBorders>
              <w:right w:val="single" w:sz="4" w:space="0" w:color="auto"/>
            </w:tcBorders>
          </w:tcPr>
          <w:p w14:paraId="33E46CD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0.9495***</w:t>
            </w:r>
          </w:p>
        </w:tc>
      </w:tr>
      <w:tr w:rsidR="00880312" w:rsidRPr="00880312" w14:paraId="364ADA42" w14:textId="77777777" w:rsidTr="009E69CE">
        <w:trPr>
          <w:cantSplit/>
          <w:trHeight w:hRule="exact" w:val="194"/>
        </w:trPr>
        <w:tc>
          <w:tcPr>
            <w:tcW w:w="3765" w:type="dxa"/>
            <w:tcBorders>
              <w:left w:val="single" w:sz="4" w:space="0" w:color="auto"/>
            </w:tcBorders>
          </w:tcPr>
          <w:p w14:paraId="4CF2B658"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164A2D95"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(0.0523)</w:t>
            </w:r>
          </w:p>
        </w:tc>
        <w:tc>
          <w:tcPr>
            <w:tcW w:w="1420" w:type="dxa"/>
          </w:tcPr>
          <w:p w14:paraId="36C357E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(0.0527)</w:t>
            </w:r>
          </w:p>
        </w:tc>
        <w:tc>
          <w:tcPr>
            <w:tcW w:w="1612" w:type="dxa"/>
            <w:tcBorders>
              <w:right w:val="single" w:sz="4" w:space="0" w:color="auto"/>
            </w:tcBorders>
          </w:tcPr>
          <w:p w14:paraId="7F107AFB"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(0.0535)</w:t>
            </w:r>
          </w:p>
        </w:tc>
      </w:tr>
      <w:tr w:rsidR="00880312" w:rsidRPr="00880312" w14:paraId="46CD6B69" w14:textId="77777777" w:rsidTr="009E69CE">
        <w:trPr>
          <w:cantSplit/>
          <w:trHeight w:hRule="exact" w:val="194"/>
        </w:trPr>
        <w:tc>
          <w:tcPr>
            <w:tcW w:w="3765" w:type="dxa"/>
            <w:tcBorders>
              <w:left w:val="single" w:sz="4" w:space="0" w:color="auto"/>
            </w:tcBorders>
          </w:tcPr>
          <w:p w14:paraId="70A3DF2E"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MVBV</w:t>
            </w:r>
          </w:p>
        </w:tc>
        <w:tc>
          <w:tcPr>
            <w:tcW w:w="1420" w:type="dxa"/>
          </w:tcPr>
          <w:p w14:paraId="59B5D34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-0.0349</w:t>
            </w:r>
          </w:p>
        </w:tc>
        <w:tc>
          <w:tcPr>
            <w:tcW w:w="1420" w:type="dxa"/>
          </w:tcPr>
          <w:p w14:paraId="2F78513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-0.0497</w:t>
            </w:r>
          </w:p>
        </w:tc>
        <w:tc>
          <w:tcPr>
            <w:tcW w:w="1612" w:type="dxa"/>
            <w:tcBorders>
              <w:right w:val="single" w:sz="4" w:space="0" w:color="auto"/>
            </w:tcBorders>
          </w:tcPr>
          <w:p w14:paraId="35D1A5AB"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-0.0318</w:t>
            </w:r>
          </w:p>
        </w:tc>
      </w:tr>
      <w:tr w:rsidR="00880312" w:rsidRPr="00880312" w14:paraId="1FAE3443" w14:textId="77777777" w:rsidTr="009E69CE">
        <w:trPr>
          <w:cantSplit/>
          <w:trHeight w:hRule="exact" w:val="194"/>
        </w:trPr>
        <w:tc>
          <w:tcPr>
            <w:tcW w:w="3765" w:type="dxa"/>
            <w:tcBorders>
              <w:left w:val="single" w:sz="4" w:space="0" w:color="auto"/>
            </w:tcBorders>
          </w:tcPr>
          <w:p w14:paraId="519E7043"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4645A15E"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(0.0467)</w:t>
            </w:r>
          </w:p>
        </w:tc>
        <w:tc>
          <w:tcPr>
            <w:tcW w:w="1420" w:type="dxa"/>
          </w:tcPr>
          <w:p w14:paraId="784C639E"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(0.0463)</w:t>
            </w:r>
          </w:p>
        </w:tc>
        <w:tc>
          <w:tcPr>
            <w:tcW w:w="1612" w:type="dxa"/>
            <w:tcBorders>
              <w:right w:val="single" w:sz="4" w:space="0" w:color="auto"/>
            </w:tcBorders>
          </w:tcPr>
          <w:p w14:paraId="2596A7C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(0.0463)</w:t>
            </w:r>
          </w:p>
        </w:tc>
      </w:tr>
      <w:tr w:rsidR="00880312" w:rsidRPr="00880312" w14:paraId="615C6E91" w14:textId="77777777" w:rsidTr="009E69CE">
        <w:trPr>
          <w:cantSplit/>
          <w:trHeight w:hRule="exact" w:val="194"/>
        </w:trPr>
        <w:tc>
          <w:tcPr>
            <w:tcW w:w="3765" w:type="dxa"/>
            <w:tcBorders>
              <w:left w:val="single" w:sz="4" w:space="0" w:color="auto"/>
            </w:tcBorders>
          </w:tcPr>
          <w:p w14:paraId="7917BB10"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Leverage Ratio</w:t>
            </w:r>
          </w:p>
        </w:tc>
        <w:tc>
          <w:tcPr>
            <w:tcW w:w="1420" w:type="dxa"/>
          </w:tcPr>
          <w:p w14:paraId="1E70550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0.0308</w:t>
            </w:r>
          </w:p>
        </w:tc>
        <w:tc>
          <w:tcPr>
            <w:tcW w:w="1420" w:type="dxa"/>
          </w:tcPr>
          <w:p w14:paraId="567A4C3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0.0113</w:t>
            </w:r>
          </w:p>
        </w:tc>
        <w:tc>
          <w:tcPr>
            <w:tcW w:w="1612" w:type="dxa"/>
            <w:tcBorders>
              <w:right w:val="single" w:sz="4" w:space="0" w:color="auto"/>
            </w:tcBorders>
          </w:tcPr>
          <w:p w14:paraId="2CCA20E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0.0460</w:t>
            </w:r>
          </w:p>
        </w:tc>
      </w:tr>
      <w:tr w:rsidR="00880312" w:rsidRPr="00880312" w14:paraId="2FDF48DD" w14:textId="77777777" w:rsidTr="009E69CE">
        <w:trPr>
          <w:cantSplit/>
          <w:trHeight w:hRule="exact" w:val="194"/>
        </w:trPr>
        <w:tc>
          <w:tcPr>
            <w:tcW w:w="3765" w:type="dxa"/>
            <w:tcBorders>
              <w:left w:val="single" w:sz="4" w:space="0" w:color="auto"/>
            </w:tcBorders>
          </w:tcPr>
          <w:p w14:paraId="320AA32B"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5D22711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(0.1118)</w:t>
            </w:r>
          </w:p>
        </w:tc>
        <w:tc>
          <w:tcPr>
            <w:tcW w:w="1420" w:type="dxa"/>
          </w:tcPr>
          <w:p w14:paraId="0D58D88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(0.1124)</w:t>
            </w:r>
          </w:p>
        </w:tc>
        <w:tc>
          <w:tcPr>
            <w:tcW w:w="1612" w:type="dxa"/>
            <w:tcBorders>
              <w:right w:val="single" w:sz="4" w:space="0" w:color="auto"/>
            </w:tcBorders>
          </w:tcPr>
          <w:p w14:paraId="247822E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(0.1111)</w:t>
            </w:r>
          </w:p>
        </w:tc>
      </w:tr>
      <w:tr w:rsidR="00880312" w:rsidRPr="00880312" w14:paraId="2FAAFF69" w14:textId="77777777" w:rsidTr="009E69CE">
        <w:trPr>
          <w:cantSplit/>
          <w:trHeight w:hRule="exact" w:val="194"/>
        </w:trPr>
        <w:tc>
          <w:tcPr>
            <w:tcW w:w="3765" w:type="dxa"/>
            <w:tcBorders>
              <w:left w:val="single" w:sz="4" w:space="0" w:color="auto"/>
            </w:tcBorders>
          </w:tcPr>
          <w:p w14:paraId="23FB1D6E"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ROA</w:t>
            </w:r>
          </w:p>
        </w:tc>
        <w:tc>
          <w:tcPr>
            <w:tcW w:w="1420" w:type="dxa"/>
          </w:tcPr>
          <w:p w14:paraId="73A4C1F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-0.2585***</w:t>
            </w:r>
          </w:p>
        </w:tc>
        <w:tc>
          <w:tcPr>
            <w:tcW w:w="1420" w:type="dxa"/>
          </w:tcPr>
          <w:p w14:paraId="12B181F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-0.2579***</w:t>
            </w:r>
          </w:p>
        </w:tc>
        <w:tc>
          <w:tcPr>
            <w:tcW w:w="1612" w:type="dxa"/>
            <w:tcBorders>
              <w:right w:val="single" w:sz="4" w:space="0" w:color="auto"/>
            </w:tcBorders>
          </w:tcPr>
          <w:p w14:paraId="3ED2950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-0.2533***</w:t>
            </w:r>
          </w:p>
        </w:tc>
      </w:tr>
      <w:tr w:rsidR="00880312" w:rsidRPr="00880312" w14:paraId="645C0357" w14:textId="77777777" w:rsidTr="009E69CE">
        <w:trPr>
          <w:cantSplit/>
          <w:trHeight w:hRule="exact" w:val="194"/>
        </w:trPr>
        <w:tc>
          <w:tcPr>
            <w:tcW w:w="3765" w:type="dxa"/>
            <w:tcBorders>
              <w:left w:val="single" w:sz="4" w:space="0" w:color="auto"/>
            </w:tcBorders>
          </w:tcPr>
          <w:p w14:paraId="4E1533E3"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1E74760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(0.0110)</w:t>
            </w:r>
          </w:p>
        </w:tc>
        <w:tc>
          <w:tcPr>
            <w:tcW w:w="1420" w:type="dxa"/>
          </w:tcPr>
          <w:p w14:paraId="74E0362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(0.0114)</w:t>
            </w:r>
          </w:p>
        </w:tc>
        <w:tc>
          <w:tcPr>
            <w:tcW w:w="1612" w:type="dxa"/>
            <w:tcBorders>
              <w:right w:val="single" w:sz="4" w:space="0" w:color="auto"/>
            </w:tcBorders>
          </w:tcPr>
          <w:p w14:paraId="588AEAB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(0.0110)</w:t>
            </w:r>
          </w:p>
        </w:tc>
      </w:tr>
      <w:tr w:rsidR="00880312" w:rsidRPr="00880312" w14:paraId="2DC27765" w14:textId="77777777" w:rsidTr="009E69CE">
        <w:trPr>
          <w:cantSplit/>
          <w:trHeight w:hRule="exact" w:val="194"/>
        </w:trPr>
        <w:tc>
          <w:tcPr>
            <w:tcW w:w="3765" w:type="dxa"/>
            <w:tcBorders>
              <w:left w:val="single" w:sz="4" w:space="0" w:color="auto"/>
            </w:tcBorders>
          </w:tcPr>
          <w:p w14:paraId="38F900AA"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CEO Compensation</w:t>
            </w:r>
          </w:p>
        </w:tc>
        <w:tc>
          <w:tcPr>
            <w:tcW w:w="1420" w:type="dxa"/>
          </w:tcPr>
          <w:p w14:paraId="439B4E5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0.0358***</w:t>
            </w:r>
          </w:p>
        </w:tc>
        <w:tc>
          <w:tcPr>
            <w:tcW w:w="1420" w:type="dxa"/>
          </w:tcPr>
          <w:p w14:paraId="3819AF4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0.0398***</w:t>
            </w:r>
          </w:p>
        </w:tc>
        <w:tc>
          <w:tcPr>
            <w:tcW w:w="1612" w:type="dxa"/>
            <w:tcBorders>
              <w:right w:val="single" w:sz="4" w:space="0" w:color="auto"/>
            </w:tcBorders>
          </w:tcPr>
          <w:p w14:paraId="4C6730A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0.0339***</w:t>
            </w:r>
          </w:p>
        </w:tc>
      </w:tr>
      <w:tr w:rsidR="00880312" w:rsidRPr="00880312" w14:paraId="6F0D99CC" w14:textId="77777777" w:rsidTr="009E69CE">
        <w:trPr>
          <w:cantSplit/>
          <w:trHeight w:hRule="exact" w:val="194"/>
        </w:trPr>
        <w:tc>
          <w:tcPr>
            <w:tcW w:w="3765" w:type="dxa"/>
            <w:tcBorders>
              <w:left w:val="single" w:sz="4" w:space="0" w:color="auto"/>
            </w:tcBorders>
          </w:tcPr>
          <w:p w14:paraId="186B39C8"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64946A32"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(0.0117)</w:t>
            </w:r>
          </w:p>
        </w:tc>
        <w:tc>
          <w:tcPr>
            <w:tcW w:w="1420" w:type="dxa"/>
          </w:tcPr>
          <w:p w14:paraId="2CBAF76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(0.0117)</w:t>
            </w:r>
          </w:p>
        </w:tc>
        <w:tc>
          <w:tcPr>
            <w:tcW w:w="1612" w:type="dxa"/>
            <w:tcBorders>
              <w:right w:val="single" w:sz="4" w:space="0" w:color="auto"/>
            </w:tcBorders>
          </w:tcPr>
          <w:p w14:paraId="1BB0F75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(0.0116)</w:t>
            </w:r>
          </w:p>
        </w:tc>
      </w:tr>
      <w:tr w:rsidR="00880312" w:rsidRPr="00880312" w14:paraId="3651923C" w14:textId="77777777" w:rsidTr="009E69CE">
        <w:trPr>
          <w:cantSplit/>
          <w:trHeight w:hRule="exact" w:val="194"/>
        </w:trPr>
        <w:tc>
          <w:tcPr>
            <w:tcW w:w="3765" w:type="dxa"/>
            <w:tcBorders>
              <w:left w:val="single" w:sz="4" w:space="0" w:color="auto"/>
            </w:tcBorders>
          </w:tcPr>
          <w:p w14:paraId="77D2151A"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Bank Capital</w:t>
            </w:r>
          </w:p>
        </w:tc>
        <w:tc>
          <w:tcPr>
            <w:tcW w:w="1420" w:type="dxa"/>
          </w:tcPr>
          <w:p w14:paraId="51807929"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0.2003***</w:t>
            </w:r>
          </w:p>
        </w:tc>
        <w:tc>
          <w:tcPr>
            <w:tcW w:w="1420" w:type="dxa"/>
          </w:tcPr>
          <w:p w14:paraId="48B4F75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0.2127***</w:t>
            </w:r>
          </w:p>
        </w:tc>
        <w:tc>
          <w:tcPr>
            <w:tcW w:w="1612" w:type="dxa"/>
            <w:tcBorders>
              <w:right w:val="single" w:sz="4" w:space="0" w:color="auto"/>
            </w:tcBorders>
          </w:tcPr>
          <w:p w14:paraId="61813EC2"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0.2025***</w:t>
            </w:r>
          </w:p>
        </w:tc>
      </w:tr>
      <w:tr w:rsidR="00880312" w:rsidRPr="00880312" w14:paraId="2338E5E6" w14:textId="77777777" w:rsidTr="009E69CE">
        <w:trPr>
          <w:cantSplit/>
          <w:trHeight w:hRule="exact" w:val="194"/>
        </w:trPr>
        <w:tc>
          <w:tcPr>
            <w:tcW w:w="3765" w:type="dxa"/>
            <w:tcBorders>
              <w:left w:val="single" w:sz="4" w:space="0" w:color="auto"/>
            </w:tcBorders>
          </w:tcPr>
          <w:p w14:paraId="7263E801"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7DC850E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(0.0187)</w:t>
            </w:r>
          </w:p>
        </w:tc>
        <w:tc>
          <w:tcPr>
            <w:tcW w:w="1420" w:type="dxa"/>
          </w:tcPr>
          <w:p w14:paraId="08D435A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(0.0187)</w:t>
            </w:r>
          </w:p>
        </w:tc>
        <w:tc>
          <w:tcPr>
            <w:tcW w:w="1612" w:type="dxa"/>
            <w:tcBorders>
              <w:right w:val="single" w:sz="4" w:space="0" w:color="auto"/>
            </w:tcBorders>
          </w:tcPr>
          <w:p w14:paraId="501A7CF7"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(0.0185)</w:t>
            </w:r>
          </w:p>
        </w:tc>
      </w:tr>
      <w:tr w:rsidR="00880312" w:rsidRPr="00880312" w14:paraId="3C3C9AC1" w14:textId="77777777" w:rsidTr="009E69CE">
        <w:trPr>
          <w:cantSplit/>
          <w:trHeight w:hRule="exact" w:val="194"/>
        </w:trPr>
        <w:tc>
          <w:tcPr>
            <w:tcW w:w="3765" w:type="dxa"/>
            <w:tcBorders>
              <w:left w:val="single" w:sz="4" w:space="0" w:color="auto"/>
            </w:tcBorders>
          </w:tcPr>
          <w:p w14:paraId="58D87E0C"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Constant</w:t>
            </w:r>
          </w:p>
        </w:tc>
        <w:tc>
          <w:tcPr>
            <w:tcW w:w="1420" w:type="dxa"/>
          </w:tcPr>
          <w:p w14:paraId="046875DE"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0.0467***</w:t>
            </w:r>
          </w:p>
        </w:tc>
        <w:tc>
          <w:tcPr>
            <w:tcW w:w="1420" w:type="dxa"/>
          </w:tcPr>
          <w:p w14:paraId="367E8184"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0.0577***</w:t>
            </w:r>
          </w:p>
        </w:tc>
        <w:tc>
          <w:tcPr>
            <w:tcW w:w="1612" w:type="dxa"/>
            <w:tcBorders>
              <w:right w:val="single" w:sz="4" w:space="0" w:color="auto"/>
            </w:tcBorders>
          </w:tcPr>
          <w:p w14:paraId="2E3B83D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0.0615***</w:t>
            </w:r>
          </w:p>
        </w:tc>
      </w:tr>
      <w:tr w:rsidR="00880312" w:rsidRPr="00880312" w14:paraId="4ED30E4F" w14:textId="77777777" w:rsidTr="009E69CE">
        <w:trPr>
          <w:cantSplit/>
          <w:trHeight w:hRule="exact" w:val="194"/>
        </w:trPr>
        <w:tc>
          <w:tcPr>
            <w:tcW w:w="3765" w:type="dxa"/>
            <w:tcBorders>
              <w:left w:val="single" w:sz="4" w:space="0" w:color="auto"/>
            </w:tcBorders>
          </w:tcPr>
          <w:p w14:paraId="7C09AFEE"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p>
        </w:tc>
        <w:tc>
          <w:tcPr>
            <w:tcW w:w="1420" w:type="dxa"/>
          </w:tcPr>
          <w:p w14:paraId="1AAF4B27"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(0.0201)</w:t>
            </w:r>
          </w:p>
        </w:tc>
        <w:tc>
          <w:tcPr>
            <w:tcW w:w="1420" w:type="dxa"/>
          </w:tcPr>
          <w:p w14:paraId="51E2DD3A"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(0.0201)</w:t>
            </w:r>
          </w:p>
        </w:tc>
        <w:tc>
          <w:tcPr>
            <w:tcW w:w="1612" w:type="dxa"/>
            <w:tcBorders>
              <w:right w:val="single" w:sz="4" w:space="0" w:color="auto"/>
            </w:tcBorders>
          </w:tcPr>
          <w:p w14:paraId="074DCD8B"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(0.0201)</w:t>
            </w:r>
          </w:p>
        </w:tc>
      </w:tr>
      <w:tr w:rsidR="00880312" w:rsidRPr="00880312" w14:paraId="1EB0E935" w14:textId="77777777" w:rsidTr="009E69CE">
        <w:trPr>
          <w:cantSplit/>
          <w:trHeight w:hRule="exact" w:val="194"/>
        </w:trPr>
        <w:tc>
          <w:tcPr>
            <w:tcW w:w="3765" w:type="dxa"/>
            <w:tcBorders>
              <w:left w:val="single" w:sz="4" w:space="0" w:color="auto"/>
            </w:tcBorders>
          </w:tcPr>
          <w:p w14:paraId="5105EC00"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Observations</w:t>
            </w:r>
          </w:p>
        </w:tc>
        <w:tc>
          <w:tcPr>
            <w:tcW w:w="1420" w:type="dxa"/>
          </w:tcPr>
          <w:p w14:paraId="6B3B9EE7"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1,615</w:t>
            </w:r>
          </w:p>
        </w:tc>
        <w:tc>
          <w:tcPr>
            <w:tcW w:w="1420" w:type="dxa"/>
          </w:tcPr>
          <w:p w14:paraId="694BFB2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1,615</w:t>
            </w:r>
          </w:p>
        </w:tc>
        <w:tc>
          <w:tcPr>
            <w:tcW w:w="1612" w:type="dxa"/>
            <w:tcBorders>
              <w:right w:val="single" w:sz="4" w:space="0" w:color="auto"/>
            </w:tcBorders>
          </w:tcPr>
          <w:p w14:paraId="22EDFA88"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1,615</w:t>
            </w:r>
          </w:p>
        </w:tc>
      </w:tr>
      <w:tr w:rsidR="00880312" w:rsidRPr="00880312" w14:paraId="44ADC67B" w14:textId="77777777" w:rsidTr="009E69CE">
        <w:trPr>
          <w:cantSplit/>
          <w:trHeight w:hRule="exact" w:val="194"/>
        </w:trPr>
        <w:tc>
          <w:tcPr>
            <w:tcW w:w="3765" w:type="dxa"/>
            <w:tcBorders>
              <w:left w:val="single" w:sz="4" w:space="0" w:color="auto"/>
            </w:tcBorders>
          </w:tcPr>
          <w:p w14:paraId="03EF59C5"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R-squared</w:t>
            </w:r>
          </w:p>
        </w:tc>
        <w:tc>
          <w:tcPr>
            <w:tcW w:w="1420" w:type="dxa"/>
          </w:tcPr>
          <w:p w14:paraId="105380EF"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0.474</w:t>
            </w:r>
          </w:p>
        </w:tc>
        <w:tc>
          <w:tcPr>
            <w:tcW w:w="1420" w:type="dxa"/>
          </w:tcPr>
          <w:p w14:paraId="6E86044C"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0.480</w:t>
            </w:r>
          </w:p>
        </w:tc>
        <w:tc>
          <w:tcPr>
            <w:tcW w:w="1612" w:type="dxa"/>
            <w:tcBorders>
              <w:right w:val="single" w:sz="4" w:space="0" w:color="auto"/>
            </w:tcBorders>
          </w:tcPr>
          <w:p w14:paraId="265FCFA5"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0.484</w:t>
            </w:r>
          </w:p>
        </w:tc>
      </w:tr>
      <w:tr w:rsidR="00880312" w:rsidRPr="00880312" w14:paraId="528ED089" w14:textId="77777777" w:rsidTr="009E69CE">
        <w:trPr>
          <w:cantSplit/>
          <w:trHeight w:hRule="exact" w:val="194"/>
        </w:trPr>
        <w:tc>
          <w:tcPr>
            <w:tcW w:w="3765" w:type="dxa"/>
            <w:tcBorders>
              <w:left w:val="single" w:sz="4" w:space="0" w:color="auto"/>
              <w:bottom w:val="single" w:sz="4" w:space="0" w:color="auto"/>
            </w:tcBorders>
          </w:tcPr>
          <w:p w14:paraId="59A438D8" w14:textId="5367A08A" w:rsidR="00880312" w:rsidRPr="00880312" w:rsidRDefault="00E30E2D"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Pr>
                <w:rFonts w:ascii="Times New Roman" w:eastAsia="DengXian" w:hAnsi="Times New Roman" w:cs="Times New Roman"/>
                <w:color w:val="000000"/>
                <w:sz w:val="20"/>
                <w:szCs w:val="20"/>
                <w:lang w:eastAsia="en-GB"/>
              </w:rPr>
              <w:t xml:space="preserve">Bank &amp; </w:t>
            </w:r>
            <w:r w:rsidR="00880312" w:rsidRPr="00880312">
              <w:rPr>
                <w:rFonts w:ascii="Times New Roman" w:eastAsia="DengXian" w:hAnsi="Times New Roman" w:cs="Times New Roman"/>
                <w:color w:val="000000"/>
                <w:sz w:val="20"/>
                <w:szCs w:val="20"/>
                <w:lang w:eastAsia="en-GB"/>
              </w:rPr>
              <w:t>Year F.E.</w:t>
            </w:r>
          </w:p>
        </w:tc>
        <w:tc>
          <w:tcPr>
            <w:tcW w:w="1420" w:type="dxa"/>
            <w:tcBorders>
              <w:bottom w:val="single" w:sz="4" w:space="0" w:color="auto"/>
            </w:tcBorders>
          </w:tcPr>
          <w:p w14:paraId="0C25A059" w14:textId="77777777" w:rsidR="00880312" w:rsidRPr="00880312" w:rsidRDefault="00880312" w:rsidP="00880312">
            <w:pPr>
              <w:widowControl w:val="0"/>
              <w:autoSpaceDE w:val="0"/>
              <w:autoSpaceDN w:val="0"/>
              <w:adjustRightInd w:val="0"/>
              <w:spacing w:after="0" w:line="240" w:lineRule="auto"/>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 xml:space="preserve">     Yes</w:t>
            </w:r>
          </w:p>
        </w:tc>
        <w:tc>
          <w:tcPr>
            <w:tcW w:w="1420" w:type="dxa"/>
            <w:tcBorders>
              <w:bottom w:val="single" w:sz="4" w:space="0" w:color="auto"/>
            </w:tcBorders>
          </w:tcPr>
          <w:p w14:paraId="1A851CB3"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Yes</w:t>
            </w:r>
          </w:p>
        </w:tc>
        <w:tc>
          <w:tcPr>
            <w:tcW w:w="1612" w:type="dxa"/>
            <w:tcBorders>
              <w:bottom w:val="single" w:sz="4" w:space="0" w:color="auto"/>
              <w:right w:val="single" w:sz="4" w:space="0" w:color="auto"/>
            </w:tcBorders>
          </w:tcPr>
          <w:p w14:paraId="7FAAB280" w14:textId="77777777" w:rsidR="00880312" w:rsidRPr="00880312" w:rsidRDefault="00880312" w:rsidP="00880312">
            <w:pPr>
              <w:widowControl w:val="0"/>
              <w:autoSpaceDE w:val="0"/>
              <w:autoSpaceDN w:val="0"/>
              <w:adjustRightInd w:val="0"/>
              <w:spacing w:after="0" w:line="240" w:lineRule="auto"/>
              <w:jc w:val="center"/>
              <w:rPr>
                <w:rFonts w:ascii="Times New Roman" w:eastAsia="DengXian" w:hAnsi="Times New Roman" w:cs="Times New Roman"/>
                <w:color w:val="000000"/>
                <w:sz w:val="20"/>
                <w:szCs w:val="20"/>
                <w:lang w:eastAsia="en-GB"/>
              </w:rPr>
            </w:pPr>
            <w:r w:rsidRPr="00880312">
              <w:rPr>
                <w:rFonts w:ascii="Times New Roman" w:eastAsia="DengXian" w:hAnsi="Times New Roman" w:cs="Times New Roman"/>
                <w:color w:val="000000"/>
                <w:sz w:val="20"/>
                <w:szCs w:val="20"/>
                <w:lang w:eastAsia="en-GB"/>
              </w:rPr>
              <w:t>Yes</w:t>
            </w:r>
          </w:p>
        </w:tc>
      </w:tr>
    </w:tbl>
    <w:p w14:paraId="0164B1BF" w14:textId="77777777" w:rsidR="00DE7639" w:rsidRDefault="00DE7639" w:rsidP="000A3F4A">
      <w:pPr>
        <w:rPr>
          <w:rFonts w:ascii="Times New Roman" w:eastAsia="Times New Roman" w:hAnsi="Times New Roman" w:cs="Times New Roman"/>
          <w:b/>
          <w:bCs/>
          <w:color w:val="000000"/>
          <w:sz w:val="28"/>
          <w:szCs w:val="28"/>
          <w:lang w:eastAsia="en-GB"/>
        </w:rPr>
      </w:pPr>
    </w:p>
    <w:p w14:paraId="2175C459" w14:textId="4217D46B" w:rsidR="00DE7639" w:rsidRPr="00E30E2D" w:rsidRDefault="00DE7639" w:rsidP="00DE7639">
      <w:pPr>
        <w:pStyle w:val="Caption"/>
        <w:keepNext/>
        <w:rPr>
          <w:rFonts w:ascii="Times New Roman" w:hAnsi="Times New Roman" w:cs="Times New Roman"/>
          <w:b/>
          <w:bCs/>
          <w:i w:val="0"/>
          <w:iCs w:val="0"/>
          <w:color w:val="auto"/>
          <w:sz w:val="28"/>
          <w:szCs w:val="28"/>
        </w:rPr>
      </w:pPr>
      <w:bookmarkStart w:id="135" w:name="_Toc132386110"/>
      <w:bookmarkStart w:id="136" w:name="_Toc132437302"/>
      <w:r w:rsidRPr="00E30E2D">
        <w:rPr>
          <w:rFonts w:ascii="Times New Roman" w:hAnsi="Times New Roman" w:cs="Times New Roman"/>
          <w:b/>
          <w:bCs/>
          <w:i w:val="0"/>
          <w:iCs w:val="0"/>
          <w:color w:val="auto"/>
          <w:sz w:val="28"/>
          <w:szCs w:val="28"/>
        </w:rPr>
        <w:t>Table4.</w:t>
      </w:r>
      <w:r w:rsidR="00221C3A">
        <w:rPr>
          <w:rFonts w:ascii="Times New Roman" w:hAnsi="Times New Roman" w:cs="Times New Roman"/>
          <w:b/>
          <w:bCs/>
          <w:i w:val="0"/>
          <w:iCs w:val="0"/>
          <w:color w:val="auto"/>
          <w:sz w:val="28"/>
          <w:szCs w:val="28"/>
        </w:rPr>
        <w:t>9</w:t>
      </w:r>
      <w:r w:rsidRPr="00E30E2D">
        <w:rPr>
          <w:rFonts w:ascii="Times New Roman" w:hAnsi="Times New Roman" w:cs="Times New Roman"/>
          <w:b/>
          <w:bCs/>
          <w:i w:val="0"/>
          <w:iCs w:val="0"/>
          <w:color w:val="auto"/>
          <w:sz w:val="28"/>
          <w:szCs w:val="28"/>
        </w:rPr>
        <w:t>. Robustness Check</w:t>
      </w:r>
      <w:bookmarkEnd w:id="135"/>
      <w:bookmarkEnd w:id="136"/>
    </w:p>
    <w:p w14:paraId="5FFF5FD8" w14:textId="16E9AE78" w:rsidR="00DE7639" w:rsidRPr="00880312" w:rsidRDefault="00DE7639" w:rsidP="00DE7639">
      <w:pPr>
        <w:widowControl w:val="0"/>
        <w:autoSpaceDE w:val="0"/>
        <w:autoSpaceDN w:val="0"/>
        <w:adjustRightInd w:val="0"/>
        <w:spacing w:after="0" w:line="240" w:lineRule="auto"/>
        <w:jc w:val="both"/>
        <w:rPr>
          <w:rFonts w:ascii="Times New Roman" w:eastAsia="Times New Roman" w:hAnsi="Times New Roman" w:cs="Times New Roman"/>
          <w:color w:val="000000"/>
          <w:lang w:eastAsia="en-GB"/>
        </w:rPr>
      </w:pPr>
      <w:r w:rsidRPr="00880312">
        <w:rPr>
          <w:rFonts w:ascii="Times New Roman" w:eastAsia="Times New Roman" w:hAnsi="Times New Roman" w:cs="Times New Roman"/>
          <w:color w:val="000000"/>
          <w:lang w:eastAsia="en-GB"/>
        </w:rPr>
        <w:t xml:space="preserve">This table reports the </w:t>
      </w:r>
      <w:r>
        <w:rPr>
          <w:rFonts w:ascii="Times New Roman" w:eastAsia="Times New Roman" w:hAnsi="Times New Roman" w:cs="Times New Roman"/>
          <w:color w:val="000000"/>
          <w:lang w:eastAsia="en-GB"/>
        </w:rPr>
        <w:t xml:space="preserve">robustness </w:t>
      </w:r>
      <w:r w:rsidRPr="00880312">
        <w:rPr>
          <w:rFonts w:ascii="Times New Roman" w:eastAsia="Times New Roman" w:hAnsi="Times New Roman" w:cs="Times New Roman"/>
          <w:color w:val="000000"/>
          <w:lang w:eastAsia="en-GB"/>
        </w:rPr>
        <w:t xml:space="preserve">results of our </w:t>
      </w:r>
      <w:r>
        <w:rPr>
          <w:rFonts w:ascii="Times New Roman" w:eastAsia="Times New Roman" w:hAnsi="Times New Roman" w:cs="Times New Roman"/>
          <w:color w:val="000000"/>
          <w:lang w:eastAsia="en-GB"/>
        </w:rPr>
        <w:t>baseline model (equation1)</w:t>
      </w:r>
      <w:r w:rsidRPr="00880312">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Column </w:t>
      </w:r>
      <w:r w:rsidRPr="00880312">
        <w:rPr>
          <w:rFonts w:ascii="Times New Roman" w:eastAsia="Times New Roman" w:hAnsi="Times New Roman" w:cs="Times New Roman"/>
          <w:color w:val="000000"/>
          <w:lang w:eastAsia="en-GB"/>
        </w:rPr>
        <w:t xml:space="preserve">(1 &amp;2) shows our result for an alternative measure of risk. The dependent variable is Aggregate Risk (SD of ROA) and Residual Risk (Annualized standard deviation from the market model regression residuals that estimate beta. i.e </w:t>
      </w:r>
      <w:r w:rsidRPr="00C10661">
        <w:rPr>
          <w:rFonts w:ascii="Times New Roman" w:eastAsia="Times New Roman" w:hAnsi="Times New Roman" w:cs="Times New Roman"/>
          <w:color w:val="000000"/>
          <w:lang w:eastAsia="en-GB"/>
        </w:rPr>
        <w:t xml:space="preserve">Ri,t = </w:t>
      </w:r>
      <w:r w:rsidRPr="00880312">
        <w:rPr>
          <w:rFonts w:ascii="Times New Roman" w:eastAsia="Times New Roman" w:hAnsi="Times New Roman" w:cs="Times New Roman"/>
          <w:color w:val="000000"/>
          <w:lang w:eastAsia="en-GB"/>
        </w:rPr>
        <w:t>β</w:t>
      </w:r>
      <w:r w:rsidRPr="00C10661">
        <w:rPr>
          <w:rFonts w:ascii="Times New Roman" w:eastAsia="Times New Roman" w:hAnsi="Times New Roman" w:cs="Times New Roman"/>
          <w:color w:val="000000"/>
          <w:lang w:eastAsia="en-GB"/>
        </w:rPr>
        <w:t>1+</w:t>
      </w:r>
      <w:r w:rsidRPr="00880312">
        <w:rPr>
          <w:rFonts w:ascii="Times New Roman" w:eastAsia="Times New Roman" w:hAnsi="Times New Roman" w:cs="Times New Roman"/>
          <w:color w:val="000000"/>
          <w:lang w:eastAsia="en-GB"/>
        </w:rPr>
        <w:t>β</w:t>
      </w:r>
      <w:r w:rsidRPr="00C10661">
        <w:rPr>
          <w:rFonts w:ascii="Times New Roman" w:eastAsia="Times New Roman" w:hAnsi="Times New Roman" w:cs="Times New Roman"/>
          <w:color w:val="000000"/>
          <w:lang w:eastAsia="en-GB"/>
        </w:rPr>
        <w:t>2Rm,t+</w:t>
      </w:r>
      <w:r w:rsidRPr="00880312">
        <w:rPr>
          <w:rFonts w:ascii="Times New Roman" w:eastAsia="Times New Roman" w:hAnsi="Times New Roman" w:cs="Times New Roman"/>
          <w:color w:val="000000"/>
          <w:lang w:eastAsia="en-GB"/>
        </w:rPr>
        <w:t>β</w:t>
      </w:r>
      <w:r w:rsidRPr="00C10661">
        <w:rPr>
          <w:rFonts w:ascii="Times New Roman" w:eastAsia="Times New Roman" w:hAnsi="Times New Roman" w:cs="Times New Roman"/>
          <w:color w:val="000000"/>
          <w:lang w:eastAsia="en-GB"/>
        </w:rPr>
        <w:t>3Rb,t+</w:t>
      </w:r>
      <w:r w:rsidRPr="00880312">
        <w:rPr>
          <w:rFonts w:ascii="Times New Roman" w:eastAsia="Times New Roman" w:hAnsi="Times New Roman" w:cs="Times New Roman"/>
          <w:color w:val="000000"/>
          <w:lang w:eastAsia="en-GB"/>
        </w:rPr>
        <w:t>ε</w:t>
      </w:r>
      <w:r w:rsidRPr="00C10661">
        <w:rPr>
          <w:rFonts w:ascii="Times New Roman" w:eastAsia="Times New Roman" w:hAnsi="Times New Roman" w:cs="Times New Roman"/>
          <w:color w:val="000000"/>
          <w:lang w:eastAsia="en-GB"/>
        </w:rPr>
        <w:t>j,t)</w:t>
      </w:r>
      <w:r w:rsidRPr="00880312">
        <w:rPr>
          <w:rFonts w:ascii="Times New Roman" w:eastAsia="Times New Roman" w:hAnsi="Times New Roman" w:cs="Times New Roman"/>
          <w:color w:val="000000"/>
          <w:lang w:eastAsia="en-GB"/>
        </w:rPr>
        <w:t xml:space="preserve">. The rest of the model is our baseline regression model. In </w:t>
      </w:r>
      <w:r>
        <w:rPr>
          <w:rFonts w:ascii="Times New Roman" w:eastAsia="Times New Roman" w:hAnsi="Times New Roman" w:cs="Times New Roman"/>
          <w:color w:val="000000"/>
          <w:lang w:eastAsia="en-GB"/>
        </w:rPr>
        <w:t>Column</w:t>
      </w:r>
      <w:r w:rsidRPr="00880312">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3</w:t>
      </w:r>
      <w:r w:rsidRPr="00880312">
        <w:rPr>
          <w:rFonts w:ascii="Times New Roman" w:eastAsia="Times New Roman" w:hAnsi="Times New Roman" w:cs="Times New Roman"/>
          <w:color w:val="000000"/>
          <w:lang w:eastAsia="en-GB"/>
        </w:rPr>
        <w:t xml:space="preserve">), we use an alternative way of calculating Risk culture (while other things remain the same as the baseline model).In </w:t>
      </w:r>
      <w:r>
        <w:rPr>
          <w:rFonts w:ascii="Times New Roman" w:eastAsia="Times New Roman" w:hAnsi="Times New Roman" w:cs="Times New Roman"/>
          <w:color w:val="000000"/>
          <w:lang w:eastAsia="en-GB"/>
        </w:rPr>
        <w:t xml:space="preserve">Column </w:t>
      </w:r>
      <w:r w:rsidRPr="00880312">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4</w:t>
      </w:r>
      <w:r w:rsidRPr="00880312">
        <w:rPr>
          <w:rFonts w:ascii="Times New Roman" w:eastAsia="Times New Roman" w:hAnsi="Times New Roman" w:cs="Times New Roman"/>
          <w:color w:val="000000"/>
          <w:lang w:eastAsia="en-GB"/>
        </w:rPr>
        <w:t xml:space="preserve">), we estimate our baseline model excluding the banks in the top quartile. In </w:t>
      </w:r>
      <w:r>
        <w:rPr>
          <w:rFonts w:ascii="Times New Roman" w:eastAsia="Times New Roman" w:hAnsi="Times New Roman" w:cs="Times New Roman"/>
          <w:color w:val="000000"/>
          <w:lang w:eastAsia="en-GB"/>
        </w:rPr>
        <w:t xml:space="preserve">Column </w:t>
      </w:r>
      <w:r w:rsidRPr="00880312">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5</w:t>
      </w:r>
      <w:r w:rsidRPr="00880312">
        <w:rPr>
          <w:rFonts w:ascii="Times New Roman" w:eastAsia="Times New Roman" w:hAnsi="Times New Roman" w:cs="Times New Roman"/>
          <w:color w:val="000000"/>
          <w:lang w:eastAsia="en-GB"/>
        </w:rPr>
        <w:t>), we run our baseline model with one year lag for independent and control variables. All regressions are estimated using panel regression with year and bank-fixed effects. The figures in parentheses are T-statistics. The symbols *, **, and *** indicate significance levels at 10%, 5% and 1%</w:t>
      </w:r>
      <w:r>
        <w:rPr>
          <w:rFonts w:ascii="Times New Roman" w:eastAsia="Times New Roman" w:hAnsi="Times New Roman" w:cs="Times New Roman"/>
          <w:color w:val="000000"/>
          <w:lang w:eastAsia="en-GB"/>
        </w:rPr>
        <w:t>,</w:t>
      </w:r>
      <w:r w:rsidRPr="00880312">
        <w:rPr>
          <w:rFonts w:ascii="Times New Roman" w:eastAsia="Times New Roman" w:hAnsi="Times New Roman" w:cs="Times New Roman"/>
          <w:color w:val="000000"/>
          <w:lang w:eastAsia="en-GB"/>
        </w:rPr>
        <w:t xml:space="preserve"> respectively.</w:t>
      </w:r>
    </w:p>
    <w:p w14:paraId="3F981734" w14:textId="77777777" w:rsidR="00DE7639" w:rsidRPr="00DE7639" w:rsidRDefault="00DE7639" w:rsidP="00DE7639"/>
    <w:tbl>
      <w:tblPr>
        <w:tblW w:w="9497" w:type="dxa"/>
        <w:jc w:val="center"/>
        <w:tblLayout w:type="fixed"/>
        <w:tblCellMar>
          <w:left w:w="75" w:type="dxa"/>
          <w:right w:w="75" w:type="dxa"/>
        </w:tblCellMar>
        <w:tblLook w:val="0000" w:firstRow="0" w:lastRow="0" w:firstColumn="0" w:lastColumn="0" w:noHBand="0" w:noVBand="0"/>
      </w:tblPr>
      <w:tblGrid>
        <w:gridCol w:w="1712"/>
        <w:gridCol w:w="1123"/>
        <w:gridCol w:w="1701"/>
        <w:gridCol w:w="1701"/>
        <w:gridCol w:w="1275"/>
        <w:gridCol w:w="1985"/>
      </w:tblGrid>
      <w:tr w:rsidR="000A3F4A" w:rsidRPr="00880312" w14:paraId="36FD0928" w14:textId="77777777" w:rsidTr="00C10661">
        <w:trPr>
          <w:cantSplit/>
          <w:trHeight w:hRule="exact" w:val="209"/>
          <w:jc w:val="center"/>
        </w:trPr>
        <w:tc>
          <w:tcPr>
            <w:tcW w:w="1712" w:type="dxa"/>
            <w:tcBorders>
              <w:top w:val="single" w:sz="4" w:space="0" w:color="auto"/>
              <w:left w:val="single" w:sz="4" w:space="0" w:color="auto"/>
              <w:bottom w:val="single" w:sz="4" w:space="0" w:color="auto"/>
            </w:tcBorders>
          </w:tcPr>
          <w:p w14:paraId="0872D7A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Borders>
              <w:top w:val="single" w:sz="4" w:space="0" w:color="auto"/>
              <w:bottom w:val="single" w:sz="4" w:space="0" w:color="auto"/>
            </w:tcBorders>
          </w:tcPr>
          <w:p w14:paraId="38C8394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w:t>
            </w:r>
          </w:p>
        </w:tc>
        <w:tc>
          <w:tcPr>
            <w:tcW w:w="1701" w:type="dxa"/>
            <w:tcBorders>
              <w:top w:val="single" w:sz="4" w:space="0" w:color="auto"/>
              <w:bottom w:val="single" w:sz="4" w:space="0" w:color="auto"/>
            </w:tcBorders>
          </w:tcPr>
          <w:p w14:paraId="7449115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(2)</w:t>
            </w:r>
          </w:p>
        </w:tc>
        <w:tc>
          <w:tcPr>
            <w:tcW w:w="1701" w:type="dxa"/>
            <w:tcBorders>
              <w:top w:val="single" w:sz="4" w:space="0" w:color="auto"/>
              <w:bottom w:val="single" w:sz="4" w:space="0" w:color="auto"/>
            </w:tcBorders>
          </w:tcPr>
          <w:p w14:paraId="322AD5D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(3)</w:t>
            </w:r>
          </w:p>
        </w:tc>
        <w:tc>
          <w:tcPr>
            <w:tcW w:w="1275" w:type="dxa"/>
            <w:tcBorders>
              <w:top w:val="single" w:sz="4" w:space="0" w:color="auto"/>
              <w:bottom w:val="single" w:sz="4" w:space="0" w:color="auto"/>
            </w:tcBorders>
          </w:tcPr>
          <w:p w14:paraId="305ADC4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(4)</w:t>
            </w:r>
          </w:p>
        </w:tc>
        <w:tc>
          <w:tcPr>
            <w:tcW w:w="1985" w:type="dxa"/>
            <w:tcBorders>
              <w:top w:val="single" w:sz="4" w:space="0" w:color="auto"/>
              <w:bottom w:val="single" w:sz="4" w:space="0" w:color="auto"/>
              <w:right w:val="single" w:sz="4" w:space="0" w:color="auto"/>
            </w:tcBorders>
          </w:tcPr>
          <w:p w14:paraId="28C209C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(5)</w:t>
            </w:r>
          </w:p>
        </w:tc>
      </w:tr>
      <w:tr w:rsidR="000A3F4A" w:rsidRPr="00880312" w14:paraId="77A0E901" w14:textId="77777777" w:rsidTr="00E30E2D">
        <w:trPr>
          <w:cantSplit/>
          <w:trHeight w:hRule="exact" w:val="1039"/>
          <w:jc w:val="center"/>
        </w:trPr>
        <w:tc>
          <w:tcPr>
            <w:tcW w:w="1712" w:type="dxa"/>
            <w:tcBorders>
              <w:top w:val="single" w:sz="4" w:space="0" w:color="auto"/>
              <w:left w:val="single" w:sz="4" w:space="0" w:color="auto"/>
              <w:bottom w:val="single" w:sz="4" w:space="0" w:color="auto"/>
            </w:tcBorders>
          </w:tcPr>
          <w:p w14:paraId="2455076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VARIABLES</w:t>
            </w:r>
          </w:p>
        </w:tc>
        <w:tc>
          <w:tcPr>
            <w:tcW w:w="1123" w:type="dxa"/>
            <w:tcBorders>
              <w:top w:val="single" w:sz="4" w:space="0" w:color="auto"/>
              <w:bottom w:val="single" w:sz="4" w:space="0" w:color="auto"/>
            </w:tcBorders>
          </w:tcPr>
          <w:p w14:paraId="6D0A5D1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Aggregate Risk</w:t>
            </w:r>
          </w:p>
        </w:tc>
        <w:tc>
          <w:tcPr>
            <w:tcW w:w="1701" w:type="dxa"/>
            <w:tcBorders>
              <w:top w:val="single" w:sz="4" w:space="0" w:color="auto"/>
              <w:bottom w:val="single" w:sz="4" w:space="0" w:color="auto"/>
            </w:tcBorders>
          </w:tcPr>
          <w:p w14:paraId="41A18D8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Residual Risk</w:t>
            </w:r>
          </w:p>
        </w:tc>
        <w:tc>
          <w:tcPr>
            <w:tcW w:w="1701" w:type="dxa"/>
            <w:tcBorders>
              <w:top w:val="single" w:sz="4" w:space="0" w:color="auto"/>
              <w:bottom w:val="single" w:sz="4" w:space="0" w:color="auto"/>
            </w:tcBorders>
          </w:tcPr>
          <w:p w14:paraId="6DBE3B0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 (Alternative proxy for risk culture)</w:t>
            </w:r>
          </w:p>
        </w:tc>
        <w:tc>
          <w:tcPr>
            <w:tcW w:w="1275" w:type="dxa"/>
            <w:tcBorders>
              <w:top w:val="single" w:sz="4" w:space="0" w:color="auto"/>
              <w:bottom w:val="single" w:sz="4" w:space="0" w:color="auto"/>
            </w:tcBorders>
          </w:tcPr>
          <w:p w14:paraId="35EC032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 (Bank Size Effect)</w:t>
            </w:r>
          </w:p>
        </w:tc>
        <w:tc>
          <w:tcPr>
            <w:tcW w:w="1985" w:type="dxa"/>
            <w:tcBorders>
              <w:top w:val="single" w:sz="4" w:space="0" w:color="auto"/>
              <w:bottom w:val="single" w:sz="4" w:space="0" w:color="auto"/>
              <w:right w:val="single" w:sz="4" w:space="0" w:color="auto"/>
            </w:tcBorders>
          </w:tcPr>
          <w:p w14:paraId="3A41568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b/>
                <w:bCs/>
                <w:color w:val="000000"/>
                <w:sz w:val="20"/>
                <w:szCs w:val="20"/>
                <w:lang w:eastAsia="en-GB"/>
              </w:rPr>
              <w:t>Credit Risk (lag variables)</w:t>
            </w:r>
          </w:p>
        </w:tc>
      </w:tr>
      <w:tr w:rsidR="000A3F4A" w:rsidRPr="00880312" w14:paraId="62A2338F" w14:textId="77777777" w:rsidTr="00C10661">
        <w:trPr>
          <w:cantSplit/>
          <w:trHeight w:hRule="exact" w:val="596"/>
          <w:jc w:val="center"/>
        </w:trPr>
        <w:tc>
          <w:tcPr>
            <w:tcW w:w="1712" w:type="dxa"/>
            <w:tcBorders>
              <w:top w:val="single" w:sz="4" w:space="0" w:color="auto"/>
              <w:left w:val="single" w:sz="4" w:space="0" w:color="auto"/>
            </w:tcBorders>
          </w:tcPr>
          <w:p w14:paraId="7317D08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color w:val="000000"/>
                <w:sz w:val="20"/>
                <w:szCs w:val="20"/>
                <w:lang w:eastAsia="en-GB"/>
              </w:rPr>
              <w:t>Female Board * Risk Culture</w:t>
            </w:r>
          </w:p>
        </w:tc>
        <w:tc>
          <w:tcPr>
            <w:tcW w:w="1123" w:type="dxa"/>
            <w:tcBorders>
              <w:top w:val="single" w:sz="4" w:space="0" w:color="auto"/>
            </w:tcBorders>
          </w:tcPr>
          <w:p w14:paraId="73A702E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-0.0693**</w:t>
            </w:r>
          </w:p>
          <w:p w14:paraId="69269B7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color w:val="000000"/>
                <w:sz w:val="20"/>
                <w:szCs w:val="20"/>
                <w:lang w:eastAsia="en-GB"/>
              </w:rPr>
              <w:t>(0.0295)</w:t>
            </w:r>
          </w:p>
        </w:tc>
        <w:tc>
          <w:tcPr>
            <w:tcW w:w="1701" w:type="dxa"/>
            <w:tcBorders>
              <w:top w:val="single" w:sz="4" w:space="0" w:color="auto"/>
            </w:tcBorders>
          </w:tcPr>
          <w:p w14:paraId="092674A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-0.0011***</w:t>
            </w:r>
          </w:p>
          <w:p w14:paraId="2355F76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(0.0002)</w:t>
            </w:r>
          </w:p>
        </w:tc>
        <w:tc>
          <w:tcPr>
            <w:tcW w:w="1701" w:type="dxa"/>
            <w:tcBorders>
              <w:top w:val="single" w:sz="4" w:space="0" w:color="auto"/>
            </w:tcBorders>
          </w:tcPr>
          <w:p w14:paraId="3400B78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-0.0474***</w:t>
            </w:r>
          </w:p>
          <w:p w14:paraId="1A8DAE1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r w:rsidRPr="00880312">
              <w:rPr>
                <w:rFonts w:ascii="Times New Roman" w:eastAsia="Times New Roman" w:hAnsi="Times New Roman" w:cs="Times New Roman"/>
                <w:color w:val="000000"/>
                <w:sz w:val="20"/>
                <w:szCs w:val="20"/>
                <w:lang w:eastAsia="en-GB"/>
              </w:rPr>
              <w:t>(0.0160)</w:t>
            </w:r>
          </w:p>
        </w:tc>
        <w:tc>
          <w:tcPr>
            <w:tcW w:w="1275" w:type="dxa"/>
            <w:tcBorders>
              <w:top w:val="single" w:sz="4" w:space="0" w:color="auto"/>
            </w:tcBorders>
          </w:tcPr>
          <w:p w14:paraId="485C0EA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-0.173***</w:t>
            </w:r>
          </w:p>
          <w:p w14:paraId="0EAB114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(0.0527)</w:t>
            </w:r>
          </w:p>
        </w:tc>
        <w:tc>
          <w:tcPr>
            <w:tcW w:w="1985" w:type="dxa"/>
            <w:tcBorders>
              <w:top w:val="single" w:sz="4" w:space="0" w:color="auto"/>
              <w:right w:val="single" w:sz="4" w:space="0" w:color="auto"/>
            </w:tcBorders>
          </w:tcPr>
          <w:p w14:paraId="53C1DCB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-0.0293***</w:t>
            </w:r>
          </w:p>
          <w:p w14:paraId="4F3DBDE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(0.0130)</w:t>
            </w:r>
          </w:p>
          <w:p w14:paraId="0EAB748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en-GB"/>
              </w:rPr>
            </w:pPr>
          </w:p>
        </w:tc>
      </w:tr>
      <w:tr w:rsidR="000A3F4A" w:rsidRPr="00880312" w14:paraId="5273A067" w14:textId="77777777" w:rsidTr="00C10661">
        <w:trPr>
          <w:cantSplit/>
          <w:trHeight w:hRule="exact" w:val="209"/>
          <w:jc w:val="center"/>
        </w:trPr>
        <w:tc>
          <w:tcPr>
            <w:tcW w:w="1712" w:type="dxa"/>
            <w:tcBorders>
              <w:left w:val="single" w:sz="4" w:space="0" w:color="auto"/>
            </w:tcBorders>
          </w:tcPr>
          <w:p w14:paraId="03A0F0F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5048B21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0FE4A99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524BF20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Pr>
          <w:p w14:paraId="469007E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right w:val="single" w:sz="4" w:space="0" w:color="auto"/>
            </w:tcBorders>
          </w:tcPr>
          <w:p w14:paraId="1E8AEB5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0A3F4A" w:rsidRPr="00880312" w14:paraId="18EB1282" w14:textId="77777777" w:rsidTr="00C10661">
        <w:trPr>
          <w:cantSplit/>
          <w:trHeight w:hRule="exact" w:val="209"/>
          <w:jc w:val="center"/>
        </w:trPr>
        <w:tc>
          <w:tcPr>
            <w:tcW w:w="1712" w:type="dxa"/>
            <w:tcBorders>
              <w:left w:val="single" w:sz="4" w:space="0" w:color="auto"/>
            </w:tcBorders>
          </w:tcPr>
          <w:p w14:paraId="38DD7EE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Risk culture</w:t>
            </w:r>
          </w:p>
        </w:tc>
        <w:tc>
          <w:tcPr>
            <w:tcW w:w="1123" w:type="dxa"/>
          </w:tcPr>
          <w:p w14:paraId="245A954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0.227***</w:t>
            </w:r>
          </w:p>
        </w:tc>
        <w:tc>
          <w:tcPr>
            <w:tcW w:w="1701" w:type="dxa"/>
          </w:tcPr>
          <w:p w14:paraId="421D761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0.0022***</w:t>
            </w:r>
          </w:p>
        </w:tc>
        <w:tc>
          <w:tcPr>
            <w:tcW w:w="1701" w:type="dxa"/>
          </w:tcPr>
          <w:p w14:paraId="7F48647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0.0197**</w:t>
            </w:r>
          </w:p>
          <w:p w14:paraId="1743ED3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p w14:paraId="23F0671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w:t>
            </w:r>
          </w:p>
        </w:tc>
        <w:tc>
          <w:tcPr>
            <w:tcW w:w="1275" w:type="dxa"/>
          </w:tcPr>
          <w:p w14:paraId="58AEDC5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0.173**</w:t>
            </w:r>
          </w:p>
        </w:tc>
        <w:tc>
          <w:tcPr>
            <w:tcW w:w="1985" w:type="dxa"/>
            <w:tcBorders>
              <w:right w:val="single" w:sz="4" w:space="0" w:color="auto"/>
            </w:tcBorders>
          </w:tcPr>
          <w:p w14:paraId="4747649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0.0287***</w:t>
            </w:r>
          </w:p>
        </w:tc>
      </w:tr>
      <w:tr w:rsidR="000A3F4A" w:rsidRPr="00880312" w14:paraId="10665F92" w14:textId="77777777" w:rsidTr="00C10661">
        <w:trPr>
          <w:cantSplit/>
          <w:trHeight w:hRule="exact" w:val="446"/>
          <w:jc w:val="center"/>
        </w:trPr>
        <w:tc>
          <w:tcPr>
            <w:tcW w:w="1712" w:type="dxa"/>
            <w:tcBorders>
              <w:left w:val="single" w:sz="4" w:space="0" w:color="auto"/>
            </w:tcBorders>
          </w:tcPr>
          <w:p w14:paraId="0D31BF4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488497A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(0.0463)</w:t>
            </w:r>
          </w:p>
        </w:tc>
        <w:tc>
          <w:tcPr>
            <w:tcW w:w="1701" w:type="dxa"/>
          </w:tcPr>
          <w:p w14:paraId="21BBDC9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(0.0003)</w:t>
            </w:r>
          </w:p>
        </w:tc>
        <w:tc>
          <w:tcPr>
            <w:tcW w:w="1701" w:type="dxa"/>
          </w:tcPr>
          <w:p w14:paraId="3F0A08F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(0.010)</w:t>
            </w:r>
          </w:p>
        </w:tc>
        <w:tc>
          <w:tcPr>
            <w:tcW w:w="1275" w:type="dxa"/>
          </w:tcPr>
          <w:p w14:paraId="7F068E1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(0.0833)</w:t>
            </w:r>
          </w:p>
        </w:tc>
        <w:tc>
          <w:tcPr>
            <w:tcW w:w="1985" w:type="dxa"/>
            <w:tcBorders>
              <w:right w:val="single" w:sz="4" w:space="0" w:color="auto"/>
            </w:tcBorders>
          </w:tcPr>
          <w:p w14:paraId="3987236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(0.012)</w:t>
            </w:r>
          </w:p>
        </w:tc>
      </w:tr>
      <w:tr w:rsidR="000A3F4A" w:rsidRPr="00880312" w14:paraId="5545C702" w14:textId="77777777" w:rsidTr="00C10661">
        <w:trPr>
          <w:cantSplit/>
          <w:trHeight w:hRule="exact" w:val="209"/>
          <w:jc w:val="center"/>
        </w:trPr>
        <w:tc>
          <w:tcPr>
            <w:tcW w:w="1712" w:type="dxa"/>
            <w:tcBorders>
              <w:left w:val="single" w:sz="4" w:space="0" w:color="auto"/>
            </w:tcBorders>
          </w:tcPr>
          <w:p w14:paraId="426D112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Female Board (%)</w:t>
            </w:r>
          </w:p>
        </w:tc>
        <w:tc>
          <w:tcPr>
            <w:tcW w:w="1123" w:type="dxa"/>
          </w:tcPr>
          <w:p w14:paraId="6D379F9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-0.0678*</w:t>
            </w:r>
          </w:p>
        </w:tc>
        <w:tc>
          <w:tcPr>
            <w:tcW w:w="1701" w:type="dxa"/>
          </w:tcPr>
          <w:p w14:paraId="09F34ED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-0.0014***</w:t>
            </w:r>
          </w:p>
        </w:tc>
        <w:tc>
          <w:tcPr>
            <w:tcW w:w="1701" w:type="dxa"/>
          </w:tcPr>
          <w:p w14:paraId="56232FF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-0.0671***</w:t>
            </w:r>
          </w:p>
        </w:tc>
        <w:tc>
          <w:tcPr>
            <w:tcW w:w="1275" w:type="dxa"/>
          </w:tcPr>
          <w:p w14:paraId="1EF31B1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-0.107***</w:t>
            </w:r>
          </w:p>
        </w:tc>
        <w:tc>
          <w:tcPr>
            <w:tcW w:w="1985" w:type="dxa"/>
            <w:tcBorders>
              <w:right w:val="single" w:sz="4" w:space="0" w:color="auto"/>
            </w:tcBorders>
          </w:tcPr>
          <w:p w14:paraId="6F63732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-0.0693***</w:t>
            </w:r>
          </w:p>
        </w:tc>
      </w:tr>
      <w:tr w:rsidR="000A3F4A" w:rsidRPr="00880312" w14:paraId="63FD7421" w14:textId="77777777" w:rsidTr="00C10661">
        <w:trPr>
          <w:cantSplit/>
          <w:trHeight w:hRule="exact" w:val="209"/>
          <w:jc w:val="center"/>
        </w:trPr>
        <w:tc>
          <w:tcPr>
            <w:tcW w:w="1712" w:type="dxa"/>
            <w:tcBorders>
              <w:left w:val="single" w:sz="4" w:space="0" w:color="auto"/>
            </w:tcBorders>
          </w:tcPr>
          <w:p w14:paraId="70F06CC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5289A1A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(0.0507)</w:t>
            </w:r>
          </w:p>
        </w:tc>
        <w:tc>
          <w:tcPr>
            <w:tcW w:w="1701" w:type="dxa"/>
          </w:tcPr>
          <w:p w14:paraId="050A4BD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(0.0002)</w:t>
            </w:r>
          </w:p>
        </w:tc>
        <w:tc>
          <w:tcPr>
            <w:tcW w:w="1701" w:type="dxa"/>
          </w:tcPr>
          <w:p w14:paraId="770D6E3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(0.0183)</w:t>
            </w:r>
          </w:p>
        </w:tc>
        <w:tc>
          <w:tcPr>
            <w:tcW w:w="1275" w:type="dxa"/>
          </w:tcPr>
          <w:p w14:paraId="5949593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(0.0339)</w:t>
            </w:r>
          </w:p>
        </w:tc>
        <w:tc>
          <w:tcPr>
            <w:tcW w:w="1985" w:type="dxa"/>
            <w:tcBorders>
              <w:right w:val="single" w:sz="4" w:space="0" w:color="auto"/>
            </w:tcBorders>
          </w:tcPr>
          <w:p w14:paraId="6DF17AB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(0.0202)</w:t>
            </w:r>
          </w:p>
        </w:tc>
      </w:tr>
      <w:tr w:rsidR="000A3F4A" w:rsidRPr="00880312" w14:paraId="7C2BB86C" w14:textId="77777777" w:rsidTr="00C10661">
        <w:trPr>
          <w:cantSplit/>
          <w:trHeight w:hRule="exact" w:val="209"/>
          <w:jc w:val="center"/>
        </w:trPr>
        <w:tc>
          <w:tcPr>
            <w:tcW w:w="1712" w:type="dxa"/>
            <w:tcBorders>
              <w:left w:val="single" w:sz="4" w:space="0" w:color="auto"/>
            </w:tcBorders>
          </w:tcPr>
          <w:p w14:paraId="0D5CF1E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41B9E61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13BBF34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C70506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Pr>
          <w:p w14:paraId="6BC9F51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right w:val="single" w:sz="4" w:space="0" w:color="auto"/>
            </w:tcBorders>
          </w:tcPr>
          <w:p w14:paraId="3DCCFDA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0A3F4A" w:rsidRPr="00880312" w14:paraId="568D567D" w14:textId="77777777" w:rsidTr="00C10661">
        <w:trPr>
          <w:cantSplit/>
          <w:trHeight w:hRule="exact" w:val="209"/>
          <w:jc w:val="center"/>
        </w:trPr>
        <w:tc>
          <w:tcPr>
            <w:tcW w:w="1712" w:type="dxa"/>
            <w:tcBorders>
              <w:left w:val="single" w:sz="4" w:space="0" w:color="auto"/>
            </w:tcBorders>
          </w:tcPr>
          <w:p w14:paraId="344EEF6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Indp_Director</w:t>
            </w:r>
          </w:p>
        </w:tc>
        <w:tc>
          <w:tcPr>
            <w:tcW w:w="1123" w:type="dxa"/>
          </w:tcPr>
          <w:p w14:paraId="53426F06" w14:textId="7A0329CF"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0.129</w:t>
            </w:r>
          </w:p>
        </w:tc>
        <w:tc>
          <w:tcPr>
            <w:tcW w:w="1701" w:type="dxa"/>
          </w:tcPr>
          <w:p w14:paraId="36AA0CA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-0.0011</w:t>
            </w:r>
          </w:p>
        </w:tc>
        <w:tc>
          <w:tcPr>
            <w:tcW w:w="1701" w:type="dxa"/>
          </w:tcPr>
          <w:p w14:paraId="34B4237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0.0366*</w:t>
            </w:r>
          </w:p>
        </w:tc>
        <w:tc>
          <w:tcPr>
            <w:tcW w:w="1275" w:type="dxa"/>
          </w:tcPr>
          <w:p w14:paraId="7DC2041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0.0183</w:t>
            </w:r>
          </w:p>
        </w:tc>
        <w:tc>
          <w:tcPr>
            <w:tcW w:w="1985" w:type="dxa"/>
            <w:tcBorders>
              <w:right w:val="single" w:sz="4" w:space="0" w:color="auto"/>
            </w:tcBorders>
          </w:tcPr>
          <w:p w14:paraId="1723E17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0.0182</w:t>
            </w:r>
          </w:p>
        </w:tc>
      </w:tr>
      <w:tr w:rsidR="000A3F4A" w:rsidRPr="00880312" w14:paraId="1146CED9" w14:textId="77777777" w:rsidTr="00C10661">
        <w:trPr>
          <w:cantSplit/>
          <w:trHeight w:hRule="exact" w:val="209"/>
          <w:jc w:val="center"/>
        </w:trPr>
        <w:tc>
          <w:tcPr>
            <w:tcW w:w="1712" w:type="dxa"/>
            <w:tcBorders>
              <w:left w:val="single" w:sz="4" w:space="0" w:color="auto"/>
            </w:tcBorders>
          </w:tcPr>
          <w:p w14:paraId="073BE57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1FDE907F" w14:textId="68D37CAB"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w:t>
            </w:r>
            <w:r w:rsidR="0003755A">
              <w:rPr>
                <w:rFonts w:ascii="Times New Roman" w:eastAsia="Times New Roman" w:hAnsi="Times New Roman" w:cs="Times New Roman"/>
                <w:color w:val="000000"/>
                <w:sz w:val="20"/>
                <w:szCs w:val="20"/>
                <w:lang w:eastAsia="en-GB"/>
              </w:rPr>
              <w:t>9</w:t>
            </w:r>
            <w:r w:rsidRPr="00880312">
              <w:rPr>
                <w:rFonts w:ascii="Times New Roman" w:eastAsia="Times New Roman" w:hAnsi="Times New Roman" w:cs="Times New Roman"/>
                <w:color w:val="000000"/>
                <w:sz w:val="20"/>
                <w:szCs w:val="20"/>
                <w:lang w:eastAsia="en-GB"/>
              </w:rPr>
              <w:t>35)</w:t>
            </w:r>
          </w:p>
        </w:tc>
        <w:tc>
          <w:tcPr>
            <w:tcW w:w="1701" w:type="dxa"/>
          </w:tcPr>
          <w:p w14:paraId="385A2D8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(0.0002)</w:t>
            </w:r>
          </w:p>
        </w:tc>
        <w:tc>
          <w:tcPr>
            <w:tcW w:w="1701" w:type="dxa"/>
          </w:tcPr>
          <w:p w14:paraId="76927D1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(0.0187)</w:t>
            </w:r>
          </w:p>
        </w:tc>
        <w:tc>
          <w:tcPr>
            <w:tcW w:w="1275" w:type="dxa"/>
          </w:tcPr>
          <w:p w14:paraId="6CD6F49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(0.0346)</w:t>
            </w:r>
          </w:p>
        </w:tc>
        <w:tc>
          <w:tcPr>
            <w:tcW w:w="1985" w:type="dxa"/>
            <w:tcBorders>
              <w:right w:val="single" w:sz="4" w:space="0" w:color="auto"/>
            </w:tcBorders>
          </w:tcPr>
          <w:p w14:paraId="0D7309A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(0.0203)</w:t>
            </w:r>
          </w:p>
        </w:tc>
      </w:tr>
      <w:tr w:rsidR="000A3F4A" w:rsidRPr="00880312" w14:paraId="23A6F549" w14:textId="77777777" w:rsidTr="00C10661">
        <w:trPr>
          <w:cantSplit/>
          <w:trHeight w:hRule="exact" w:val="209"/>
          <w:jc w:val="center"/>
        </w:trPr>
        <w:tc>
          <w:tcPr>
            <w:tcW w:w="1712" w:type="dxa"/>
            <w:tcBorders>
              <w:left w:val="single" w:sz="4" w:space="0" w:color="auto"/>
            </w:tcBorders>
          </w:tcPr>
          <w:p w14:paraId="647A199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Board Size</w:t>
            </w:r>
          </w:p>
        </w:tc>
        <w:tc>
          <w:tcPr>
            <w:tcW w:w="1123" w:type="dxa"/>
          </w:tcPr>
          <w:p w14:paraId="3B35CAD8" w14:textId="5C49C9BD"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-0.0287</w:t>
            </w:r>
            <w:r w:rsidR="00625B3F">
              <w:rPr>
                <w:rFonts w:ascii="Times New Roman" w:eastAsia="Times New Roman" w:hAnsi="Times New Roman" w:cs="Times New Roman"/>
                <w:color w:val="000000"/>
                <w:sz w:val="20"/>
                <w:szCs w:val="20"/>
                <w:lang w:eastAsia="en-GB"/>
              </w:rPr>
              <w:t>***</w:t>
            </w:r>
          </w:p>
        </w:tc>
        <w:tc>
          <w:tcPr>
            <w:tcW w:w="1701" w:type="dxa"/>
          </w:tcPr>
          <w:p w14:paraId="19B3916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-0.0007***</w:t>
            </w:r>
          </w:p>
        </w:tc>
        <w:tc>
          <w:tcPr>
            <w:tcW w:w="1701" w:type="dxa"/>
          </w:tcPr>
          <w:p w14:paraId="18DD89C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-0.0559***</w:t>
            </w:r>
          </w:p>
        </w:tc>
        <w:tc>
          <w:tcPr>
            <w:tcW w:w="1275" w:type="dxa"/>
          </w:tcPr>
          <w:p w14:paraId="05FACEE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-0.0599*</w:t>
            </w:r>
          </w:p>
        </w:tc>
        <w:tc>
          <w:tcPr>
            <w:tcW w:w="1985" w:type="dxa"/>
            <w:tcBorders>
              <w:right w:val="single" w:sz="4" w:space="0" w:color="auto"/>
            </w:tcBorders>
          </w:tcPr>
          <w:p w14:paraId="01E0AF0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-0.0536</w:t>
            </w:r>
          </w:p>
        </w:tc>
      </w:tr>
      <w:tr w:rsidR="000A3F4A" w:rsidRPr="00880312" w14:paraId="3DD0BD4B" w14:textId="77777777" w:rsidTr="00C10661">
        <w:trPr>
          <w:cantSplit/>
          <w:trHeight w:hRule="exact" w:val="209"/>
          <w:jc w:val="center"/>
        </w:trPr>
        <w:tc>
          <w:tcPr>
            <w:tcW w:w="1712" w:type="dxa"/>
            <w:tcBorders>
              <w:left w:val="single" w:sz="4" w:space="0" w:color="auto"/>
            </w:tcBorders>
          </w:tcPr>
          <w:p w14:paraId="571CBA4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04230E96" w14:textId="1ADE8504"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w:t>
            </w:r>
            <w:r w:rsidR="00625B3F">
              <w:rPr>
                <w:rFonts w:ascii="Times New Roman" w:eastAsia="Times New Roman" w:hAnsi="Times New Roman" w:cs="Times New Roman"/>
                <w:color w:val="000000"/>
                <w:sz w:val="20"/>
                <w:szCs w:val="20"/>
                <w:lang w:eastAsia="en-GB"/>
              </w:rPr>
              <w:t>1</w:t>
            </w:r>
            <w:r w:rsidRPr="00880312">
              <w:rPr>
                <w:rFonts w:ascii="Times New Roman" w:eastAsia="Times New Roman" w:hAnsi="Times New Roman" w:cs="Times New Roman"/>
                <w:color w:val="000000"/>
                <w:sz w:val="20"/>
                <w:szCs w:val="20"/>
                <w:lang w:eastAsia="en-GB"/>
              </w:rPr>
              <w:t>22)</w:t>
            </w:r>
          </w:p>
        </w:tc>
        <w:tc>
          <w:tcPr>
            <w:tcW w:w="1701" w:type="dxa"/>
          </w:tcPr>
          <w:p w14:paraId="4FF34D5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(0.0002)</w:t>
            </w:r>
          </w:p>
        </w:tc>
        <w:tc>
          <w:tcPr>
            <w:tcW w:w="1701" w:type="dxa"/>
          </w:tcPr>
          <w:p w14:paraId="43EAA29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(0.0185)</w:t>
            </w:r>
          </w:p>
        </w:tc>
        <w:tc>
          <w:tcPr>
            <w:tcW w:w="1275" w:type="dxa"/>
          </w:tcPr>
          <w:p w14:paraId="1B6CB6E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(0.0331)</w:t>
            </w:r>
          </w:p>
        </w:tc>
        <w:tc>
          <w:tcPr>
            <w:tcW w:w="1985" w:type="dxa"/>
            <w:tcBorders>
              <w:right w:val="single" w:sz="4" w:space="0" w:color="auto"/>
            </w:tcBorders>
          </w:tcPr>
          <w:p w14:paraId="34B278C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(0.0200)</w:t>
            </w:r>
          </w:p>
        </w:tc>
      </w:tr>
      <w:tr w:rsidR="000A3F4A" w:rsidRPr="00880312" w14:paraId="520F82DA" w14:textId="77777777" w:rsidTr="00C10661">
        <w:trPr>
          <w:cantSplit/>
          <w:trHeight w:hRule="exact" w:val="209"/>
          <w:jc w:val="center"/>
        </w:trPr>
        <w:tc>
          <w:tcPr>
            <w:tcW w:w="1712" w:type="dxa"/>
            <w:tcBorders>
              <w:left w:val="single" w:sz="4" w:space="0" w:color="auto"/>
            </w:tcBorders>
          </w:tcPr>
          <w:p w14:paraId="0BFAACE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Size</w:t>
            </w:r>
          </w:p>
        </w:tc>
        <w:tc>
          <w:tcPr>
            <w:tcW w:w="1123" w:type="dxa"/>
          </w:tcPr>
          <w:p w14:paraId="2AC7FEC6" w14:textId="5862CAC0"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0.217</w:t>
            </w:r>
            <w:r w:rsidR="00625B3F">
              <w:rPr>
                <w:rFonts w:ascii="Times New Roman" w:eastAsia="Times New Roman" w:hAnsi="Times New Roman" w:cs="Times New Roman"/>
                <w:color w:val="000000"/>
                <w:sz w:val="20"/>
                <w:szCs w:val="20"/>
                <w:lang w:eastAsia="en-GB"/>
              </w:rPr>
              <w:t>**</w:t>
            </w:r>
          </w:p>
        </w:tc>
        <w:tc>
          <w:tcPr>
            <w:tcW w:w="1701" w:type="dxa"/>
          </w:tcPr>
          <w:p w14:paraId="5585B823" w14:textId="38544F69"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0.0005</w:t>
            </w:r>
          </w:p>
        </w:tc>
        <w:tc>
          <w:tcPr>
            <w:tcW w:w="1701" w:type="dxa"/>
          </w:tcPr>
          <w:p w14:paraId="05F5F82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0.985***</w:t>
            </w:r>
          </w:p>
        </w:tc>
        <w:tc>
          <w:tcPr>
            <w:tcW w:w="1275" w:type="dxa"/>
          </w:tcPr>
          <w:p w14:paraId="483C9C3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1.048***</w:t>
            </w:r>
          </w:p>
        </w:tc>
        <w:tc>
          <w:tcPr>
            <w:tcW w:w="1985" w:type="dxa"/>
            <w:tcBorders>
              <w:right w:val="single" w:sz="4" w:space="0" w:color="auto"/>
            </w:tcBorders>
          </w:tcPr>
          <w:p w14:paraId="5841095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0.8352***</w:t>
            </w:r>
          </w:p>
        </w:tc>
      </w:tr>
      <w:tr w:rsidR="000A3F4A" w:rsidRPr="00880312" w14:paraId="0F6BDCB4" w14:textId="77777777" w:rsidTr="00C10661">
        <w:trPr>
          <w:cantSplit/>
          <w:trHeight w:hRule="exact" w:val="209"/>
          <w:jc w:val="center"/>
        </w:trPr>
        <w:tc>
          <w:tcPr>
            <w:tcW w:w="1712" w:type="dxa"/>
            <w:tcBorders>
              <w:left w:val="single" w:sz="4" w:space="0" w:color="auto"/>
            </w:tcBorders>
          </w:tcPr>
          <w:p w14:paraId="381BCCE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1D905605" w14:textId="7C5B2862"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w:t>
            </w:r>
            <w:r w:rsidR="00625B3F">
              <w:rPr>
                <w:rFonts w:ascii="Times New Roman" w:eastAsia="Times New Roman" w:hAnsi="Times New Roman" w:cs="Times New Roman"/>
                <w:color w:val="000000"/>
                <w:sz w:val="20"/>
                <w:szCs w:val="20"/>
                <w:lang w:eastAsia="en-GB"/>
              </w:rPr>
              <w:t>1</w:t>
            </w:r>
            <w:r w:rsidRPr="00880312">
              <w:rPr>
                <w:rFonts w:ascii="Times New Roman" w:eastAsia="Times New Roman" w:hAnsi="Times New Roman" w:cs="Times New Roman"/>
                <w:color w:val="000000"/>
                <w:sz w:val="20"/>
                <w:szCs w:val="20"/>
                <w:lang w:eastAsia="en-GB"/>
              </w:rPr>
              <w:t>5)</w:t>
            </w:r>
          </w:p>
        </w:tc>
        <w:tc>
          <w:tcPr>
            <w:tcW w:w="1701" w:type="dxa"/>
          </w:tcPr>
          <w:p w14:paraId="4540B5B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(0.0008)</w:t>
            </w:r>
          </w:p>
        </w:tc>
        <w:tc>
          <w:tcPr>
            <w:tcW w:w="1701" w:type="dxa"/>
          </w:tcPr>
          <w:p w14:paraId="5E87F44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(0.0534)</w:t>
            </w:r>
          </w:p>
        </w:tc>
        <w:tc>
          <w:tcPr>
            <w:tcW w:w="1275" w:type="dxa"/>
          </w:tcPr>
          <w:p w14:paraId="20B3875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(0.117)</w:t>
            </w:r>
          </w:p>
        </w:tc>
        <w:tc>
          <w:tcPr>
            <w:tcW w:w="1985" w:type="dxa"/>
            <w:tcBorders>
              <w:right w:val="single" w:sz="4" w:space="0" w:color="auto"/>
            </w:tcBorders>
          </w:tcPr>
          <w:p w14:paraId="225AC60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(0.0597)</w:t>
            </w:r>
          </w:p>
        </w:tc>
      </w:tr>
      <w:tr w:rsidR="000A3F4A" w:rsidRPr="00880312" w14:paraId="2FABA5D8" w14:textId="77777777" w:rsidTr="00C10661">
        <w:trPr>
          <w:cantSplit/>
          <w:trHeight w:hRule="exact" w:val="209"/>
          <w:jc w:val="center"/>
        </w:trPr>
        <w:tc>
          <w:tcPr>
            <w:tcW w:w="1712" w:type="dxa"/>
            <w:tcBorders>
              <w:left w:val="single" w:sz="4" w:space="0" w:color="auto"/>
            </w:tcBorders>
          </w:tcPr>
          <w:p w14:paraId="37FE96E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MV/BV</w:t>
            </w:r>
          </w:p>
        </w:tc>
        <w:tc>
          <w:tcPr>
            <w:tcW w:w="1123" w:type="dxa"/>
          </w:tcPr>
          <w:p w14:paraId="3CF091A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-0.0201</w:t>
            </w:r>
          </w:p>
        </w:tc>
        <w:tc>
          <w:tcPr>
            <w:tcW w:w="1701" w:type="dxa"/>
          </w:tcPr>
          <w:p w14:paraId="7411B80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-0.0028</w:t>
            </w:r>
          </w:p>
        </w:tc>
        <w:tc>
          <w:tcPr>
            <w:tcW w:w="1701" w:type="dxa"/>
          </w:tcPr>
          <w:p w14:paraId="66CD82A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-0.0615</w:t>
            </w:r>
          </w:p>
        </w:tc>
        <w:tc>
          <w:tcPr>
            <w:tcW w:w="1275" w:type="dxa"/>
          </w:tcPr>
          <w:p w14:paraId="751A8E7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-1.978**</w:t>
            </w:r>
          </w:p>
        </w:tc>
        <w:tc>
          <w:tcPr>
            <w:tcW w:w="1985" w:type="dxa"/>
            <w:tcBorders>
              <w:right w:val="single" w:sz="4" w:space="0" w:color="auto"/>
            </w:tcBorders>
          </w:tcPr>
          <w:p w14:paraId="16D976B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-0.1082***</w:t>
            </w:r>
          </w:p>
        </w:tc>
      </w:tr>
      <w:tr w:rsidR="000A3F4A" w:rsidRPr="00880312" w14:paraId="3DEDFFAD" w14:textId="77777777" w:rsidTr="00C10661">
        <w:trPr>
          <w:cantSplit/>
          <w:trHeight w:hRule="exact" w:val="209"/>
          <w:jc w:val="center"/>
        </w:trPr>
        <w:tc>
          <w:tcPr>
            <w:tcW w:w="1712" w:type="dxa"/>
            <w:tcBorders>
              <w:left w:val="single" w:sz="4" w:space="0" w:color="auto"/>
            </w:tcBorders>
          </w:tcPr>
          <w:p w14:paraId="670609C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6DB163D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(0.0864)</w:t>
            </w:r>
          </w:p>
        </w:tc>
        <w:tc>
          <w:tcPr>
            <w:tcW w:w="1701" w:type="dxa"/>
          </w:tcPr>
          <w:p w14:paraId="494F2AE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(0.0007)</w:t>
            </w:r>
          </w:p>
        </w:tc>
        <w:tc>
          <w:tcPr>
            <w:tcW w:w="1701" w:type="dxa"/>
          </w:tcPr>
          <w:p w14:paraId="7D2EDCC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(0.0459)</w:t>
            </w:r>
          </w:p>
        </w:tc>
        <w:tc>
          <w:tcPr>
            <w:tcW w:w="1275" w:type="dxa"/>
          </w:tcPr>
          <w:p w14:paraId="09D8A2D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(0.863)</w:t>
            </w:r>
          </w:p>
        </w:tc>
        <w:tc>
          <w:tcPr>
            <w:tcW w:w="1985" w:type="dxa"/>
            <w:tcBorders>
              <w:right w:val="single" w:sz="4" w:space="0" w:color="auto"/>
            </w:tcBorders>
          </w:tcPr>
          <w:p w14:paraId="56EC2FA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(0.0496)</w:t>
            </w:r>
          </w:p>
        </w:tc>
      </w:tr>
      <w:tr w:rsidR="000A3F4A" w:rsidRPr="00880312" w14:paraId="04ABD0DC" w14:textId="77777777" w:rsidTr="00C10661">
        <w:trPr>
          <w:cantSplit/>
          <w:trHeight w:hRule="exact" w:val="209"/>
          <w:jc w:val="center"/>
        </w:trPr>
        <w:tc>
          <w:tcPr>
            <w:tcW w:w="1712" w:type="dxa"/>
            <w:tcBorders>
              <w:left w:val="single" w:sz="4" w:space="0" w:color="auto"/>
            </w:tcBorders>
          </w:tcPr>
          <w:p w14:paraId="6E76650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Leverage</w:t>
            </w:r>
          </w:p>
        </w:tc>
        <w:tc>
          <w:tcPr>
            <w:tcW w:w="1123" w:type="dxa"/>
          </w:tcPr>
          <w:p w14:paraId="4F0F1EA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0.710***</w:t>
            </w:r>
          </w:p>
        </w:tc>
        <w:tc>
          <w:tcPr>
            <w:tcW w:w="1701" w:type="dxa"/>
          </w:tcPr>
          <w:p w14:paraId="1216D2D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0.0009</w:t>
            </w:r>
          </w:p>
        </w:tc>
        <w:tc>
          <w:tcPr>
            <w:tcW w:w="1701" w:type="dxa"/>
          </w:tcPr>
          <w:p w14:paraId="10A35F7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0.0229</w:t>
            </w:r>
          </w:p>
        </w:tc>
        <w:tc>
          <w:tcPr>
            <w:tcW w:w="1275" w:type="dxa"/>
          </w:tcPr>
          <w:p w14:paraId="66923E8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0.209</w:t>
            </w:r>
          </w:p>
        </w:tc>
        <w:tc>
          <w:tcPr>
            <w:tcW w:w="1985" w:type="dxa"/>
            <w:tcBorders>
              <w:right w:val="single" w:sz="4" w:space="0" w:color="auto"/>
            </w:tcBorders>
          </w:tcPr>
          <w:p w14:paraId="1374D8B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0.3342</w:t>
            </w:r>
          </w:p>
        </w:tc>
      </w:tr>
      <w:tr w:rsidR="000A3F4A" w:rsidRPr="00880312" w14:paraId="08080E76" w14:textId="77777777" w:rsidTr="00C10661">
        <w:trPr>
          <w:cantSplit/>
          <w:trHeight w:hRule="exact" w:val="434"/>
          <w:jc w:val="center"/>
        </w:trPr>
        <w:tc>
          <w:tcPr>
            <w:tcW w:w="1712" w:type="dxa"/>
            <w:tcBorders>
              <w:left w:val="single" w:sz="4" w:space="0" w:color="auto"/>
            </w:tcBorders>
          </w:tcPr>
          <w:p w14:paraId="4E78479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776014A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(0.256)</w:t>
            </w:r>
          </w:p>
        </w:tc>
        <w:tc>
          <w:tcPr>
            <w:tcW w:w="1701" w:type="dxa"/>
          </w:tcPr>
          <w:p w14:paraId="3C04EA2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(0.0017)</w:t>
            </w:r>
          </w:p>
        </w:tc>
        <w:tc>
          <w:tcPr>
            <w:tcW w:w="1701" w:type="dxa"/>
          </w:tcPr>
          <w:p w14:paraId="239725A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(0.112)</w:t>
            </w:r>
          </w:p>
        </w:tc>
        <w:tc>
          <w:tcPr>
            <w:tcW w:w="1275" w:type="dxa"/>
          </w:tcPr>
          <w:p w14:paraId="788BF81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(0.209)</w:t>
            </w:r>
          </w:p>
        </w:tc>
        <w:tc>
          <w:tcPr>
            <w:tcW w:w="1985" w:type="dxa"/>
            <w:tcBorders>
              <w:right w:val="single" w:sz="4" w:space="0" w:color="auto"/>
            </w:tcBorders>
          </w:tcPr>
          <w:p w14:paraId="2CBA743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(0.1211)</w:t>
            </w:r>
          </w:p>
        </w:tc>
      </w:tr>
      <w:tr w:rsidR="000A3F4A" w:rsidRPr="00880312" w14:paraId="1EE11AEA" w14:textId="77777777" w:rsidTr="00C10661">
        <w:trPr>
          <w:cantSplit/>
          <w:trHeight w:hRule="exact" w:val="209"/>
          <w:jc w:val="center"/>
        </w:trPr>
        <w:tc>
          <w:tcPr>
            <w:tcW w:w="1712" w:type="dxa"/>
            <w:tcBorders>
              <w:left w:val="single" w:sz="4" w:space="0" w:color="auto"/>
            </w:tcBorders>
          </w:tcPr>
          <w:p w14:paraId="381F811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ROA</w:t>
            </w:r>
          </w:p>
        </w:tc>
        <w:tc>
          <w:tcPr>
            <w:tcW w:w="1123" w:type="dxa"/>
          </w:tcPr>
          <w:p w14:paraId="2BA8EA8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-0.463***</w:t>
            </w:r>
          </w:p>
        </w:tc>
        <w:tc>
          <w:tcPr>
            <w:tcW w:w="1701" w:type="dxa"/>
          </w:tcPr>
          <w:p w14:paraId="0A39672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-0.0033***</w:t>
            </w:r>
          </w:p>
        </w:tc>
        <w:tc>
          <w:tcPr>
            <w:tcW w:w="1701" w:type="dxa"/>
          </w:tcPr>
          <w:p w14:paraId="5737FD0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-0.258***</w:t>
            </w:r>
          </w:p>
        </w:tc>
        <w:tc>
          <w:tcPr>
            <w:tcW w:w="1275" w:type="dxa"/>
          </w:tcPr>
          <w:p w14:paraId="19F364B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-0.246***</w:t>
            </w:r>
          </w:p>
        </w:tc>
        <w:tc>
          <w:tcPr>
            <w:tcW w:w="1985" w:type="dxa"/>
            <w:tcBorders>
              <w:right w:val="single" w:sz="4" w:space="0" w:color="auto"/>
            </w:tcBorders>
          </w:tcPr>
          <w:p w14:paraId="296B928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-0.2224***</w:t>
            </w:r>
          </w:p>
        </w:tc>
      </w:tr>
      <w:tr w:rsidR="000A3F4A" w:rsidRPr="00880312" w14:paraId="73B0A705" w14:textId="77777777" w:rsidTr="00C10661">
        <w:trPr>
          <w:cantSplit/>
          <w:trHeight w:hRule="exact" w:val="209"/>
          <w:jc w:val="center"/>
        </w:trPr>
        <w:tc>
          <w:tcPr>
            <w:tcW w:w="1712" w:type="dxa"/>
            <w:tcBorders>
              <w:left w:val="single" w:sz="4" w:space="0" w:color="auto"/>
            </w:tcBorders>
          </w:tcPr>
          <w:p w14:paraId="3CD23CA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686CBA1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(0.0293)</w:t>
            </w:r>
          </w:p>
        </w:tc>
        <w:tc>
          <w:tcPr>
            <w:tcW w:w="1701" w:type="dxa"/>
          </w:tcPr>
          <w:p w14:paraId="2E2CCB4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(0.0001)</w:t>
            </w:r>
          </w:p>
        </w:tc>
        <w:tc>
          <w:tcPr>
            <w:tcW w:w="1701" w:type="dxa"/>
          </w:tcPr>
          <w:p w14:paraId="077EDCA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(0.0111)</w:t>
            </w:r>
          </w:p>
        </w:tc>
        <w:tc>
          <w:tcPr>
            <w:tcW w:w="1275" w:type="dxa"/>
          </w:tcPr>
          <w:p w14:paraId="28E3AA3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(0.0200)</w:t>
            </w:r>
          </w:p>
        </w:tc>
        <w:tc>
          <w:tcPr>
            <w:tcW w:w="1985" w:type="dxa"/>
            <w:tcBorders>
              <w:right w:val="single" w:sz="4" w:space="0" w:color="auto"/>
            </w:tcBorders>
          </w:tcPr>
          <w:p w14:paraId="4104E42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(0.0117)</w:t>
            </w:r>
          </w:p>
        </w:tc>
      </w:tr>
      <w:tr w:rsidR="000A3F4A" w:rsidRPr="00880312" w14:paraId="5BB37E1E" w14:textId="77777777" w:rsidTr="00C10661">
        <w:trPr>
          <w:cantSplit/>
          <w:trHeight w:hRule="exact" w:val="209"/>
          <w:jc w:val="center"/>
        </w:trPr>
        <w:tc>
          <w:tcPr>
            <w:tcW w:w="1712" w:type="dxa"/>
            <w:tcBorders>
              <w:left w:val="single" w:sz="4" w:space="0" w:color="auto"/>
            </w:tcBorders>
          </w:tcPr>
          <w:p w14:paraId="5B044D4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CEO Compensation</w:t>
            </w:r>
          </w:p>
        </w:tc>
        <w:tc>
          <w:tcPr>
            <w:tcW w:w="1123" w:type="dxa"/>
          </w:tcPr>
          <w:p w14:paraId="4F1543F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0.0643**</w:t>
            </w:r>
          </w:p>
        </w:tc>
        <w:tc>
          <w:tcPr>
            <w:tcW w:w="1701" w:type="dxa"/>
          </w:tcPr>
          <w:p w14:paraId="7DDDCDF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0.0003</w:t>
            </w:r>
          </w:p>
        </w:tc>
        <w:tc>
          <w:tcPr>
            <w:tcW w:w="1701" w:type="dxa"/>
          </w:tcPr>
          <w:p w14:paraId="4132ADF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0.0347***</w:t>
            </w:r>
          </w:p>
        </w:tc>
        <w:tc>
          <w:tcPr>
            <w:tcW w:w="1275" w:type="dxa"/>
          </w:tcPr>
          <w:p w14:paraId="504953C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0.0406**</w:t>
            </w:r>
          </w:p>
        </w:tc>
        <w:tc>
          <w:tcPr>
            <w:tcW w:w="1985" w:type="dxa"/>
            <w:tcBorders>
              <w:right w:val="single" w:sz="4" w:space="0" w:color="auto"/>
            </w:tcBorders>
          </w:tcPr>
          <w:p w14:paraId="281F816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0.0306***</w:t>
            </w:r>
          </w:p>
        </w:tc>
      </w:tr>
      <w:tr w:rsidR="000A3F4A" w:rsidRPr="00880312" w14:paraId="3523A71E" w14:textId="77777777" w:rsidTr="00C10661">
        <w:trPr>
          <w:cantSplit/>
          <w:trHeight w:hRule="exact" w:val="446"/>
          <w:jc w:val="center"/>
        </w:trPr>
        <w:tc>
          <w:tcPr>
            <w:tcW w:w="1712" w:type="dxa"/>
            <w:tcBorders>
              <w:left w:val="single" w:sz="4" w:space="0" w:color="auto"/>
            </w:tcBorders>
          </w:tcPr>
          <w:p w14:paraId="0FFA25D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0A8B1E0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(0.0322)</w:t>
            </w:r>
          </w:p>
        </w:tc>
        <w:tc>
          <w:tcPr>
            <w:tcW w:w="1701" w:type="dxa"/>
          </w:tcPr>
          <w:p w14:paraId="160C83E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(0.0001)</w:t>
            </w:r>
          </w:p>
        </w:tc>
        <w:tc>
          <w:tcPr>
            <w:tcW w:w="1701" w:type="dxa"/>
          </w:tcPr>
          <w:p w14:paraId="792C408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(0.0117)</w:t>
            </w:r>
          </w:p>
        </w:tc>
        <w:tc>
          <w:tcPr>
            <w:tcW w:w="1275" w:type="dxa"/>
          </w:tcPr>
          <w:p w14:paraId="31B55E0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(0.0162)</w:t>
            </w:r>
          </w:p>
        </w:tc>
        <w:tc>
          <w:tcPr>
            <w:tcW w:w="1985" w:type="dxa"/>
            <w:tcBorders>
              <w:right w:val="single" w:sz="4" w:space="0" w:color="auto"/>
            </w:tcBorders>
          </w:tcPr>
          <w:p w14:paraId="15E60A3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(0.0124)</w:t>
            </w:r>
          </w:p>
        </w:tc>
      </w:tr>
      <w:tr w:rsidR="000A3F4A" w:rsidRPr="00880312" w14:paraId="0F0D791B" w14:textId="77777777" w:rsidTr="00C10661">
        <w:trPr>
          <w:cantSplit/>
          <w:trHeight w:hRule="exact" w:val="209"/>
          <w:jc w:val="center"/>
        </w:trPr>
        <w:tc>
          <w:tcPr>
            <w:tcW w:w="1712" w:type="dxa"/>
            <w:tcBorders>
              <w:left w:val="single" w:sz="4" w:space="0" w:color="auto"/>
            </w:tcBorders>
          </w:tcPr>
          <w:p w14:paraId="33CF056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Capital</w:t>
            </w:r>
          </w:p>
        </w:tc>
        <w:tc>
          <w:tcPr>
            <w:tcW w:w="1123" w:type="dxa"/>
          </w:tcPr>
          <w:p w14:paraId="280E787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0.352***</w:t>
            </w:r>
          </w:p>
        </w:tc>
        <w:tc>
          <w:tcPr>
            <w:tcW w:w="1701" w:type="dxa"/>
          </w:tcPr>
          <w:p w14:paraId="4E311ED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0.0040***</w:t>
            </w:r>
          </w:p>
        </w:tc>
        <w:tc>
          <w:tcPr>
            <w:tcW w:w="1701" w:type="dxa"/>
          </w:tcPr>
          <w:p w14:paraId="4D79DAC0"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0.210***</w:t>
            </w:r>
          </w:p>
        </w:tc>
        <w:tc>
          <w:tcPr>
            <w:tcW w:w="1275" w:type="dxa"/>
          </w:tcPr>
          <w:p w14:paraId="56C9E91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0.197***</w:t>
            </w:r>
          </w:p>
        </w:tc>
        <w:tc>
          <w:tcPr>
            <w:tcW w:w="1985" w:type="dxa"/>
            <w:tcBorders>
              <w:right w:val="single" w:sz="4" w:space="0" w:color="auto"/>
            </w:tcBorders>
          </w:tcPr>
          <w:p w14:paraId="1B00F6E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0.0537***</w:t>
            </w:r>
          </w:p>
        </w:tc>
      </w:tr>
      <w:tr w:rsidR="000A3F4A" w:rsidRPr="00880312" w14:paraId="307120B0" w14:textId="77777777" w:rsidTr="00C10661">
        <w:trPr>
          <w:cantSplit/>
          <w:trHeight w:hRule="exact" w:val="209"/>
          <w:jc w:val="center"/>
        </w:trPr>
        <w:tc>
          <w:tcPr>
            <w:tcW w:w="1712" w:type="dxa"/>
            <w:tcBorders>
              <w:left w:val="single" w:sz="4" w:space="0" w:color="auto"/>
            </w:tcBorders>
          </w:tcPr>
          <w:p w14:paraId="12EBAB3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761455D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(0.0504)</w:t>
            </w:r>
          </w:p>
        </w:tc>
        <w:tc>
          <w:tcPr>
            <w:tcW w:w="1701" w:type="dxa"/>
          </w:tcPr>
          <w:p w14:paraId="052DF26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(0.0002)</w:t>
            </w:r>
          </w:p>
        </w:tc>
        <w:tc>
          <w:tcPr>
            <w:tcW w:w="1701" w:type="dxa"/>
          </w:tcPr>
          <w:p w14:paraId="4EB9E07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(0.0185)</w:t>
            </w:r>
          </w:p>
        </w:tc>
        <w:tc>
          <w:tcPr>
            <w:tcW w:w="1275" w:type="dxa"/>
          </w:tcPr>
          <w:p w14:paraId="4BE611A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(0.0329)</w:t>
            </w:r>
          </w:p>
        </w:tc>
        <w:tc>
          <w:tcPr>
            <w:tcW w:w="1985" w:type="dxa"/>
            <w:tcBorders>
              <w:right w:val="single" w:sz="4" w:space="0" w:color="auto"/>
            </w:tcBorders>
          </w:tcPr>
          <w:p w14:paraId="543FD8E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(0.0199)</w:t>
            </w:r>
          </w:p>
        </w:tc>
      </w:tr>
      <w:tr w:rsidR="000A3F4A" w:rsidRPr="00880312" w14:paraId="246E7BD9" w14:textId="77777777" w:rsidTr="00C10661">
        <w:trPr>
          <w:cantSplit/>
          <w:trHeight w:hRule="exact" w:val="209"/>
          <w:jc w:val="center"/>
        </w:trPr>
        <w:tc>
          <w:tcPr>
            <w:tcW w:w="1712" w:type="dxa"/>
            <w:tcBorders>
              <w:left w:val="single" w:sz="4" w:space="0" w:color="auto"/>
            </w:tcBorders>
          </w:tcPr>
          <w:p w14:paraId="7EFFC2B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34DD20C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2400EF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0E8A35C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Pr>
          <w:p w14:paraId="673DE14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right w:val="single" w:sz="4" w:space="0" w:color="auto"/>
            </w:tcBorders>
          </w:tcPr>
          <w:p w14:paraId="4BF8D77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0A3F4A" w:rsidRPr="00880312" w14:paraId="56751B29" w14:textId="77777777" w:rsidTr="00C10661">
        <w:trPr>
          <w:cantSplit/>
          <w:trHeight w:hRule="exact" w:val="209"/>
          <w:jc w:val="center"/>
        </w:trPr>
        <w:tc>
          <w:tcPr>
            <w:tcW w:w="1712" w:type="dxa"/>
            <w:tcBorders>
              <w:left w:val="single" w:sz="4" w:space="0" w:color="auto"/>
            </w:tcBorders>
          </w:tcPr>
          <w:p w14:paraId="3D91ED3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2246A92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0BD42A44" w14:textId="77777777" w:rsidR="000A3F4A" w:rsidRPr="00880312" w:rsidRDefault="000A3F4A" w:rsidP="00C1066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0.0073</w:t>
            </w:r>
          </w:p>
        </w:tc>
        <w:tc>
          <w:tcPr>
            <w:tcW w:w="1701" w:type="dxa"/>
          </w:tcPr>
          <w:p w14:paraId="6566382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Pr>
          <w:p w14:paraId="1D856559"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right w:val="single" w:sz="4" w:space="0" w:color="auto"/>
            </w:tcBorders>
          </w:tcPr>
          <w:p w14:paraId="218DC2C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0A3F4A" w:rsidRPr="00880312" w14:paraId="373A0F2E" w14:textId="77777777" w:rsidTr="00C10661">
        <w:trPr>
          <w:cantSplit/>
          <w:trHeight w:hRule="exact" w:val="209"/>
          <w:jc w:val="center"/>
        </w:trPr>
        <w:tc>
          <w:tcPr>
            <w:tcW w:w="1712" w:type="dxa"/>
            <w:tcBorders>
              <w:left w:val="single" w:sz="4" w:space="0" w:color="auto"/>
            </w:tcBorders>
          </w:tcPr>
          <w:p w14:paraId="659FE4C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Constant</w:t>
            </w:r>
          </w:p>
        </w:tc>
        <w:tc>
          <w:tcPr>
            <w:tcW w:w="1123" w:type="dxa"/>
          </w:tcPr>
          <w:p w14:paraId="4219CF2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-0.0584</w:t>
            </w:r>
          </w:p>
        </w:tc>
        <w:tc>
          <w:tcPr>
            <w:tcW w:w="1701" w:type="dxa"/>
          </w:tcPr>
          <w:p w14:paraId="732C47CE" w14:textId="77777777" w:rsidR="000A3F4A" w:rsidRPr="00880312" w:rsidRDefault="000A3F4A" w:rsidP="00C1066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(0.0003)</w:t>
            </w:r>
          </w:p>
        </w:tc>
        <w:tc>
          <w:tcPr>
            <w:tcW w:w="1701" w:type="dxa"/>
          </w:tcPr>
          <w:p w14:paraId="04CB9EB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0.0624***</w:t>
            </w:r>
          </w:p>
        </w:tc>
        <w:tc>
          <w:tcPr>
            <w:tcW w:w="1275" w:type="dxa"/>
          </w:tcPr>
          <w:p w14:paraId="129506D6"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-0.364*</w:t>
            </w:r>
          </w:p>
        </w:tc>
        <w:tc>
          <w:tcPr>
            <w:tcW w:w="1985" w:type="dxa"/>
            <w:tcBorders>
              <w:right w:val="single" w:sz="4" w:space="0" w:color="auto"/>
            </w:tcBorders>
          </w:tcPr>
          <w:p w14:paraId="7A33FB3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0.1768***</w:t>
            </w:r>
          </w:p>
        </w:tc>
      </w:tr>
      <w:tr w:rsidR="000A3F4A" w:rsidRPr="00880312" w14:paraId="1E51A70A" w14:textId="77777777" w:rsidTr="00C10661">
        <w:trPr>
          <w:cantSplit/>
          <w:trHeight w:hRule="exact" w:val="426"/>
          <w:jc w:val="center"/>
        </w:trPr>
        <w:tc>
          <w:tcPr>
            <w:tcW w:w="1712" w:type="dxa"/>
            <w:tcBorders>
              <w:left w:val="single" w:sz="4" w:space="0" w:color="auto"/>
            </w:tcBorders>
          </w:tcPr>
          <w:p w14:paraId="49651E3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4745214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(0.0671)</w:t>
            </w:r>
          </w:p>
        </w:tc>
        <w:tc>
          <w:tcPr>
            <w:tcW w:w="1701" w:type="dxa"/>
          </w:tcPr>
          <w:p w14:paraId="4219D5C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742B870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(0.0203)</w:t>
            </w:r>
          </w:p>
        </w:tc>
        <w:tc>
          <w:tcPr>
            <w:tcW w:w="1275" w:type="dxa"/>
          </w:tcPr>
          <w:p w14:paraId="44E8709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(0.205)</w:t>
            </w:r>
          </w:p>
        </w:tc>
        <w:tc>
          <w:tcPr>
            <w:tcW w:w="1985" w:type="dxa"/>
            <w:tcBorders>
              <w:right w:val="single" w:sz="4" w:space="0" w:color="auto"/>
            </w:tcBorders>
          </w:tcPr>
          <w:p w14:paraId="2434F2C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(0.0226)</w:t>
            </w:r>
          </w:p>
        </w:tc>
      </w:tr>
      <w:tr w:rsidR="000A3F4A" w:rsidRPr="00880312" w14:paraId="35A69D93" w14:textId="77777777" w:rsidTr="00C10661">
        <w:trPr>
          <w:cantSplit/>
          <w:trHeight w:hRule="exact" w:val="209"/>
          <w:jc w:val="center"/>
        </w:trPr>
        <w:tc>
          <w:tcPr>
            <w:tcW w:w="1712" w:type="dxa"/>
            <w:tcBorders>
              <w:left w:val="single" w:sz="4" w:space="0" w:color="auto"/>
            </w:tcBorders>
          </w:tcPr>
          <w:p w14:paraId="3D81E4B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Pr>
          <w:p w14:paraId="3B2F9E7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2CDF033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Pr>
          <w:p w14:paraId="028C03F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Pr>
          <w:p w14:paraId="5081F00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right w:val="single" w:sz="4" w:space="0" w:color="auto"/>
            </w:tcBorders>
          </w:tcPr>
          <w:p w14:paraId="23E224B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r w:rsidR="000A3F4A" w:rsidRPr="00880312" w14:paraId="194B5AD6" w14:textId="77777777" w:rsidTr="00C10661">
        <w:trPr>
          <w:cantSplit/>
          <w:trHeight w:hRule="exact" w:val="209"/>
          <w:jc w:val="center"/>
        </w:trPr>
        <w:tc>
          <w:tcPr>
            <w:tcW w:w="1712" w:type="dxa"/>
            <w:tcBorders>
              <w:left w:val="single" w:sz="4" w:space="0" w:color="auto"/>
            </w:tcBorders>
          </w:tcPr>
          <w:p w14:paraId="53F7F33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Observations</w:t>
            </w:r>
          </w:p>
        </w:tc>
        <w:tc>
          <w:tcPr>
            <w:tcW w:w="1123" w:type="dxa"/>
          </w:tcPr>
          <w:p w14:paraId="6A3B0EA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752</w:t>
            </w:r>
          </w:p>
        </w:tc>
        <w:tc>
          <w:tcPr>
            <w:tcW w:w="1701" w:type="dxa"/>
          </w:tcPr>
          <w:p w14:paraId="76AEE06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701" w:type="dxa"/>
          </w:tcPr>
          <w:p w14:paraId="2DE4D72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1,615</w:t>
            </w:r>
          </w:p>
        </w:tc>
        <w:tc>
          <w:tcPr>
            <w:tcW w:w="1275" w:type="dxa"/>
          </w:tcPr>
          <w:p w14:paraId="3F1E719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1,317</w:t>
            </w:r>
          </w:p>
        </w:tc>
        <w:tc>
          <w:tcPr>
            <w:tcW w:w="1985" w:type="dxa"/>
            <w:tcBorders>
              <w:right w:val="single" w:sz="4" w:space="0" w:color="auto"/>
            </w:tcBorders>
          </w:tcPr>
          <w:p w14:paraId="0DF8B52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1506</w:t>
            </w:r>
          </w:p>
        </w:tc>
      </w:tr>
      <w:tr w:rsidR="000A3F4A" w:rsidRPr="00880312" w14:paraId="6F9E0205" w14:textId="77777777" w:rsidTr="00C10661">
        <w:trPr>
          <w:cantSplit/>
          <w:trHeight w:hRule="exact" w:val="209"/>
          <w:jc w:val="center"/>
        </w:trPr>
        <w:tc>
          <w:tcPr>
            <w:tcW w:w="1712" w:type="dxa"/>
            <w:tcBorders>
              <w:left w:val="single" w:sz="4" w:space="0" w:color="auto"/>
            </w:tcBorders>
          </w:tcPr>
          <w:p w14:paraId="7AE8954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R-squared</w:t>
            </w:r>
          </w:p>
        </w:tc>
        <w:tc>
          <w:tcPr>
            <w:tcW w:w="1123" w:type="dxa"/>
          </w:tcPr>
          <w:p w14:paraId="47B31D2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0.387</w:t>
            </w:r>
          </w:p>
        </w:tc>
        <w:tc>
          <w:tcPr>
            <w:tcW w:w="1701" w:type="dxa"/>
          </w:tcPr>
          <w:p w14:paraId="3D725E1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0.472</w:t>
            </w:r>
          </w:p>
        </w:tc>
        <w:tc>
          <w:tcPr>
            <w:tcW w:w="1701" w:type="dxa"/>
          </w:tcPr>
          <w:p w14:paraId="678FD0D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0.480</w:t>
            </w:r>
          </w:p>
        </w:tc>
        <w:tc>
          <w:tcPr>
            <w:tcW w:w="1275" w:type="dxa"/>
          </w:tcPr>
          <w:p w14:paraId="134CF047"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0.500</w:t>
            </w:r>
          </w:p>
        </w:tc>
        <w:tc>
          <w:tcPr>
            <w:tcW w:w="1985" w:type="dxa"/>
            <w:tcBorders>
              <w:right w:val="single" w:sz="4" w:space="0" w:color="auto"/>
            </w:tcBorders>
          </w:tcPr>
          <w:p w14:paraId="09AA918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0.359</w:t>
            </w:r>
          </w:p>
        </w:tc>
      </w:tr>
      <w:tr w:rsidR="000A3F4A" w:rsidRPr="00880312" w14:paraId="60EC8EEF" w14:textId="77777777" w:rsidTr="00C10661">
        <w:trPr>
          <w:cantSplit/>
          <w:trHeight w:hRule="exact" w:val="209"/>
          <w:jc w:val="center"/>
        </w:trPr>
        <w:tc>
          <w:tcPr>
            <w:tcW w:w="1712" w:type="dxa"/>
            <w:tcBorders>
              <w:left w:val="single" w:sz="4" w:space="0" w:color="auto"/>
              <w:bottom w:val="single" w:sz="4" w:space="0" w:color="auto"/>
            </w:tcBorders>
          </w:tcPr>
          <w:p w14:paraId="1BC05E1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Year F.E.</w:t>
            </w:r>
          </w:p>
        </w:tc>
        <w:tc>
          <w:tcPr>
            <w:tcW w:w="1123" w:type="dxa"/>
            <w:tcBorders>
              <w:bottom w:val="single" w:sz="4" w:space="0" w:color="auto"/>
            </w:tcBorders>
          </w:tcPr>
          <w:p w14:paraId="3DE5B3E1"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Borders>
              <w:bottom w:val="single" w:sz="4" w:space="0" w:color="auto"/>
            </w:tcBorders>
          </w:tcPr>
          <w:p w14:paraId="3032825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Borders>
              <w:bottom w:val="single" w:sz="4" w:space="0" w:color="auto"/>
            </w:tcBorders>
          </w:tcPr>
          <w:p w14:paraId="1CBE7DDA"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275" w:type="dxa"/>
            <w:tcBorders>
              <w:bottom w:val="single" w:sz="4" w:space="0" w:color="auto"/>
            </w:tcBorders>
          </w:tcPr>
          <w:p w14:paraId="52EEC38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985" w:type="dxa"/>
            <w:tcBorders>
              <w:bottom w:val="single" w:sz="4" w:space="0" w:color="auto"/>
              <w:right w:val="single" w:sz="4" w:space="0" w:color="auto"/>
            </w:tcBorders>
          </w:tcPr>
          <w:p w14:paraId="2CD0CA45"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r w:rsidR="000A3F4A" w:rsidRPr="00880312" w14:paraId="606F0583" w14:textId="77777777" w:rsidTr="00C10661">
        <w:trPr>
          <w:cantSplit/>
          <w:trHeight w:hRule="exact" w:val="209"/>
          <w:jc w:val="center"/>
        </w:trPr>
        <w:tc>
          <w:tcPr>
            <w:tcW w:w="1712" w:type="dxa"/>
            <w:tcBorders>
              <w:top w:val="single" w:sz="4" w:space="0" w:color="auto"/>
              <w:left w:val="single" w:sz="4" w:space="0" w:color="auto"/>
              <w:bottom w:val="single" w:sz="4" w:space="0" w:color="auto"/>
            </w:tcBorders>
          </w:tcPr>
          <w:p w14:paraId="6E3446CE"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Bank F.E.</w:t>
            </w:r>
          </w:p>
        </w:tc>
        <w:tc>
          <w:tcPr>
            <w:tcW w:w="1123" w:type="dxa"/>
            <w:tcBorders>
              <w:top w:val="single" w:sz="4" w:space="0" w:color="auto"/>
              <w:bottom w:val="single" w:sz="4" w:space="0" w:color="auto"/>
            </w:tcBorders>
          </w:tcPr>
          <w:p w14:paraId="668D40D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Borders>
              <w:top w:val="single" w:sz="4" w:space="0" w:color="auto"/>
              <w:bottom w:val="single" w:sz="4" w:space="0" w:color="auto"/>
            </w:tcBorders>
          </w:tcPr>
          <w:p w14:paraId="53FCBF6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701" w:type="dxa"/>
            <w:tcBorders>
              <w:top w:val="single" w:sz="4" w:space="0" w:color="auto"/>
              <w:bottom w:val="single" w:sz="4" w:space="0" w:color="auto"/>
            </w:tcBorders>
          </w:tcPr>
          <w:p w14:paraId="2246FF8D"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275" w:type="dxa"/>
            <w:tcBorders>
              <w:top w:val="single" w:sz="4" w:space="0" w:color="auto"/>
              <w:bottom w:val="single" w:sz="4" w:space="0" w:color="auto"/>
            </w:tcBorders>
          </w:tcPr>
          <w:p w14:paraId="18C67BB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c>
          <w:tcPr>
            <w:tcW w:w="1985" w:type="dxa"/>
            <w:tcBorders>
              <w:top w:val="single" w:sz="4" w:space="0" w:color="auto"/>
              <w:bottom w:val="single" w:sz="4" w:space="0" w:color="auto"/>
              <w:right w:val="single" w:sz="4" w:space="0" w:color="auto"/>
            </w:tcBorders>
          </w:tcPr>
          <w:p w14:paraId="118618B8"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880312">
              <w:rPr>
                <w:rFonts w:ascii="Times New Roman" w:eastAsia="Times New Roman" w:hAnsi="Times New Roman" w:cs="Times New Roman"/>
                <w:color w:val="000000"/>
                <w:sz w:val="20"/>
                <w:szCs w:val="20"/>
                <w:lang w:eastAsia="en-GB"/>
              </w:rPr>
              <w:t>Yes</w:t>
            </w:r>
          </w:p>
        </w:tc>
      </w:tr>
      <w:tr w:rsidR="000A3F4A" w:rsidRPr="00880312" w14:paraId="746730D3" w14:textId="77777777" w:rsidTr="00C10661">
        <w:trPr>
          <w:cantSplit/>
          <w:trHeight w:hRule="exact" w:val="209"/>
          <w:jc w:val="center"/>
        </w:trPr>
        <w:tc>
          <w:tcPr>
            <w:tcW w:w="1712" w:type="dxa"/>
            <w:tcBorders>
              <w:top w:val="single" w:sz="4" w:space="0" w:color="auto"/>
              <w:left w:val="single" w:sz="4" w:space="0" w:color="auto"/>
              <w:bottom w:val="single" w:sz="4" w:space="0" w:color="auto"/>
            </w:tcBorders>
          </w:tcPr>
          <w:p w14:paraId="1E33550C"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123" w:type="dxa"/>
            <w:tcBorders>
              <w:top w:val="single" w:sz="4" w:space="0" w:color="auto"/>
              <w:bottom w:val="single" w:sz="4" w:space="0" w:color="auto"/>
            </w:tcBorders>
          </w:tcPr>
          <w:p w14:paraId="32527AC3"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Borders>
              <w:top w:val="single" w:sz="4" w:space="0" w:color="auto"/>
              <w:bottom w:val="single" w:sz="4" w:space="0" w:color="auto"/>
            </w:tcBorders>
          </w:tcPr>
          <w:p w14:paraId="213C56AB"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701" w:type="dxa"/>
            <w:tcBorders>
              <w:top w:val="single" w:sz="4" w:space="0" w:color="auto"/>
              <w:bottom w:val="single" w:sz="4" w:space="0" w:color="auto"/>
            </w:tcBorders>
          </w:tcPr>
          <w:p w14:paraId="22D5B112"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275" w:type="dxa"/>
            <w:tcBorders>
              <w:top w:val="single" w:sz="4" w:space="0" w:color="auto"/>
              <w:bottom w:val="single" w:sz="4" w:space="0" w:color="auto"/>
            </w:tcBorders>
          </w:tcPr>
          <w:p w14:paraId="7AF6B5EF"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c>
          <w:tcPr>
            <w:tcW w:w="1985" w:type="dxa"/>
            <w:tcBorders>
              <w:top w:val="single" w:sz="4" w:space="0" w:color="auto"/>
              <w:bottom w:val="single" w:sz="4" w:space="0" w:color="auto"/>
              <w:right w:val="single" w:sz="4" w:space="0" w:color="auto"/>
            </w:tcBorders>
          </w:tcPr>
          <w:p w14:paraId="65AE8D14" w14:textId="77777777" w:rsidR="000A3F4A" w:rsidRPr="00880312" w:rsidRDefault="000A3F4A" w:rsidP="00C1066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en-GB"/>
              </w:rPr>
            </w:pPr>
          </w:p>
        </w:tc>
      </w:tr>
    </w:tbl>
    <w:p w14:paraId="6BF30A2A" w14:textId="2366AD09" w:rsidR="00E30E2D" w:rsidRDefault="00E30E2D" w:rsidP="00880312">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GB"/>
        </w:rPr>
      </w:pPr>
    </w:p>
    <w:p w14:paraId="04297608" w14:textId="77777777" w:rsidR="00E30E2D" w:rsidRDefault="00E30E2D" w:rsidP="00DE7639">
      <w:pPr>
        <w:pStyle w:val="Caption"/>
        <w:keepNext/>
      </w:pPr>
      <w:bookmarkStart w:id="137" w:name="_Toc132386111"/>
    </w:p>
    <w:bookmarkEnd w:id="137"/>
    <w:p w14:paraId="1B435EEB" w14:textId="3186B7F5" w:rsidR="009E69CE" w:rsidRDefault="009E69CE">
      <w:pPr>
        <w:rPr>
          <w:rFonts w:ascii="Times New Roman" w:eastAsia="Times New Roman" w:hAnsi="Times New Roman" w:cs="Times New Roman"/>
          <w:color w:val="000000"/>
          <w:sz w:val="24"/>
          <w:szCs w:val="24"/>
          <w:lang w:eastAsia="en-GB"/>
        </w:rPr>
      </w:pPr>
    </w:p>
    <w:p w14:paraId="3B8B91C7" w14:textId="77777777" w:rsidR="009E69CE" w:rsidRDefault="009E69CE">
      <w:pPr>
        <w:rPr>
          <w:rFonts w:ascii="Times New Roman" w:eastAsia="Times New Roman" w:hAnsi="Times New Roman" w:cs="Times New Roman"/>
          <w:color w:val="000000"/>
          <w:sz w:val="24"/>
          <w:szCs w:val="24"/>
          <w:lang w:eastAsia="en-GB"/>
        </w:rPr>
      </w:pPr>
    </w:p>
    <w:p w14:paraId="37C103F3" w14:textId="77777777" w:rsidR="009E69CE" w:rsidRDefault="009E69CE">
      <w:pPr>
        <w:rPr>
          <w:rFonts w:ascii="Times New Roman" w:eastAsia="Times New Roman" w:hAnsi="Times New Roman" w:cs="Times New Roman"/>
          <w:color w:val="000000"/>
          <w:sz w:val="24"/>
          <w:szCs w:val="24"/>
          <w:lang w:eastAsia="en-GB"/>
        </w:rPr>
      </w:pPr>
    </w:p>
    <w:p w14:paraId="4A168DA0" w14:textId="77777777" w:rsidR="009E69CE" w:rsidRDefault="009E69CE">
      <w:pPr>
        <w:rPr>
          <w:rFonts w:ascii="Times New Roman" w:eastAsia="Times New Roman" w:hAnsi="Times New Roman" w:cs="Times New Roman"/>
          <w:color w:val="000000"/>
          <w:sz w:val="24"/>
          <w:szCs w:val="24"/>
          <w:lang w:eastAsia="en-GB"/>
        </w:rPr>
      </w:pPr>
    </w:p>
    <w:p w14:paraId="45FFF38A" w14:textId="77777777" w:rsidR="009E69CE" w:rsidRDefault="009E69CE">
      <w:pPr>
        <w:rPr>
          <w:rFonts w:ascii="Times New Roman" w:eastAsia="Times New Roman" w:hAnsi="Times New Roman" w:cs="Times New Roman"/>
          <w:color w:val="000000"/>
          <w:sz w:val="24"/>
          <w:szCs w:val="24"/>
          <w:lang w:eastAsia="en-GB"/>
        </w:rPr>
      </w:pPr>
    </w:p>
    <w:p w14:paraId="68BBE311" w14:textId="77777777" w:rsidR="009E69CE" w:rsidRDefault="009E69CE">
      <w:pPr>
        <w:rPr>
          <w:rFonts w:ascii="Times New Roman" w:eastAsia="Times New Roman" w:hAnsi="Times New Roman" w:cs="Times New Roman"/>
          <w:color w:val="000000"/>
          <w:sz w:val="24"/>
          <w:szCs w:val="24"/>
          <w:lang w:eastAsia="en-GB"/>
        </w:rPr>
      </w:pPr>
    </w:p>
    <w:p w14:paraId="255D45E1" w14:textId="77777777" w:rsidR="009E69CE" w:rsidRDefault="009E69CE">
      <w:pPr>
        <w:rPr>
          <w:rFonts w:ascii="Times New Roman" w:eastAsia="Times New Roman" w:hAnsi="Times New Roman" w:cs="Times New Roman"/>
          <w:color w:val="000000"/>
          <w:sz w:val="24"/>
          <w:szCs w:val="24"/>
          <w:lang w:eastAsia="en-GB"/>
        </w:rPr>
      </w:pPr>
    </w:p>
    <w:p w14:paraId="19F85D3A" w14:textId="77777777" w:rsidR="009E69CE" w:rsidRDefault="009E69CE">
      <w:pPr>
        <w:rPr>
          <w:rFonts w:ascii="Times New Roman" w:eastAsia="Times New Roman" w:hAnsi="Times New Roman" w:cs="Times New Roman"/>
          <w:color w:val="000000"/>
          <w:sz w:val="24"/>
          <w:szCs w:val="24"/>
          <w:lang w:eastAsia="en-GB"/>
        </w:rPr>
      </w:pPr>
    </w:p>
    <w:p w14:paraId="61887E29" w14:textId="4FC6D8B8" w:rsidR="005A6135" w:rsidRPr="009E69CE" w:rsidRDefault="009E69CE" w:rsidP="009E69CE">
      <w:pPr>
        <w:jc w:val="center"/>
        <w:rPr>
          <w:rFonts w:ascii="Times New Roman" w:eastAsia="Times New Roman" w:hAnsi="Times New Roman" w:cs="Times New Roman"/>
          <w:b/>
          <w:bCs/>
          <w:i/>
          <w:iCs/>
          <w:color w:val="000000"/>
          <w:sz w:val="48"/>
          <w:szCs w:val="48"/>
          <w:lang w:eastAsia="en-GB"/>
        </w:rPr>
      </w:pPr>
      <w:r w:rsidRPr="009E69CE">
        <w:rPr>
          <w:rFonts w:ascii="Times New Roman" w:eastAsia="Times New Roman" w:hAnsi="Times New Roman" w:cs="Times New Roman"/>
          <w:b/>
          <w:bCs/>
          <w:i/>
          <w:iCs/>
          <w:color w:val="000000"/>
          <w:sz w:val="48"/>
          <w:szCs w:val="48"/>
          <w:lang w:eastAsia="en-GB"/>
        </w:rPr>
        <w:t>CHAPTER 5</w:t>
      </w:r>
      <w:r w:rsidR="005A6135" w:rsidRPr="009E69CE">
        <w:rPr>
          <w:rFonts w:ascii="Times New Roman" w:eastAsia="Times New Roman" w:hAnsi="Times New Roman" w:cs="Times New Roman"/>
          <w:b/>
          <w:bCs/>
          <w:i/>
          <w:iCs/>
          <w:color w:val="000000"/>
          <w:sz w:val="48"/>
          <w:szCs w:val="48"/>
          <w:lang w:eastAsia="en-GB"/>
        </w:rPr>
        <w:br w:type="page"/>
      </w:r>
    </w:p>
    <w:p w14:paraId="28C005E0" w14:textId="77777777" w:rsidR="001278ED" w:rsidRDefault="001278ED">
      <w:pPr>
        <w:rPr>
          <w:rFonts w:ascii="Times New Roman" w:eastAsia="Times New Roman" w:hAnsi="Times New Roman" w:cs="Times New Roman"/>
          <w:color w:val="000000"/>
          <w:sz w:val="24"/>
          <w:szCs w:val="24"/>
          <w:lang w:eastAsia="en-GB"/>
        </w:rPr>
      </w:pPr>
    </w:p>
    <w:p w14:paraId="53D0CA5F" w14:textId="77777777" w:rsidR="00880312" w:rsidRDefault="00880312" w:rsidP="0088031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en-GB"/>
        </w:rPr>
      </w:pPr>
    </w:p>
    <w:p w14:paraId="4A89368E" w14:textId="0CFEB7A3" w:rsidR="00A9015F" w:rsidRDefault="00A9015F" w:rsidP="0088031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en-GB"/>
        </w:rPr>
      </w:pPr>
    </w:p>
    <w:p w14:paraId="3D74A184" w14:textId="2B11FDF8" w:rsidR="00A9015F" w:rsidRPr="003C31AF" w:rsidRDefault="00A9015F" w:rsidP="00963CA8">
      <w:pPr>
        <w:pStyle w:val="Heading1"/>
        <w:rPr>
          <w:sz w:val="36"/>
          <w:szCs w:val="36"/>
        </w:rPr>
      </w:pPr>
      <w:bookmarkStart w:id="138" w:name="_Toc145616210"/>
      <w:r>
        <w:t>5</w:t>
      </w:r>
      <w:r w:rsidR="00963CA8">
        <w:t xml:space="preserve">. </w:t>
      </w:r>
      <w:r w:rsidRPr="003C31AF">
        <w:rPr>
          <w:sz w:val="36"/>
          <w:szCs w:val="36"/>
        </w:rPr>
        <w:t xml:space="preserve">Independent </w:t>
      </w:r>
      <w:r w:rsidR="0054526F" w:rsidRPr="003C31AF">
        <w:rPr>
          <w:sz w:val="36"/>
          <w:szCs w:val="36"/>
        </w:rPr>
        <w:t xml:space="preserve">Non-Executive </w:t>
      </w:r>
      <w:r w:rsidRPr="003C31AF">
        <w:rPr>
          <w:sz w:val="36"/>
          <w:szCs w:val="36"/>
        </w:rPr>
        <w:t>Director</w:t>
      </w:r>
      <w:r w:rsidR="0054526F" w:rsidRPr="003C31AF">
        <w:rPr>
          <w:sz w:val="36"/>
          <w:szCs w:val="36"/>
        </w:rPr>
        <w:t>s (INEDs)</w:t>
      </w:r>
      <w:r w:rsidRPr="003C31AF">
        <w:rPr>
          <w:sz w:val="36"/>
          <w:szCs w:val="36"/>
        </w:rPr>
        <w:t xml:space="preserve"> Heterogeneity and Bank Misconduct</w:t>
      </w:r>
      <w:bookmarkEnd w:id="138"/>
    </w:p>
    <w:p w14:paraId="577087C4" w14:textId="77777777" w:rsidR="00A9015F" w:rsidRDefault="00A9015F" w:rsidP="00A9015F">
      <w:pPr>
        <w:spacing w:line="360" w:lineRule="auto"/>
        <w:rPr>
          <w:rFonts w:ascii="Times New Roman" w:eastAsia="Times New Roman" w:hAnsi="Times New Roman" w:cs="Times New Roman"/>
          <w:b/>
          <w:bCs/>
          <w:sz w:val="24"/>
          <w:szCs w:val="24"/>
        </w:rPr>
      </w:pPr>
    </w:p>
    <w:p w14:paraId="5B18C5C4" w14:textId="167334C4" w:rsidR="00A9015F" w:rsidRPr="003C31AF" w:rsidRDefault="00A9015F" w:rsidP="003C31AF">
      <w:pPr>
        <w:pStyle w:val="Heading2"/>
        <w:numPr>
          <w:ilvl w:val="0"/>
          <w:numId w:val="31"/>
        </w:numPr>
        <w:rPr>
          <w:sz w:val="32"/>
          <w:szCs w:val="32"/>
        </w:rPr>
      </w:pPr>
      <w:bookmarkStart w:id="139" w:name="_Toc145616211"/>
      <w:r w:rsidRPr="003C31AF">
        <w:rPr>
          <w:sz w:val="32"/>
          <w:szCs w:val="32"/>
        </w:rPr>
        <w:t>Introduction</w:t>
      </w:r>
      <w:bookmarkEnd w:id="139"/>
    </w:p>
    <w:p w14:paraId="6067D461" w14:textId="57A54846"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In recent years, increasing scandals and financial misconduct incidents have </w:t>
      </w:r>
      <w:r w:rsidR="00963CA8">
        <w:rPr>
          <w:rFonts w:ascii="Times New Roman" w:eastAsia="Times New Roman" w:hAnsi="Times New Roman" w:cs="Times New Roman"/>
          <w:sz w:val="24"/>
          <w:szCs w:val="24"/>
        </w:rPr>
        <w:t>sharply declined</w:t>
      </w:r>
      <w:r w:rsidRPr="00A9015F">
        <w:rPr>
          <w:rFonts w:ascii="Times New Roman" w:eastAsia="Times New Roman" w:hAnsi="Times New Roman" w:cs="Times New Roman"/>
          <w:sz w:val="24"/>
          <w:szCs w:val="24"/>
        </w:rPr>
        <w:t xml:space="preserve"> banks' financial and reputational conduct (Nguyen et al., 2016). Banks must take steps </w:t>
      </w:r>
      <w:r w:rsidR="00963CA8">
        <w:rPr>
          <w:rFonts w:ascii="Times New Roman" w:eastAsia="Times New Roman" w:hAnsi="Times New Roman" w:cs="Times New Roman"/>
          <w:sz w:val="24"/>
          <w:szCs w:val="24"/>
        </w:rPr>
        <w:t>to mitigate</w:t>
      </w:r>
      <w:r w:rsidRPr="00A9015F">
        <w:rPr>
          <w:rFonts w:ascii="Times New Roman" w:eastAsia="Times New Roman" w:hAnsi="Times New Roman" w:cs="Times New Roman"/>
          <w:sz w:val="24"/>
          <w:szCs w:val="24"/>
        </w:rPr>
        <w:t xml:space="preserve"> misconduct </w:t>
      </w:r>
      <w:r w:rsidR="00963CA8">
        <w:rPr>
          <w:rFonts w:ascii="Times New Roman" w:eastAsia="Times New Roman" w:hAnsi="Times New Roman" w:cs="Times New Roman"/>
          <w:sz w:val="24"/>
          <w:szCs w:val="24"/>
        </w:rPr>
        <w:t>to uphold the reputation and public confidence and</w:t>
      </w:r>
      <w:r w:rsidRPr="00A9015F">
        <w:rPr>
          <w:rFonts w:ascii="Times New Roman" w:eastAsia="Times New Roman" w:hAnsi="Times New Roman" w:cs="Times New Roman"/>
          <w:sz w:val="24"/>
          <w:szCs w:val="24"/>
        </w:rPr>
        <w:t xml:space="preserve"> the soundness of the banking sector (Amiram et al., 2018). Despite the regulatory efforts to reduce bank misconduct, the misconduct amount worldwide stood at £370 billion between 2008-2018 (Arnaboldi et al., 2021). The increasing number of bank misconducts clearly shows the board's failure in fulfilling their fiduciary responsibilities (Zaman et al., 2021). Recognizing the interest of stakeholders, researchers have made considerable effort to identify why boards fail and </w:t>
      </w:r>
      <w:r>
        <w:rPr>
          <w:rFonts w:ascii="Times New Roman" w:eastAsia="Times New Roman" w:hAnsi="Times New Roman" w:cs="Times New Roman"/>
          <w:sz w:val="24"/>
          <w:szCs w:val="24"/>
        </w:rPr>
        <w:t>the possible solutions to make board</w:t>
      </w:r>
      <w:r w:rsidRPr="00A9015F">
        <w:rPr>
          <w:rFonts w:ascii="Times New Roman" w:eastAsia="Times New Roman" w:hAnsi="Times New Roman" w:cs="Times New Roman"/>
          <w:sz w:val="24"/>
          <w:szCs w:val="24"/>
        </w:rPr>
        <w:t xml:space="preserve">s effective monitors (Hambrick and Jackson, 2000; Hambrick et al., 2015; Nguyen et al., 2016; Gurshonuv et al., 2021). The most prominent solution from </w:t>
      </w:r>
      <w:r w:rsidR="001278ED" w:rsidRPr="00A9015F">
        <w:rPr>
          <w:rFonts w:ascii="Times New Roman" w:eastAsia="Times New Roman" w:hAnsi="Times New Roman" w:cs="Times New Roman"/>
          <w:sz w:val="24"/>
          <w:szCs w:val="24"/>
        </w:rPr>
        <w:t>th</w:t>
      </w:r>
      <w:r w:rsidR="009C5F81">
        <w:rPr>
          <w:rFonts w:ascii="Times New Roman" w:eastAsia="Times New Roman" w:hAnsi="Times New Roman" w:cs="Times New Roman"/>
          <w:sz w:val="24"/>
          <w:szCs w:val="24"/>
        </w:rPr>
        <w:t>ese</w:t>
      </w:r>
      <w:r w:rsidR="001278ED" w:rsidRPr="00A9015F">
        <w:rPr>
          <w:rFonts w:ascii="Times New Roman" w:eastAsia="Times New Roman" w:hAnsi="Times New Roman" w:cs="Times New Roman"/>
          <w:sz w:val="24"/>
          <w:szCs w:val="24"/>
        </w:rPr>
        <w:t xml:space="preserve"> research</w:t>
      </w:r>
      <w:r w:rsidR="009C5F81">
        <w:rPr>
          <w:rFonts w:ascii="Times New Roman" w:eastAsia="Times New Roman" w:hAnsi="Times New Roman" w:cs="Times New Roman"/>
          <w:sz w:val="24"/>
          <w:szCs w:val="24"/>
        </w:rPr>
        <w:t>es</w:t>
      </w:r>
      <w:r w:rsidRPr="00A9015F">
        <w:rPr>
          <w:rFonts w:ascii="Times New Roman" w:eastAsia="Times New Roman" w:hAnsi="Times New Roman" w:cs="Times New Roman"/>
          <w:sz w:val="24"/>
          <w:szCs w:val="24"/>
        </w:rPr>
        <w:t xml:space="preserve"> is to increase the percentage of independent directors on the board. </w:t>
      </w:r>
    </w:p>
    <w:p w14:paraId="0A4B87D3" w14:textId="7AD29A2A"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The regulators also highlight the importance of board independence (Sarbanes Oxley Act-2002; BIS, 2010, 2015</w:t>
      </w:r>
      <w:r w:rsidRPr="00A9015F">
        <w:rPr>
          <w:rFonts w:ascii="Times New Roman" w:eastAsia="Times New Roman" w:hAnsi="Times New Roman" w:cs="Times New Roman"/>
          <w:b/>
          <w:bCs/>
          <w:sz w:val="24"/>
          <w:szCs w:val="24"/>
        </w:rPr>
        <w:t xml:space="preserve">). </w:t>
      </w:r>
      <w:r w:rsidRPr="00A9015F">
        <w:rPr>
          <w:rFonts w:ascii="Times New Roman" w:eastAsia="Times New Roman" w:hAnsi="Times New Roman" w:cs="Times New Roman"/>
          <w:sz w:val="24"/>
          <w:szCs w:val="24"/>
        </w:rPr>
        <w:t xml:space="preserve">However, there is conflicting evidence on whether board independence can result in effective monitoring. On the one hand, a stream of the literature suggests that independent directors are effective monitors and result in reducing misconduct (Beasley et al., 1996; Agarwal and Chadha, 2005; Jain and Zaman, 2020). On the other hand, the </w:t>
      </w:r>
      <w:r>
        <w:rPr>
          <w:rFonts w:ascii="Times New Roman" w:eastAsia="Times New Roman" w:hAnsi="Times New Roman" w:cs="Times New Roman"/>
          <w:sz w:val="24"/>
          <w:szCs w:val="24"/>
        </w:rPr>
        <w:t>additional</w:t>
      </w:r>
      <w:r w:rsidRPr="00A9015F">
        <w:rPr>
          <w:rFonts w:ascii="Times New Roman" w:eastAsia="Times New Roman" w:hAnsi="Times New Roman" w:cs="Times New Roman"/>
          <w:sz w:val="24"/>
          <w:szCs w:val="24"/>
        </w:rPr>
        <w:t xml:space="preserve"> st</w:t>
      </w:r>
      <w:r w:rsidR="00963CA8">
        <w:rPr>
          <w:rFonts w:ascii="Times New Roman" w:eastAsia="Times New Roman" w:hAnsi="Times New Roman" w:cs="Times New Roman"/>
          <w:sz w:val="24"/>
          <w:szCs w:val="24"/>
        </w:rPr>
        <w:t>r</w:t>
      </w:r>
      <w:r w:rsidRPr="00A9015F">
        <w:rPr>
          <w:rFonts w:ascii="Times New Roman" w:eastAsia="Times New Roman" w:hAnsi="Times New Roman" w:cs="Times New Roman"/>
          <w:sz w:val="24"/>
          <w:szCs w:val="24"/>
        </w:rPr>
        <w:t>eam of studies fail</w:t>
      </w:r>
      <w:r>
        <w:rPr>
          <w:rFonts w:ascii="Times New Roman" w:eastAsia="Times New Roman" w:hAnsi="Times New Roman" w:cs="Times New Roman"/>
          <w:sz w:val="24"/>
          <w:szCs w:val="24"/>
        </w:rPr>
        <w:t>s to show independent directors' impact</w:t>
      </w:r>
      <w:r w:rsidRPr="00A9015F">
        <w:rPr>
          <w:rFonts w:ascii="Times New Roman" w:eastAsia="Times New Roman" w:hAnsi="Times New Roman" w:cs="Times New Roman"/>
          <w:sz w:val="24"/>
          <w:szCs w:val="24"/>
        </w:rPr>
        <w:t xml:space="preserve"> on bank misconduct (Coles et al., 2014; Nguyen et al., 2016). Boivie et al. (2016) argue that external job demands and norms of respect prevent independent directors from being effective monitors. Baghdadi et al. (2020), Lee et al. (2020), and Lim et al. (2020) identify the director's connection with the management as a cause of ineffective monitoring. Further, Zaman et al. (2021) explain that co-opted directors (i.e. directors selected by the current CEO) have their loyalties towards management, thus resulting in poor monitoring. </w:t>
      </w:r>
    </w:p>
    <w:p w14:paraId="0EA6636D" w14:textId="767930EF"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Furthermore, achieving true independence in financial institutions becomes challenging due to the business's complex and opaque nature (Adams, 2012; Mollah et al., 2021). It has been argued in the literature that percentage of independent directors alone is not a sufficient criterion to determine governance efficacy (John et al., 2016). Along with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percentage, </w:t>
      </w:r>
      <w:r>
        <w:rPr>
          <w:rFonts w:ascii="Times New Roman" w:eastAsia="Times New Roman" w:hAnsi="Times New Roman" w:cs="Times New Roman"/>
          <w:sz w:val="24"/>
          <w:szCs w:val="24"/>
        </w:rPr>
        <w:t>the "quality" of independent directors should also be emphasised</w:t>
      </w:r>
      <w:r w:rsidRPr="00A9015F">
        <w:rPr>
          <w:rFonts w:ascii="Times New Roman" w:eastAsia="Times New Roman" w:hAnsi="Times New Roman" w:cs="Times New Roman"/>
          <w:sz w:val="24"/>
          <w:szCs w:val="24"/>
        </w:rPr>
        <w:t xml:space="preserve"> to improve board effectiveness (John et al., 2016). </w:t>
      </w:r>
      <w:r>
        <w:rPr>
          <w:rFonts w:ascii="Times New Roman" w:eastAsia="Times New Roman" w:hAnsi="Times New Roman" w:cs="Times New Roman"/>
          <w:sz w:val="24"/>
          <w:szCs w:val="24"/>
        </w:rPr>
        <w:t>D</w:t>
      </w:r>
      <w:r w:rsidRPr="00A9015F">
        <w:rPr>
          <w:rFonts w:ascii="Times New Roman" w:eastAsia="Times New Roman" w:hAnsi="Times New Roman" w:cs="Times New Roman"/>
          <w:sz w:val="24"/>
          <w:szCs w:val="24"/>
        </w:rPr>
        <w:t xml:space="preserve">iversity among directors </w:t>
      </w:r>
      <w:r>
        <w:rPr>
          <w:rFonts w:ascii="Times New Roman" w:eastAsia="Times New Roman" w:hAnsi="Times New Roman" w:cs="Times New Roman"/>
          <w:sz w:val="24"/>
          <w:szCs w:val="24"/>
        </w:rPr>
        <w:t>is essential</w:t>
      </w:r>
      <w:r w:rsidRPr="00A9015F">
        <w:rPr>
          <w:rFonts w:ascii="Times New Roman" w:eastAsia="Times New Roman" w:hAnsi="Times New Roman" w:cs="Times New Roman"/>
          <w:sz w:val="24"/>
          <w:szCs w:val="24"/>
        </w:rPr>
        <w:t xml:space="preserve"> in enhancing board effectiveness (Bernile et al., 2018; Arnaboldi et al., 2020). The main reason </w:t>
      </w:r>
      <w:r>
        <w:rPr>
          <w:rFonts w:ascii="Times New Roman" w:eastAsia="Times New Roman" w:hAnsi="Times New Roman" w:cs="Times New Roman"/>
          <w:sz w:val="24"/>
          <w:szCs w:val="24"/>
        </w:rPr>
        <w:t>for supporting</w:t>
      </w:r>
      <w:r w:rsidRPr="00A9015F">
        <w:rPr>
          <w:rFonts w:ascii="Times New Roman" w:eastAsia="Times New Roman" w:hAnsi="Times New Roman" w:cs="Times New Roman"/>
          <w:sz w:val="24"/>
          <w:szCs w:val="24"/>
        </w:rPr>
        <w:t xml:space="preserve"> diversity is that diverse boards tend to be more productive, improve decision making and bring in more resources and expertise (Midavaine et al., 2016; Akram et al., 2020; Arnaboldi et al., 2020). Prior literature has focused on board diversity </w:t>
      </w:r>
      <w:r>
        <w:rPr>
          <w:rFonts w:ascii="Times New Roman" w:eastAsia="Times New Roman" w:hAnsi="Times New Roman" w:cs="Times New Roman"/>
          <w:sz w:val="24"/>
          <w:szCs w:val="24"/>
        </w:rPr>
        <w:t>concerning</w:t>
      </w:r>
      <w:r w:rsidRPr="00A9015F">
        <w:rPr>
          <w:rFonts w:ascii="Times New Roman" w:eastAsia="Times New Roman" w:hAnsi="Times New Roman" w:cs="Times New Roman"/>
          <w:sz w:val="24"/>
          <w:szCs w:val="24"/>
        </w:rPr>
        <w:t xml:space="preserve"> gender, age, ethnicity, educational background, financial expertise, and breadth of board experience and shows that diverse boards exhibit lower volatility and better performance (Bernile et al.,2018; Arnaboldi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2021), less risk-taking (Mollah et al., 2021), lower misconduct (Cumming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2015), higher level of capital ratios and quick adjustment to capital structure (Gilani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2021), innovativeness (West and Anderson, 1996), better at addressing environmental complexities (Keck, 1997) and result in superior monitoring performance (Li and Wahid, 2018). </w:t>
      </w:r>
    </w:p>
    <w:p w14:paraId="1AB414CD" w14:textId="77777777" w:rsid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This study investigates the impact of heterogeneity in independent directors (INED hereafter) attributes on bank misconduct. We take bank misconduct data for U.S. banks and bank holding companies using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Violation Tracker database for 2004-2020. We find that a higher percentage of independent directors increases bank misconduct. However, heterogeneity </w:t>
      </w:r>
      <w:r>
        <w:rPr>
          <w:rFonts w:ascii="Times New Roman" w:eastAsia="Times New Roman" w:hAnsi="Times New Roman" w:cs="Times New Roman"/>
          <w:sz w:val="24"/>
          <w:szCs w:val="24"/>
        </w:rPr>
        <w:t>concerning</w:t>
      </w:r>
      <w:r w:rsidRPr="00A9015F">
        <w:rPr>
          <w:rFonts w:ascii="Times New Roman" w:eastAsia="Times New Roman" w:hAnsi="Times New Roman" w:cs="Times New Roman"/>
          <w:sz w:val="24"/>
          <w:szCs w:val="24"/>
        </w:rPr>
        <w:t xml:space="preserve"> gender, financial expertise and tenure of independent directors prevent</w:t>
      </w:r>
      <w:r>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bank from misconduct. </w:t>
      </w:r>
      <w:r>
        <w:rPr>
          <w:rFonts w:ascii="Times New Roman" w:eastAsia="Times New Roman" w:hAnsi="Times New Roman" w:cs="Times New Roman"/>
          <w:sz w:val="24"/>
          <w:szCs w:val="24"/>
        </w:rPr>
        <w:t>Our three heterogeneity measure results</w:t>
      </w:r>
      <w:r w:rsidRPr="00A9015F">
        <w:rPr>
          <w:rFonts w:ascii="Times New Roman" w:eastAsia="Times New Roman" w:hAnsi="Times New Roman" w:cs="Times New Roman"/>
          <w:sz w:val="24"/>
          <w:szCs w:val="24"/>
        </w:rPr>
        <w:t xml:space="preserve"> are consistent with the literature exploring the link between director’s heterogeneity and bank risk (Gilani et al., 2021; Arnaboldi et al., 2021; Mollah et al., 2021, Nguyen et al., 2016).</w:t>
      </w:r>
    </w:p>
    <w:p w14:paraId="204101CD" w14:textId="545A4842"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Further, using these three attributes, we construct a heterogeneity index. We build the heterogeneity index on the notion that </w:t>
      </w:r>
      <w:r>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more diverse board perform better because of the benefit of multiple skills and experience (Nelson, 2014). We follow Bernile et al. (2016) and suggest that combining different sources of diversity influences the achievement of the agreement essential for </w:t>
      </w:r>
      <w:r>
        <w:rPr>
          <w:rFonts w:ascii="Times New Roman" w:eastAsia="Times New Roman" w:hAnsi="Times New Roman" w:cs="Times New Roman"/>
          <w:sz w:val="24"/>
          <w:szCs w:val="24"/>
        </w:rPr>
        <w:t>a</w:t>
      </w:r>
      <w:r w:rsidRPr="00A9015F">
        <w:rPr>
          <w:rFonts w:ascii="Times New Roman" w:eastAsia="Times New Roman" w:hAnsi="Times New Roman" w:cs="Times New Roman"/>
          <w:sz w:val="24"/>
          <w:szCs w:val="24"/>
        </w:rPr>
        <w:t xml:space="preserve"> well-functioning board, compared to using only </w:t>
      </w:r>
      <w:r>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single dimension of diversity. Our results show </w:t>
      </w:r>
      <w:r w:rsidR="003C6A44">
        <w:rPr>
          <w:rFonts w:ascii="Times New Roman" w:eastAsia="Times New Roman" w:hAnsi="Times New Roman" w:cs="Times New Roman"/>
          <w:sz w:val="24"/>
          <w:szCs w:val="24"/>
        </w:rPr>
        <w:t>a negative relationship between INED het</w:t>
      </w:r>
      <w:r w:rsidR="00963CA8">
        <w:rPr>
          <w:rFonts w:ascii="Times New Roman" w:eastAsia="Times New Roman" w:hAnsi="Times New Roman" w:cs="Times New Roman"/>
          <w:sz w:val="24"/>
          <w:szCs w:val="24"/>
        </w:rPr>
        <w:t>erogene</w:t>
      </w:r>
      <w:r w:rsidR="003C6A44">
        <w:rPr>
          <w:rFonts w:ascii="Times New Roman" w:eastAsia="Times New Roman" w:hAnsi="Times New Roman" w:cs="Times New Roman"/>
          <w:sz w:val="24"/>
          <w:szCs w:val="24"/>
        </w:rPr>
        <w:t xml:space="preserve">ity index and bank misconduct. </w:t>
      </w:r>
    </w:p>
    <w:p w14:paraId="7B6C2646" w14:textId="70A92501"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use several techniques to deal with possible </w:t>
      </w:r>
      <w:r w:rsidR="003C6A44">
        <w:rPr>
          <w:rFonts w:ascii="Times New Roman" w:eastAsia="Times New Roman" w:hAnsi="Times New Roman" w:cs="Times New Roman"/>
          <w:sz w:val="24"/>
          <w:szCs w:val="24"/>
        </w:rPr>
        <w:t xml:space="preserve">issues of </w:t>
      </w:r>
      <w:r w:rsidRPr="00A9015F">
        <w:rPr>
          <w:rFonts w:ascii="Times New Roman" w:eastAsia="Times New Roman" w:hAnsi="Times New Roman" w:cs="Times New Roman"/>
          <w:sz w:val="24"/>
          <w:szCs w:val="24"/>
        </w:rPr>
        <w:t xml:space="preserve">endogeneity. First, we </w:t>
      </w:r>
      <w:r w:rsidR="003C6A44">
        <w:rPr>
          <w:rFonts w:ascii="Times New Roman" w:eastAsia="Times New Roman" w:hAnsi="Times New Roman" w:cs="Times New Roman"/>
          <w:sz w:val="24"/>
          <w:szCs w:val="24"/>
        </w:rPr>
        <w:t xml:space="preserve">resolve the issue of </w:t>
      </w:r>
      <w:r w:rsidRPr="00A9015F">
        <w:rPr>
          <w:rFonts w:ascii="Times New Roman" w:eastAsia="Times New Roman" w:hAnsi="Times New Roman" w:cs="Times New Roman"/>
          <w:sz w:val="24"/>
          <w:szCs w:val="24"/>
        </w:rPr>
        <w:t xml:space="preserve">reverse causality by taking one year lag of all our independent and control variables. Second, we use an IV model using 2SLS regression to solve the issue of reverse causality. Third, </w:t>
      </w:r>
      <w:r w:rsidR="003C6A44">
        <w:rPr>
          <w:rFonts w:ascii="Times New Roman" w:eastAsia="Times New Roman" w:hAnsi="Times New Roman" w:cs="Times New Roman"/>
          <w:sz w:val="24"/>
          <w:szCs w:val="24"/>
        </w:rPr>
        <w:t>to deal with the issue of sample selection bias</w:t>
      </w:r>
      <w:r w:rsidR="00963CA8">
        <w:rPr>
          <w:rFonts w:ascii="Times New Roman" w:eastAsia="Times New Roman" w:hAnsi="Times New Roman" w:cs="Times New Roman"/>
          <w:sz w:val="24"/>
          <w:szCs w:val="24"/>
        </w:rPr>
        <w:t>,</w:t>
      </w:r>
      <w:r w:rsidR="003C6A44">
        <w:rPr>
          <w:rFonts w:ascii="Times New Roman" w:eastAsia="Times New Roman" w:hAnsi="Times New Roman" w:cs="Times New Roman"/>
          <w:sz w:val="24"/>
          <w:szCs w:val="24"/>
        </w:rPr>
        <w:t xml:space="preserve"> we apply </w:t>
      </w:r>
      <w:r w:rsidRPr="00A9015F">
        <w:rPr>
          <w:rFonts w:ascii="Times New Roman" w:eastAsia="Times New Roman" w:hAnsi="Times New Roman" w:cs="Times New Roman"/>
          <w:sz w:val="24"/>
          <w:szCs w:val="24"/>
        </w:rPr>
        <w:t>Propensity Score Matching (PSM) analysis to identify banks that have experienced penalt</w:t>
      </w:r>
      <w:r>
        <w:rPr>
          <w:rFonts w:ascii="Times New Roman" w:eastAsia="Times New Roman" w:hAnsi="Times New Roman" w:cs="Times New Roman"/>
          <w:sz w:val="24"/>
          <w:szCs w:val="24"/>
        </w:rPr>
        <w:t>ies</w:t>
      </w:r>
      <w:r w:rsidRPr="00A9015F">
        <w:rPr>
          <w:rFonts w:ascii="Times New Roman" w:eastAsia="Times New Roman" w:hAnsi="Times New Roman" w:cs="Times New Roman"/>
          <w:sz w:val="24"/>
          <w:szCs w:val="24"/>
        </w:rPr>
        <w:t xml:space="preserve"> and are indistinguishable from banks that have not experienced any penalty at any point in time. </w:t>
      </w:r>
      <w:r>
        <w:rPr>
          <w:rFonts w:ascii="Times New Roman" w:eastAsia="Times New Roman" w:hAnsi="Times New Roman" w:cs="Times New Roman"/>
          <w:sz w:val="24"/>
          <w:szCs w:val="24"/>
        </w:rPr>
        <w:t>We find the results consistent with our baseline findings in all the tests addressing the endogeneity issue</w:t>
      </w:r>
      <w:r w:rsidRPr="00A9015F">
        <w:rPr>
          <w:rFonts w:ascii="Times New Roman" w:eastAsia="Times New Roman" w:hAnsi="Times New Roman" w:cs="Times New Roman"/>
          <w:sz w:val="24"/>
          <w:szCs w:val="24"/>
        </w:rPr>
        <w:t>s.</w:t>
      </w:r>
      <w:r w:rsidR="00963CA8">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Our findings remain reliable even after applying many robustness tests: (i) using alternative measurement of bank misconduct</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i.e. </w:t>
      </w:r>
      <w:r>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number of fines (ii) using </w:t>
      </w:r>
      <w:r>
        <w:rPr>
          <w:rFonts w:ascii="Times New Roman" w:eastAsia="Times New Roman" w:hAnsi="Times New Roman" w:cs="Times New Roman"/>
          <w:sz w:val="24"/>
          <w:szCs w:val="24"/>
        </w:rPr>
        <w:t xml:space="preserve">an </w:t>
      </w:r>
      <w:r w:rsidRPr="00A9015F">
        <w:rPr>
          <w:rFonts w:ascii="Times New Roman" w:eastAsia="Times New Roman" w:hAnsi="Times New Roman" w:cs="Times New Roman"/>
          <w:sz w:val="24"/>
          <w:szCs w:val="24"/>
        </w:rPr>
        <w:t>alternative measure of INED heterogeneity index (iii) applying the linearity concept in individual</w:t>
      </w:r>
      <w:r>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heterogeneity attributes and then constructing INED heterogeneity index. Our results consistently demonstrate that heterogeneity among INED</w:t>
      </w:r>
      <w:r w:rsidR="00963CA8">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w:t>
      </w:r>
      <w:r w:rsidR="007F6CF6">
        <w:rPr>
          <w:rFonts w:ascii="Times New Roman" w:eastAsia="Times New Roman" w:hAnsi="Times New Roman" w:cs="Times New Roman"/>
          <w:sz w:val="24"/>
          <w:szCs w:val="24"/>
        </w:rPr>
        <w:t>makes them better monitors and enable</w:t>
      </w:r>
      <w:r w:rsidR="00963CA8">
        <w:rPr>
          <w:rFonts w:ascii="Times New Roman" w:eastAsia="Times New Roman" w:hAnsi="Times New Roman" w:cs="Times New Roman"/>
          <w:sz w:val="24"/>
          <w:szCs w:val="24"/>
        </w:rPr>
        <w:t>s</w:t>
      </w:r>
      <w:r w:rsidR="007F6CF6">
        <w:rPr>
          <w:rFonts w:ascii="Times New Roman" w:eastAsia="Times New Roman" w:hAnsi="Times New Roman" w:cs="Times New Roman"/>
          <w:sz w:val="24"/>
          <w:szCs w:val="24"/>
        </w:rPr>
        <w:t xml:space="preserve"> them to reduce agency issues in banks by</w:t>
      </w:r>
      <w:r w:rsidRPr="00A9015F">
        <w:rPr>
          <w:rFonts w:ascii="Times New Roman" w:eastAsia="Times New Roman" w:hAnsi="Times New Roman" w:cs="Times New Roman"/>
          <w:sz w:val="24"/>
          <w:szCs w:val="24"/>
        </w:rPr>
        <w:t xml:space="preserve"> reducing bank misconduct. </w:t>
      </w:r>
    </w:p>
    <w:p w14:paraId="7F0548A2" w14:textId="316CA8B4"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further extend our study by acknowledging the importance of </w:t>
      </w:r>
      <w:r w:rsidR="007F6CF6">
        <w:rPr>
          <w:rFonts w:ascii="Times New Roman" w:eastAsia="Times New Roman" w:hAnsi="Times New Roman" w:cs="Times New Roman"/>
          <w:sz w:val="24"/>
          <w:szCs w:val="24"/>
        </w:rPr>
        <w:t>agency cost (</w:t>
      </w:r>
      <w:r w:rsidRPr="00A9015F">
        <w:rPr>
          <w:rFonts w:ascii="Times New Roman" w:eastAsia="Times New Roman" w:hAnsi="Times New Roman" w:cs="Times New Roman"/>
          <w:sz w:val="24"/>
          <w:szCs w:val="24"/>
        </w:rPr>
        <w:t>information asymmetry</w:t>
      </w:r>
      <w:r w:rsidR="007F6CF6">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in banks (Levin, 2004; Laeven, 2013; John et al., 2016). Our results show that </w:t>
      </w:r>
      <w:r w:rsidR="003C6A44">
        <w:rPr>
          <w:rFonts w:ascii="Times New Roman" w:eastAsia="Times New Roman" w:hAnsi="Times New Roman" w:cs="Times New Roman"/>
          <w:sz w:val="24"/>
          <w:szCs w:val="24"/>
        </w:rPr>
        <w:t>by reducing information asymmetry, het</w:t>
      </w:r>
      <w:r w:rsidR="00963CA8">
        <w:rPr>
          <w:rFonts w:ascii="Times New Roman" w:eastAsia="Times New Roman" w:hAnsi="Times New Roman" w:cs="Times New Roman"/>
          <w:sz w:val="24"/>
          <w:szCs w:val="24"/>
        </w:rPr>
        <w:t>erogene</w:t>
      </w:r>
      <w:r w:rsidR="003C6A44">
        <w:rPr>
          <w:rFonts w:ascii="Times New Roman" w:eastAsia="Times New Roman" w:hAnsi="Times New Roman" w:cs="Times New Roman"/>
          <w:sz w:val="24"/>
          <w:szCs w:val="24"/>
        </w:rPr>
        <w:t>ity in INED director’s attribute</w:t>
      </w:r>
      <w:r w:rsidR="00963CA8">
        <w:rPr>
          <w:rFonts w:ascii="Times New Roman" w:eastAsia="Times New Roman" w:hAnsi="Times New Roman" w:cs="Times New Roman"/>
          <w:sz w:val="24"/>
          <w:szCs w:val="24"/>
        </w:rPr>
        <w:t>s</w:t>
      </w:r>
      <w:r w:rsidR="003C6A44">
        <w:rPr>
          <w:rFonts w:ascii="Times New Roman" w:eastAsia="Times New Roman" w:hAnsi="Times New Roman" w:cs="Times New Roman"/>
          <w:sz w:val="24"/>
          <w:szCs w:val="24"/>
        </w:rPr>
        <w:t xml:space="preserve"> results in lower bank misconduct. We further explore the regulatory emphasis on board diversity following </w:t>
      </w:r>
      <w:r w:rsidR="00963CA8">
        <w:rPr>
          <w:rFonts w:ascii="Times New Roman" w:eastAsia="Times New Roman" w:hAnsi="Times New Roman" w:cs="Times New Roman"/>
          <w:sz w:val="24"/>
          <w:szCs w:val="24"/>
        </w:rPr>
        <w:t xml:space="preserve">the </w:t>
      </w:r>
      <w:r w:rsidR="003C6A44">
        <w:rPr>
          <w:rFonts w:ascii="Times New Roman" w:eastAsia="Times New Roman" w:hAnsi="Times New Roman" w:cs="Times New Roman"/>
          <w:sz w:val="24"/>
          <w:szCs w:val="24"/>
        </w:rPr>
        <w:t>GFC of 2007-2009. Our findings reveal the het</w:t>
      </w:r>
      <w:r w:rsidR="00963CA8">
        <w:rPr>
          <w:rFonts w:ascii="Times New Roman" w:eastAsia="Times New Roman" w:hAnsi="Times New Roman" w:cs="Times New Roman"/>
          <w:sz w:val="24"/>
          <w:szCs w:val="24"/>
        </w:rPr>
        <w:t>erogene</w:t>
      </w:r>
      <w:r w:rsidR="003C6A44">
        <w:rPr>
          <w:rFonts w:ascii="Times New Roman" w:eastAsia="Times New Roman" w:hAnsi="Times New Roman" w:cs="Times New Roman"/>
          <w:sz w:val="24"/>
          <w:szCs w:val="24"/>
        </w:rPr>
        <w:t>ity in INED director’s attribute</w:t>
      </w:r>
      <w:r w:rsidR="00963CA8">
        <w:rPr>
          <w:rFonts w:ascii="Times New Roman" w:eastAsia="Times New Roman" w:hAnsi="Times New Roman" w:cs="Times New Roman"/>
          <w:sz w:val="24"/>
          <w:szCs w:val="24"/>
        </w:rPr>
        <w:t>s</w:t>
      </w:r>
      <w:r w:rsidR="003C6A44">
        <w:rPr>
          <w:rFonts w:ascii="Times New Roman" w:eastAsia="Times New Roman" w:hAnsi="Times New Roman" w:cs="Times New Roman"/>
          <w:sz w:val="24"/>
          <w:szCs w:val="24"/>
        </w:rPr>
        <w:t xml:space="preserve"> mitigates bank misconduct after the GFC of 2007-2009. We observe a negative relationship between Post 2009 * INED het</w:t>
      </w:r>
      <w:r w:rsidR="00963CA8">
        <w:rPr>
          <w:rFonts w:ascii="Times New Roman" w:eastAsia="Times New Roman" w:hAnsi="Times New Roman" w:cs="Times New Roman"/>
          <w:sz w:val="24"/>
          <w:szCs w:val="24"/>
        </w:rPr>
        <w:t>erogene</w:t>
      </w:r>
      <w:r w:rsidR="003C6A44">
        <w:rPr>
          <w:rFonts w:ascii="Times New Roman" w:eastAsia="Times New Roman" w:hAnsi="Times New Roman" w:cs="Times New Roman"/>
          <w:sz w:val="24"/>
          <w:szCs w:val="24"/>
        </w:rPr>
        <w:t>ity index and bank misconduct primar</w:t>
      </w:r>
      <w:r w:rsidR="00963CA8">
        <w:rPr>
          <w:rFonts w:ascii="Times New Roman" w:eastAsia="Times New Roman" w:hAnsi="Times New Roman" w:cs="Times New Roman"/>
          <w:sz w:val="24"/>
          <w:szCs w:val="24"/>
        </w:rPr>
        <w:t>il</w:t>
      </w:r>
      <w:r w:rsidR="003C6A44">
        <w:rPr>
          <w:rFonts w:ascii="Times New Roman" w:eastAsia="Times New Roman" w:hAnsi="Times New Roman" w:cs="Times New Roman"/>
          <w:sz w:val="24"/>
          <w:szCs w:val="24"/>
        </w:rPr>
        <w:t xml:space="preserve">y </w:t>
      </w:r>
      <w:r w:rsidR="00963CA8">
        <w:rPr>
          <w:rFonts w:ascii="Times New Roman" w:eastAsia="Times New Roman" w:hAnsi="Times New Roman" w:cs="Times New Roman"/>
          <w:sz w:val="24"/>
          <w:szCs w:val="24"/>
        </w:rPr>
        <w:t>due to</w:t>
      </w:r>
      <w:r w:rsidR="003C6A44">
        <w:rPr>
          <w:rFonts w:ascii="Times New Roman" w:eastAsia="Times New Roman" w:hAnsi="Times New Roman" w:cs="Times New Roman"/>
          <w:sz w:val="24"/>
          <w:szCs w:val="24"/>
        </w:rPr>
        <w:t xml:space="preserve"> </w:t>
      </w:r>
      <w:r w:rsidR="00963CA8">
        <w:rPr>
          <w:rFonts w:ascii="Times New Roman" w:eastAsia="Times New Roman" w:hAnsi="Times New Roman" w:cs="Times New Roman"/>
          <w:sz w:val="24"/>
          <w:szCs w:val="24"/>
        </w:rPr>
        <w:t xml:space="preserve">an </w:t>
      </w:r>
      <w:r w:rsidR="003C6A44">
        <w:rPr>
          <w:rFonts w:ascii="Times New Roman" w:eastAsia="Times New Roman" w:hAnsi="Times New Roman" w:cs="Times New Roman"/>
          <w:sz w:val="24"/>
          <w:szCs w:val="24"/>
        </w:rPr>
        <w:t>increase in INED attribute het</w:t>
      </w:r>
      <w:r w:rsidR="00963CA8">
        <w:rPr>
          <w:rFonts w:ascii="Times New Roman" w:eastAsia="Times New Roman" w:hAnsi="Times New Roman" w:cs="Times New Roman"/>
          <w:sz w:val="24"/>
          <w:szCs w:val="24"/>
        </w:rPr>
        <w:t>erogene</w:t>
      </w:r>
      <w:r w:rsidR="003C6A44">
        <w:rPr>
          <w:rFonts w:ascii="Times New Roman" w:eastAsia="Times New Roman" w:hAnsi="Times New Roman" w:cs="Times New Roman"/>
          <w:sz w:val="24"/>
          <w:szCs w:val="24"/>
        </w:rPr>
        <w:t xml:space="preserve">ity following the GFC of 2007-2009. </w:t>
      </w:r>
    </w:p>
    <w:p w14:paraId="2D01F7EC" w14:textId="58CEDCC1" w:rsidR="00A672CF" w:rsidRPr="00A9015F" w:rsidRDefault="00A9015F" w:rsidP="00C97345">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Our study makes several contributions. First, our work relates to the debate on governance and misconduct in the banking industry (Nguyen et al., 2016; Arnaboldi et al., 2020, 2021; Del Gardio et al., 2021). Prior literature mainly focuses on diversity at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board level (Cumming et al., 2015; Nguyen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2016; Bernile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2018; Arnaboldi et al.,2021; Zaman et al., 2021; Gilani et al</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2021). Thus, a gap exists in the literature </w:t>
      </w:r>
      <w:r>
        <w:rPr>
          <w:rFonts w:ascii="Times New Roman" w:eastAsia="Times New Roman" w:hAnsi="Times New Roman" w:cs="Times New Roman"/>
          <w:sz w:val="24"/>
          <w:szCs w:val="24"/>
        </w:rPr>
        <w:t>exploring the diversity among independent directors'</w:t>
      </w:r>
      <w:r w:rsidRPr="00A9015F">
        <w:rPr>
          <w:rFonts w:ascii="Times New Roman" w:eastAsia="Times New Roman" w:hAnsi="Times New Roman" w:cs="Times New Roman"/>
          <w:sz w:val="24"/>
          <w:szCs w:val="24"/>
        </w:rPr>
        <w:t xml:space="preserve"> attributes. To the best of our understanding, one study by  Mollah et al. (2021) explores diversity among independent director attributes on bank idiosyncratic and default risk. Thus, we contribute to diversity literature by exploring the diversity among independent director attribute</w:t>
      </w:r>
      <w:r>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and bank misconduct</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We contribute to bank misconduct literature by providing the first empirical evidence of how independent directors can be more effective in reducing bank misconduct. We show </w:t>
      </w:r>
      <w:r w:rsidR="00C97345">
        <w:rPr>
          <w:rFonts w:ascii="Times New Roman" w:eastAsia="Times New Roman" w:hAnsi="Times New Roman" w:cs="Times New Roman"/>
          <w:sz w:val="24"/>
          <w:szCs w:val="24"/>
        </w:rPr>
        <w:t>gender, financial expertise</w:t>
      </w:r>
      <w:r w:rsidR="00963CA8">
        <w:rPr>
          <w:rFonts w:ascii="Times New Roman" w:eastAsia="Times New Roman" w:hAnsi="Times New Roman" w:cs="Times New Roman"/>
          <w:sz w:val="24"/>
          <w:szCs w:val="24"/>
        </w:rPr>
        <w:t>,</w:t>
      </w:r>
      <w:r w:rsidR="00C97345">
        <w:rPr>
          <w:rFonts w:ascii="Times New Roman" w:eastAsia="Times New Roman" w:hAnsi="Times New Roman" w:cs="Times New Roman"/>
          <w:sz w:val="24"/>
          <w:szCs w:val="24"/>
        </w:rPr>
        <w:t xml:space="preserve"> and tenure</w:t>
      </w:r>
      <w:r w:rsidR="001814DE">
        <w:rPr>
          <w:rFonts w:ascii="Times New Roman" w:eastAsia="Times New Roman" w:hAnsi="Times New Roman" w:cs="Times New Roman"/>
          <w:sz w:val="24"/>
          <w:szCs w:val="24"/>
        </w:rPr>
        <w:t xml:space="preserve"> het</w:t>
      </w:r>
      <w:r w:rsidR="00963CA8">
        <w:rPr>
          <w:rFonts w:ascii="Times New Roman" w:eastAsia="Times New Roman" w:hAnsi="Times New Roman" w:cs="Times New Roman"/>
          <w:sz w:val="24"/>
          <w:szCs w:val="24"/>
        </w:rPr>
        <w:t>erogene</w:t>
      </w:r>
      <w:r w:rsidR="001814DE">
        <w:rPr>
          <w:rFonts w:ascii="Times New Roman" w:eastAsia="Times New Roman" w:hAnsi="Times New Roman" w:cs="Times New Roman"/>
          <w:sz w:val="24"/>
          <w:szCs w:val="24"/>
        </w:rPr>
        <w:t>ity</w:t>
      </w:r>
      <w:r w:rsidRPr="00A9015F">
        <w:rPr>
          <w:rFonts w:ascii="Times New Roman" w:eastAsia="Times New Roman" w:hAnsi="Times New Roman" w:cs="Times New Roman"/>
          <w:sz w:val="24"/>
          <w:szCs w:val="24"/>
        </w:rPr>
        <w:t xml:space="preserve"> of independent directors can be used to measure the effectiveness of INED directors.</w:t>
      </w:r>
      <w:r w:rsidR="00C97345" w:rsidRPr="00C97345">
        <w:rPr>
          <w:rFonts w:ascii="Times New Roman" w:eastAsia="Times New Roman" w:hAnsi="Times New Roman" w:cs="Times New Roman"/>
          <w:sz w:val="24"/>
          <w:szCs w:val="24"/>
        </w:rPr>
        <w:t xml:space="preserve"> </w:t>
      </w:r>
      <w:r w:rsidR="00C97345" w:rsidRPr="00A9015F">
        <w:rPr>
          <w:rFonts w:ascii="Times New Roman" w:eastAsia="Times New Roman" w:hAnsi="Times New Roman" w:cs="Times New Roman"/>
          <w:sz w:val="24"/>
          <w:szCs w:val="24"/>
        </w:rPr>
        <w:t xml:space="preserve">Our findings support Barananchuck and Dybvig (2009) that multiple aspects of board diversity jointly can explain corporate decisions in an improved manner. We argue that homogeneity among board members can </w:t>
      </w:r>
      <w:r w:rsidR="001814DE">
        <w:rPr>
          <w:rFonts w:ascii="Times New Roman" w:eastAsia="Times New Roman" w:hAnsi="Times New Roman" w:cs="Times New Roman"/>
          <w:sz w:val="24"/>
          <w:szCs w:val="24"/>
        </w:rPr>
        <w:t>lead to</w:t>
      </w:r>
      <w:r w:rsidR="00C97345" w:rsidRPr="00A9015F">
        <w:rPr>
          <w:rFonts w:ascii="Times New Roman" w:eastAsia="Times New Roman" w:hAnsi="Times New Roman" w:cs="Times New Roman"/>
          <w:sz w:val="24"/>
          <w:szCs w:val="24"/>
        </w:rPr>
        <w:t xml:space="preserve"> </w:t>
      </w:r>
      <w:r w:rsidR="001814DE">
        <w:rPr>
          <w:rFonts w:ascii="Times New Roman" w:eastAsia="Times New Roman" w:hAnsi="Times New Roman" w:cs="Times New Roman"/>
          <w:sz w:val="24"/>
          <w:szCs w:val="24"/>
        </w:rPr>
        <w:t>a particular kind</w:t>
      </w:r>
      <w:r w:rsidR="00C97345" w:rsidRPr="00A9015F">
        <w:rPr>
          <w:rFonts w:ascii="Times New Roman" w:eastAsia="Times New Roman" w:hAnsi="Times New Roman" w:cs="Times New Roman"/>
          <w:sz w:val="24"/>
          <w:szCs w:val="24"/>
        </w:rPr>
        <w:t xml:space="preserve"> </w:t>
      </w:r>
      <w:r w:rsidR="001814DE">
        <w:rPr>
          <w:rFonts w:ascii="Times New Roman" w:eastAsia="Times New Roman" w:hAnsi="Times New Roman" w:cs="Times New Roman"/>
          <w:sz w:val="24"/>
          <w:szCs w:val="24"/>
        </w:rPr>
        <w:t xml:space="preserve">of </w:t>
      </w:r>
      <w:r w:rsidR="00C97345" w:rsidRPr="00A9015F">
        <w:rPr>
          <w:rFonts w:ascii="Times New Roman" w:eastAsia="Times New Roman" w:hAnsi="Times New Roman" w:cs="Times New Roman"/>
          <w:sz w:val="24"/>
          <w:szCs w:val="24"/>
        </w:rPr>
        <w:t xml:space="preserve">decision as it attracts less scrutinizing within the board.  </w:t>
      </w:r>
      <w:r w:rsidR="00A672CF" w:rsidRPr="00A9015F">
        <w:rPr>
          <w:rFonts w:ascii="Times New Roman" w:eastAsia="Times New Roman" w:hAnsi="Times New Roman" w:cs="Times New Roman"/>
          <w:sz w:val="24"/>
          <w:szCs w:val="24"/>
        </w:rPr>
        <w:t xml:space="preserve">In this way, we </w:t>
      </w:r>
      <w:r w:rsidR="001814DE">
        <w:rPr>
          <w:rFonts w:ascii="Times New Roman" w:eastAsia="Times New Roman" w:hAnsi="Times New Roman" w:cs="Times New Roman"/>
          <w:sz w:val="24"/>
          <w:szCs w:val="24"/>
        </w:rPr>
        <w:t>add</w:t>
      </w:r>
      <w:r w:rsidR="00A672CF" w:rsidRPr="00A9015F">
        <w:rPr>
          <w:rFonts w:ascii="Times New Roman" w:eastAsia="Times New Roman" w:hAnsi="Times New Roman" w:cs="Times New Roman"/>
          <w:sz w:val="24"/>
          <w:szCs w:val="24"/>
        </w:rPr>
        <w:t xml:space="preserve"> to previous </w:t>
      </w:r>
      <w:r w:rsidR="001814DE">
        <w:rPr>
          <w:rFonts w:ascii="Times New Roman" w:eastAsia="Times New Roman" w:hAnsi="Times New Roman" w:cs="Times New Roman"/>
          <w:sz w:val="24"/>
          <w:szCs w:val="24"/>
        </w:rPr>
        <w:t>literature</w:t>
      </w:r>
      <w:r w:rsidR="00A672CF" w:rsidRPr="00A9015F">
        <w:rPr>
          <w:rFonts w:ascii="Times New Roman" w:eastAsia="Times New Roman" w:hAnsi="Times New Roman" w:cs="Times New Roman"/>
          <w:sz w:val="24"/>
          <w:szCs w:val="24"/>
        </w:rPr>
        <w:t xml:space="preserve"> highlighting the issue of independent directors’ effectiveness but cannot explore it (Adams, 2012; Nguyen and Nielson, 2010; Mehran et al., 2012). Our result</w:t>
      </w:r>
      <w:r w:rsidR="00A672CF">
        <w:rPr>
          <w:rFonts w:ascii="Times New Roman" w:eastAsia="Times New Roman" w:hAnsi="Times New Roman" w:cs="Times New Roman"/>
          <w:sz w:val="24"/>
          <w:szCs w:val="24"/>
        </w:rPr>
        <w:t>s</w:t>
      </w:r>
      <w:r w:rsidR="00A672CF" w:rsidRPr="00A9015F">
        <w:rPr>
          <w:rFonts w:ascii="Times New Roman" w:eastAsia="Times New Roman" w:hAnsi="Times New Roman" w:cs="Times New Roman"/>
          <w:sz w:val="24"/>
          <w:szCs w:val="24"/>
        </w:rPr>
        <w:t xml:space="preserve"> </w:t>
      </w:r>
      <w:r w:rsidR="00A672CF">
        <w:rPr>
          <w:rFonts w:ascii="Times New Roman" w:eastAsia="Times New Roman" w:hAnsi="Times New Roman" w:cs="Times New Roman"/>
          <w:sz w:val="24"/>
          <w:szCs w:val="24"/>
        </w:rPr>
        <w:t xml:space="preserve">also </w:t>
      </w:r>
      <w:r w:rsidR="00A672CF" w:rsidRPr="00A9015F">
        <w:rPr>
          <w:rFonts w:ascii="Times New Roman" w:eastAsia="Times New Roman" w:hAnsi="Times New Roman" w:cs="Times New Roman"/>
          <w:sz w:val="24"/>
          <w:szCs w:val="24"/>
        </w:rPr>
        <w:t xml:space="preserve">support the human capital theory by positing that expanding the selection of director’s competence and capabilities, diversity results in enhanced monitoring by the independent directors. </w:t>
      </w:r>
    </w:p>
    <w:p w14:paraId="39802D33" w14:textId="65B73344" w:rsidR="00C97345" w:rsidRPr="00A9015F" w:rsidRDefault="00C97345" w:rsidP="00C9734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adds</w:t>
      </w:r>
      <w:r w:rsidRPr="00A9015F">
        <w:rPr>
          <w:rFonts w:ascii="Times New Roman" w:eastAsia="Times New Roman" w:hAnsi="Times New Roman" w:cs="Times New Roman"/>
          <w:sz w:val="24"/>
          <w:szCs w:val="24"/>
        </w:rPr>
        <w:t xml:space="preserve"> to the debate on gender heterogeneity and bank misconduct. Prior studies have attempted to study the presence of a female on the board as a whole (Cumming et al., 2015; Arnaboldi et al., 2020; 2021; Joe et al., 2021). As suggested in critical mass theory, i.e. women </w:t>
      </w:r>
      <w:r w:rsidR="00963CA8">
        <w:rPr>
          <w:rFonts w:ascii="Times New Roman" w:eastAsia="Times New Roman" w:hAnsi="Times New Roman" w:cs="Times New Roman"/>
          <w:sz w:val="24"/>
          <w:szCs w:val="24"/>
        </w:rPr>
        <w:t>significantly impact</w:t>
      </w:r>
      <w:r w:rsidRPr="00A9015F">
        <w:rPr>
          <w:rFonts w:ascii="Times New Roman" w:eastAsia="Times New Roman" w:hAnsi="Times New Roman" w:cs="Times New Roman"/>
          <w:sz w:val="24"/>
          <w:szCs w:val="24"/>
        </w:rPr>
        <w:t xml:space="preserve"> corporate policies once they reach a specific number, we provide evidence that the presence of women among INED </w:t>
      </w:r>
      <w:r w:rsidR="00963CA8">
        <w:rPr>
          <w:rFonts w:ascii="Times New Roman" w:eastAsia="Times New Roman" w:hAnsi="Times New Roman" w:cs="Times New Roman"/>
          <w:sz w:val="24"/>
          <w:szCs w:val="24"/>
        </w:rPr>
        <w:t xml:space="preserve">also </w:t>
      </w:r>
      <w:r w:rsidRPr="00A9015F">
        <w:rPr>
          <w:rFonts w:ascii="Times New Roman" w:eastAsia="Times New Roman" w:hAnsi="Times New Roman" w:cs="Times New Roman"/>
          <w:sz w:val="24"/>
          <w:szCs w:val="24"/>
        </w:rPr>
        <w:t xml:space="preserve">results in lower misconduct. </w:t>
      </w:r>
    </w:p>
    <w:p w14:paraId="0552DEB7" w14:textId="31DFD032" w:rsidR="00C97345" w:rsidRPr="00A9015F" w:rsidRDefault="00C97345" w:rsidP="00C97345">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Our study </w:t>
      </w:r>
      <w:r>
        <w:rPr>
          <w:rFonts w:ascii="Times New Roman" w:eastAsia="Times New Roman" w:hAnsi="Times New Roman" w:cs="Times New Roman"/>
          <w:sz w:val="24"/>
          <w:szCs w:val="24"/>
        </w:rPr>
        <w:t xml:space="preserve">also </w:t>
      </w:r>
      <w:r w:rsidRPr="00A9015F">
        <w:rPr>
          <w:rFonts w:ascii="Times New Roman" w:eastAsia="Times New Roman" w:hAnsi="Times New Roman" w:cs="Times New Roman"/>
          <w:sz w:val="24"/>
          <w:szCs w:val="24"/>
        </w:rPr>
        <w:t xml:space="preserve">contributes to the emerging literature on how board financial expertise can reduce bank risk-taking and improve corporate decision-making (Mollah et al., 2021; Gilani et al., 2021). </w:t>
      </w:r>
      <w:r>
        <w:rPr>
          <w:rFonts w:ascii="Times New Roman" w:eastAsia="Times New Roman" w:hAnsi="Times New Roman" w:cs="Times New Roman"/>
          <w:sz w:val="24"/>
          <w:szCs w:val="24"/>
        </w:rPr>
        <w:t>T</w:t>
      </w:r>
      <w:r w:rsidRPr="00A9015F">
        <w:rPr>
          <w:rFonts w:ascii="Times New Roman" w:eastAsia="Times New Roman" w:hAnsi="Times New Roman" w:cs="Times New Roman"/>
          <w:sz w:val="24"/>
          <w:szCs w:val="24"/>
        </w:rPr>
        <w:t xml:space="preserve">he general perception in banking literature is that </w:t>
      </w:r>
      <w:r w:rsidR="003B14E2">
        <w:rPr>
          <w:rFonts w:ascii="Times New Roman" w:eastAsia="Times New Roman" w:hAnsi="Times New Roman" w:cs="Times New Roman"/>
          <w:sz w:val="24"/>
          <w:szCs w:val="24"/>
        </w:rPr>
        <w:t xml:space="preserve">a </w:t>
      </w:r>
      <w:r w:rsidR="001F7A21">
        <w:rPr>
          <w:rFonts w:ascii="Times New Roman" w:eastAsia="Times New Roman" w:hAnsi="Times New Roman" w:cs="Times New Roman"/>
          <w:sz w:val="24"/>
          <w:szCs w:val="24"/>
        </w:rPr>
        <w:t>director’s financial knowledge and exper</w:t>
      </w:r>
      <w:r w:rsidR="003B14E2">
        <w:rPr>
          <w:rFonts w:ascii="Times New Roman" w:eastAsia="Times New Roman" w:hAnsi="Times New Roman" w:cs="Times New Roman"/>
          <w:sz w:val="24"/>
          <w:szCs w:val="24"/>
        </w:rPr>
        <w:t>ie</w:t>
      </w:r>
      <w:r w:rsidR="001F7A21">
        <w:rPr>
          <w:rFonts w:ascii="Times New Roman" w:eastAsia="Times New Roman" w:hAnsi="Times New Roman" w:cs="Times New Roman"/>
          <w:sz w:val="24"/>
          <w:szCs w:val="24"/>
        </w:rPr>
        <w:t>nce increase</w:t>
      </w:r>
      <w:r w:rsidRPr="00A9015F">
        <w:rPr>
          <w:rFonts w:ascii="Times New Roman" w:eastAsia="Times New Roman" w:hAnsi="Times New Roman" w:cs="Times New Roman"/>
          <w:sz w:val="24"/>
          <w:szCs w:val="24"/>
        </w:rPr>
        <w:t xml:space="preserve"> </w:t>
      </w:r>
      <w:r w:rsidR="001F7A21">
        <w:rPr>
          <w:rFonts w:ascii="Times New Roman" w:eastAsia="Times New Roman" w:hAnsi="Times New Roman" w:cs="Times New Roman"/>
          <w:sz w:val="24"/>
          <w:szCs w:val="24"/>
        </w:rPr>
        <w:t xml:space="preserve">bank </w:t>
      </w:r>
      <w:r w:rsidRPr="00A9015F">
        <w:rPr>
          <w:rFonts w:ascii="Times New Roman" w:eastAsia="Times New Roman" w:hAnsi="Times New Roman" w:cs="Times New Roman"/>
          <w:sz w:val="24"/>
          <w:szCs w:val="24"/>
        </w:rPr>
        <w:t xml:space="preserve">risk (Aebi, Sabato and Schmid, 2012, Minton et al., 2014). </w:t>
      </w:r>
      <w:r w:rsidR="00963CA8">
        <w:rPr>
          <w:rFonts w:ascii="Times New Roman" w:eastAsia="Times New Roman" w:hAnsi="Times New Roman" w:cs="Times New Roman"/>
          <w:sz w:val="24"/>
          <w:szCs w:val="24"/>
        </w:rPr>
        <w:t>O</w:t>
      </w:r>
      <w:r w:rsidRPr="00A9015F">
        <w:rPr>
          <w:rFonts w:ascii="Times New Roman" w:eastAsia="Times New Roman" w:hAnsi="Times New Roman" w:cs="Times New Roman"/>
          <w:sz w:val="24"/>
          <w:szCs w:val="24"/>
        </w:rPr>
        <w:t xml:space="preserve">ur study is the first to provide empirical evidence that financial heterogeneity among INED results in lower bank misconduct. The study by Nguyen et al. (2016) measures the financial expertise of the board and finds no significant relationship between financial experts on the board and bank misconduct. Thus, our study </w:t>
      </w:r>
      <w:r w:rsidR="001F7A21">
        <w:rPr>
          <w:rFonts w:ascii="Times New Roman" w:eastAsia="Times New Roman" w:hAnsi="Times New Roman" w:cs="Times New Roman"/>
          <w:sz w:val="24"/>
          <w:szCs w:val="24"/>
        </w:rPr>
        <w:t xml:space="preserve">reveals that </w:t>
      </w:r>
      <w:r w:rsidR="003B14E2">
        <w:rPr>
          <w:rFonts w:ascii="Times New Roman" w:eastAsia="Times New Roman" w:hAnsi="Times New Roman" w:cs="Times New Roman"/>
          <w:sz w:val="24"/>
          <w:szCs w:val="24"/>
        </w:rPr>
        <w:t>more independent directors with heterogenous financial experience results in lower bank misconduct.</w:t>
      </w:r>
      <w:r w:rsidRPr="00A9015F">
        <w:rPr>
          <w:rFonts w:ascii="Times New Roman" w:eastAsia="Times New Roman" w:hAnsi="Times New Roman" w:cs="Times New Roman"/>
          <w:sz w:val="24"/>
          <w:szCs w:val="24"/>
        </w:rPr>
        <w:t xml:space="preserve"> </w:t>
      </w:r>
    </w:p>
    <w:p w14:paraId="1CDCA54C" w14:textId="17A5CF6C" w:rsidR="00A9015F" w:rsidRPr="00A9015F" w:rsidRDefault="00A672C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Finally, our</w:t>
      </w:r>
      <w:r w:rsidR="00C97345" w:rsidRPr="00A9015F">
        <w:rPr>
          <w:rFonts w:ascii="Times New Roman" w:eastAsia="Times New Roman" w:hAnsi="Times New Roman" w:cs="Times New Roman"/>
          <w:sz w:val="24"/>
          <w:szCs w:val="24"/>
        </w:rPr>
        <w:t xml:space="preserve"> study contributes to the discussion regarding INED tenure heterogeneity and bank misconduct. There is a conflicting view in the literature concerning board tenure. Some studies find long tenure improves boards' decision-making (Beasley, 1996; Beckman and Brown, 1973; Vafess, 2003). In contrast, some studies relate longer tenure with status quo and board entrenchment leading to weaker monitoring (Nguyen et al., 2016; Zaman et al., 2021). We follow Wahid et al. (2018) to deal with the issue of the optimal tenure length by considering the diversity in the span of INED directors' tenure. Our results show that the tenure heterogeneity of INED reduces bank misconduct because, in this way, banks benefit from the knowledge and experience of senior and junior independent directors.</w:t>
      </w:r>
    </w:p>
    <w:p w14:paraId="57BE1F29" w14:textId="7242D651"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The remainder of the paper is organized</w:t>
      </w:r>
      <w:r w:rsidR="003B14E2">
        <w:rPr>
          <w:rFonts w:ascii="Times New Roman" w:eastAsia="Times New Roman" w:hAnsi="Times New Roman" w:cs="Times New Roman"/>
          <w:sz w:val="24"/>
          <w:szCs w:val="24"/>
        </w:rPr>
        <w:t xml:space="preserve"> as follows: </w:t>
      </w:r>
      <w:r w:rsidRPr="00A9015F">
        <w:rPr>
          <w:rFonts w:ascii="Times New Roman" w:eastAsia="Times New Roman" w:hAnsi="Times New Roman" w:cs="Times New Roman"/>
          <w:sz w:val="24"/>
          <w:szCs w:val="24"/>
        </w:rPr>
        <w:t xml:space="preserve"> </w:t>
      </w:r>
      <w:r w:rsidR="003B14E2">
        <w:rPr>
          <w:rFonts w:ascii="Times New Roman" w:eastAsia="Times New Roman" w:hAnsi="Times New Roman" w:cs="Times New Roman"/>
          <w:sz w:val="24"/>
          <w:szCs w:val="24"/>
        </w:rPr>
        <w:t xml:space="preserve">We discuss </w:t>
      </w:r>
      <w:r w:rsidR="00963CA8">
        <w:rPr>
          <w:rFonts w:ascii="Times New Roman" w:eastAsia="Times New Roman" w:hAnsi="Times New Roman" w:cs="Times New Roman"/>
          <w:sz w:val="24"/>
          <w:szCs w:val="24"/>
        </w:rPr>
        <w:t xml:space="preserve">the </w:t>
      </w:r>
      <w:r w:rsidR="003B14E2">
        <w:rPr>
          <w:rFonts w:ascii="Times New Roman" w:eastAsia="Times New Roman" w:hAnsi="Times New Roman" w:cs="Times New Roman"/>
          <w:sz w:val="24"/>
          <w:szCs w:val="24"/>
        </w:rPr>
        <w:t xml:space="preserve">theoretical framework and hypothesis development in </w:t>
      </w:r>
      <w:r w:rsidRPr="00A9015F">
        <w:rPr>
          <w:rFonts w:ascii="Times New Roman" w:eastAsia="Times New Roman" w:hAnsi="Times New Roman" w:cs="Times New Roman"/>
          <w:sz w:val="24"/>
          <w:szCs w:val="24"/>
        </w:rPr>
        <w:t>Section 2</w:t>
      </w:r>
      <w:r w:rsidR="003B14E2">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Section 3 discusses the research design. Section 4 reports the empirical analysis, including robustness </w:t>
      </w:r>
      <w:r w:rsidR="003B14E2">
        <w:rPr>
          <w:rFonts w:ascii="Times New Roman" w:eastAsia="Times New Roman" w:hAnsi="Times New Roman" w:cs="Times New Roman"/>
          <w:sz w:val="24"/>
          <w:szCs w:val="24"/>
        </w:rPr>
        <w:t xml:space="preserve">and </w:t>
      </w:r>
      <w:r w:rsidRPr="00A9015F">
        <w:rPr>
          <w:rFonts w:ascii="Times New Roman" w:eastAsia="Times New Roman" w:hAnsi="Times New Roman" w:cs="Times New Roman"/>
          <w:sz w:val="24"/>
          <w:szCs w:val="24"/>
        </w:rPr>
        <w:t xml:space="preserve">endogeneity concerns. Section 5 concludes the study. </w:t>
      </w:r>
    </w:p>
    <w:p w14:paraId="33BE5DD5" w14:textId="645FB183" w:rsidR="00A9015F" w:rsidRDefault="00A9015F" w:rsidP="00963CA8">
      <w:pPr>
        <w:pStyle w:val="Heading2"/>
        <w:numPr>
          <w:ilvl w:val="0"/>
          <w:numId w:val="28"/>
        </w:numPr>
      </w:pPr>
      <w:bookmarkStart w:id="140" w:name="_Toc145616212"/>
      <w:r w:rsidRPr="00A9015F">
        <w:t>Theoretical Framework and Hypothesis Development</w:t>
      </w:r>
      <w:bookmarkEnd w:id="140"/>
    </w:p>
    <w:p w14:paraId="01E04C39" w14:textId="77777777" w:rsidR="00963CA8" w:rsidRPr="00963CA8" w:rsidRDefault="00963CA8" w:rsidP="00963CA8"/>
    <w:p w14:paraId="74488F48" w14:textId="5FE07B9B" w:rsidR="009C5F81" w:rsidRDefault="00963CA8" w:rsidP="00963CA8">
      <w:pPr>
        <w:pStyle w:val="Heading3"/>
        <w:rPr>
          <w:rFonts w:ascii="Times New Roman" w:hAnsi="Times New Roman" w:cs="Times New Roman"/>
          <w:b/>
          <w:bCs/>
          <w:color w:val="000000" w:themeColor="text1"/>
        </w:rPr>
      </w:pPr>
      <w:bookmarkStart w:id="141" w:name="_Toc145616213"/>
      <w:r w:rsidRPr="00963CA8">
        <w:rPr>
          <w:rFonts w:ascii="Times New Roman" w:hAnsi="Times New Roman" w:cs="Times New Roman"/>
          <w:b/>
          <w:bCs/>
          <w:color w:val="000000" w:themeColor="text1"/>
        </w:rPr>
        <w:t>5.</w:t>
      </w:r>
      <w:r w:rsidR="009C5F81" w:rsidRPr="00963CA8">
        <w:rPr>
          <w:rFonts w:ascii="Times New Roman" w:hAnsi="Times New Roman" w:cs="Times New Roman"/>
          <w:b/>
          <w:bCs/>
          <w:color w:val="000000" w:themeColor="text1"/>
        </w:rPr>
        <w:t>2.1 Theoretical Framework</w:t>
      </w:r>
      <w:bookmarkEnd w:id="141"/>
    </w:p>
    <w:p w14:paraId="2C639DBD" w14:textId="77777777" w:rsidR="00963CA8" w:rsidRPr="00963CA8" w:rsidRDefault="00963CA8" w:rsidP="00963CA8"/>
    <w:p w14:paraId="416A801C" w14:textId="0B299D82" w:rsidR="00753CBD"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The board of directors are essential in reducing agency costs through effective monitoring. Without adequate monitoring, managers can maximize personal benefits by engaging in misconduct fearlessly (Jain and Zaman, 2021; Cavaco et al., 2017). The costs of corporate misconduct </w:t>
      </w:r>
      <w:r>
        <w:rPr>
          <w:rFonts w:ascii="Times New Roman" w:eastAsia="Times New Roman" w:hAnsi="Times New Roman" w:cs="Times New Roman"/>
          <w:sz w:val="24"/>
          <w:szCs w:val="24"/>
        </w:rPr>
        <w:t>by</w:t>
      </w:r>
      <w:r w:rsidRPr="00A9015F">
        <w:rPr>
          <w:rFonts w:ascii="Times New Roman" w:eastAsia="Times New Roman" w:hAnsi="Times New Roman" w:cs="Times New Roman"/>
          <w:sz w:val="24"/>
          <w:szCs w:val="24"/>
        </w:rPr>
        <w:t xml:space="preserve"> managers </w:t>
      </w:r>
      <w:r w:rsidR="00963CA8">
        <w:rPr>
          <w:rFonts w:ascii="Times New Roman" w:eastAsia="Times New Roman" w:hAnsi="Times New Roman" w:cs="Times New Roman"/>
          <w:sz w:val="24"/>
          <w:szCs w:val="24"/>
        </w:rPr>
        <w:t>affect shareholders and other stakeholders</w:t>
      </w:r>
      <w:r w:rsidR="003B14E2">
        <w:rPr>
          <w:rFonts w:ascii="Times New Roman" w:eastAsia="Times New Roman" w:hAnsi="Times New Roman" w:cs="Times New Roman"/>
          <w:sz w:val="24"/>
          <w:szCs w:val="24"/>
        </w:rPr>
        <w:t>, resulting</w:t>
      </w:r>
      <w:r w:rsidRPr="00A9015F">
        <w:rPr>
          <w:rFonts w:ascii="Times New Roman" w:eastAsia="Times New Roman" w:hAnsi="Times New Roman" w:cs="Times New Roman"/>
          <w:sz w:val="24"/>
          <w:szCs w:val="24"/>
        </w:rPr>
        <w:t xml:space="preserve"> in a conflict of interest between management and stakeholders (Hill and Jones, 1992; Jain and Zaman, 2020). To understand the relationship between bank misconduct and board independence, we begin with stakeholder- agency theory by Hill and Jones (1992). According to this theory, agency problem occurs due to divergent interest between management and stakeholders. Corporate violations, e.g., misconduct, can be viewed as an agency problem between stakeholders and management (Jensen and Meckling, 1976; Fama and Jensen, 1983; Jain and Zaman, 2020). In such circumstances, stakeholders put their faith in the board of directors, particularly independent directors, as their legal responsibility is </w:t>
      </w:r>
      <w:r>
        <w:rPr>
          <w:rFonts w:ascii="Times New Roman" w:eastAsia="Times New Roman" w:hAnsi="Times New Roman" w:cs="Times New Roman"/>
          <w:sz w:val="24"/>
          <w:szCs w:val="24"/>
        </w:rPr>
        <w:t>supervising the agents and protecting</w:t>
      </w:r>
      <w:r w:rsidRPr="00A9015F">
        <w:rPr>
          <w:rFonts w:ascii="Times New Roman" w:eastAsia="Times New Roman" w:hAnsi="Times New Roman" w:cs="Times New Roman"/>
          <w:sz w:val="24"/>
          <w:szCs w:val="24"/>
        </w:rPr>
        <w:t xml:space="preserve"> the stakeholders' rights (Hill and Jones, 1992). Although directors </w:t>
      </w:r>
      <w:r w:rsidR="00753CBD">
        <w:rPr>
          <w:rFonts w:ascii="Times New Roman" w:eastAsia="Times New Roman" w:hAnsi="Times New Roman" w:cs="Times New Roman"/>
          <w:sz w:val="24"/>
          <w:szCs w:val="24"/>
        </w:rPr>
        <w:t xml:space="preserve">intend to cater </w:t>
      </w:r>
      <w:r w:rsidRPr="00A9015F">
        <w:rPr>
          <w:rFonts w:ascii="Times New Roman" w:eastAsia="Times New Roman" w:hAnsi="Times New Roman" w:cs="Times New Roman"/>
          <w:sz w:val="24"/>
          <w:szCs w:val="24"/>
        </w:rPr>
        <w:t xml:space="preserve">towards all stakeholders, they encounter certain </w:t>
      </w:r>
      <w:r w:rsidR="003B14E2" w:rsidRPr="00A9015F">
        <w:rPr>
          <w:rFonts w:ascii="Times New Roman" w:eastAsia="Times New Roman" w:hAnsi="Times New Roman" w:cs="Times New Roman"/>
          <w:sz w:val="24"/>
          <w:szCs w:val="24"/>
        </w:rPr>
        <w:t>restrictions</w:t>
      </w:r>
      <w:r w:rsidRPr="00A9015F">
        <w:rPr>
          <w:rFonts w:ascii="Times New Roman" w:eastAsia="Times New Roman" w:hAnsi="Times New Roman" w:cs="Times New Roman"/>
          <w:sz w:val="24"/>
          <w:szCs w:val="24"/>
        </w:rPr>
        <w:t xml:space="preserve"> while </w:t>
      </w:r>
      <w:r w:rsidR="003B14E2" w:rsidRPr="00A9015F">
        <w:rPr>
          <w:rFonts w:ascii="Times New Roman" w:eastAsia="Times New Roman" w:hAnsi="Times New Roman" w:cs="Times New Roman"/>
          <w:sz w:val="24"/>
          <w:szCs w:val="24"/>
        </w:rPr>
        <w:t>overseeing</w:t>
      </w:r>
      <w:r w:rsidRPr="00A9015F">
        <w:rPr>
          <w:rFonts w:ascii="Times New Roman" w:eastAsia="Times New Roman" w:hAnsi="Times New Roman" w:cs="Times New Roman"/>
          <w:sz w:val="24"/>
          <w:szCs w:val="24"/>
        </w:rPr>
        <w:t xml:space="preserve"> their responsibilities (Hill and Jones, 1992). Directors face these constraints due to a lack of experience, </w:t>
      </w:r>
      <w:r w:rsidR="003B14E2" w:rsidRPr="00A9015F">
        <w:rPr>
          <w:rFonts w:ascii="Times New Roman" w:eastAsia="Times New Roman" w:hAnsi="Times New Roman" w:cs="Times New Roman"/>
          <w:sz w:val="24"/>
          <w:szCs w:val="24"/>
        </w:rPr>
        <w:t>inadequate</w:t>
      </w:r>
      <w:r w:rsidRPr="00A9015F">
        <w:rPr>
          <w:rFonts w:ascii="Times New Roman" w:eastAsia="Times New Roman" w:hAnsi="Times New Roman" w:cs="Times New Roman"/>
          <w:sz w:val="24"/>
          <w:szCs w:val="24"/>
        </w:rPr>
        <w:t xml:space="preserve"> resources and association with the management (Boivie et al., 2016; Jain and Zaman, 2020; Zaman et al., 2021). As a solution, scholars have highlighted board composition as an effective mechanism that can enhance the board's decisions, thus making them more effective (Haynes and Hillman, 2010; Akram et al., 2020). This argument supports the resource-dependency theory, which emphasizes that </w:t>
      </w:r>
      <w:r w:rsidR="003B14E2" w:rsidRPr="00A9015F">
        <w:rPr>
          <w:rFonts w:ascii="Times New Roman" w:eastAsia="Times New Roman" w:hAnsi="Times New Roman" w:cs="Times New Roman"/>
          <w:sz w:val="24"/>
          <w:szCs w:val="24"/>
        </w:rPr>
        <w:t>exclusive</w:t>
      </w:r>
      <w:r w:rsidRPr="00A9015F">
        <w:rPr>
          <w:rFonts w:ascii="Times New Roman" w:eastAsia="Times New Roman" w:hAnsi="Times New Roman" w:cs="Times New Roman"/>
          <w:sz w:val="24"/>
          <w:szCs w:val="24"/>
        </w:rPr>
        <w:t xml:space="preserve"> human and social capital </w:t>
      </w:r>
      <w:r w:rsidR="003B14E2">
        <w:rPr>
          <w:rFonts w:ascii="Times New Roman" w:eastAsia="Times New Roman" w:hAnsi="Times New Roman" w:cs="Times New Roman"/>
          <w:sz w:val="24"/>
          <w:szCs w:val="24"/>
        </w:rPr>
        <w:t xml:space="preserve">can help firms </w:t>
      </w:r>
      <w:r w:rsidRPr="00A9015F">
        <w:rPr>
          <w:rFonts w:ascii="Times New Roman" w:eastAsia="Times New Roman" w:hAnsi="Times New Roman" w:cs="Times New Roman"/>
          <w:sz w:val="24"/>
          <w:szCs w:val="24"/>
        </w:rPr>
        <w:t xml:space="preserve">to overcome uncertainties (Taljaard et al., 2015). In this regard, a more </w:t>
      </w:r>
      <w:r w:rsidR="003B14E2">
        <w:rPr>
          <w:rFonts w:ascii="Times New Roman" w:eastAsia="Times New Roman" w:hAnsi="Times New Roman" w:cs="Times New Roman"/>
          <w:sz w:val="24"/>
          <w:szCs w:val="24"/>
        </w:rPr>
        <w:t xml:space="preserve">diverse board can result in more </w:t>
      </w:r>
      <w:r w:rsidRPr="00A9015F">
        <w:rPr>
          <w:rFonts w:ascii="Times New Roman" w:eastAsia="Times New Roman" w:hAnsi="Times New Roman" w:cs="Times New Roman"/>
          <w:sz w:val="24"/>
          <w:szCs w:val="24"/>
        </w:rPr>
        <w:t xml:space="preserve">resources </w:t>
      </w:r>
      <w:r w:rsidR="003B14E2">
        <w:rPr>
          <w:rFonts w:ascii="Times New Roman" w:eastAsia="Times New Roman" w:hAnsi="Times New Roman" w:cs="Times New Roman"/>
          <w:sz w:val="24"/>
          <w:szCs w:val="24"/>
        </w:rPr>
        <w:t>for</w:t>
      </w:r>
      <w:r w:rsidRPr="00A9015F">
        <w:rPr>
          <w:rFonts w:ascii="Times New Roman" w:eastAsia="Times New Roman" w:hAnsi="Times New Roman" w:cs="Times New Roman"/>
          <w:sz w:val="24"/>
          <w:szCs w:val="24"/>
        </w:rPr>
        <w:t xml:space="preserve"> the firm (Midavaine et al., 2016).</w:t>
      </w:r>
    </w:p>
    <w:p w14:paraId="2D27127C" w14:textId="2DC18532"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Moreover, heterogeneity among directors enables them to evaluate a situation critically </w:t>
      </w:r>
      <w:r w:rsidR="003B14E2">
        <w:rPr>
          <w:rFonts w:ascii="Times New Roman" w:eastAsia="Times New Roman" w:hAnsi="Times New Roman" w:cs="Times New Roman"/>
          <w:sz w:val="24"/>
          <w:szCs w:val="24"/>
        </w:rPr>
        <w:t xml:space="preserve">and </w:t>
      </w:r>
      <w:r w:rsidR="003B14E2" w:rsidRPr="00A9015F">
        <w:rPr>
          <w:rFonts w:ascii="Times New Roman" w:eastAsia="Times New Roman" w:hAnsi="Times New Roman" w:cs="Times New Roman"/>
          <w:sz w:val="24"/>
          <w:szCs w:val="24"/>
        </w:rPr>
        <w:t>improves</w:t>
      </w:r>
      <w:r w:rsidRPr="00A9015F">
        <w:rPr>
          <w:rFonts w:ascii="Times New Roman" w:eastAsia="Times New Roman" w:hAnsi="Times New Roman" w:cs="Times New Roman"/>
          <w:sz w:val="24"/>
          <w:szCs w:val="24"/>
        </w:rPr>
        <w:t xml:space="preserve"> the board's independence</w:t>
      </w:r>
      <w:r w:rsidR="003B14E2">
        <w:rPr>
          <w:rFonts w:ascii="Times New Roman" w:eastAsia="Times New Roman" w:hAnsi="Times New Roman" w:cs="Times New Roman"/>
          <w:sz w:val="24"/>
          <w:szCs w:val="24"/>
        </w:rPr>
        <w:t xml:space="preserve">, resulting in fewer </w:t>
      </w:r>
      <w:r w:rsidRPr="00A9015F">
        <w:rPr>
          <w:rFonts w:ascii="Times New Roman" w:eastAsia="Times New Roman" w:hAnsi="Times New Roman" w:cs="Times New Roman"/>
          <w:sz w:val="24"/>
          <w:szCs w:val="24"/>
        </w:rPr>
        <w:t xml:space="preserve">agency conflicts (Akram et al., 2020). </w:t>
      </w:r>
      <w:r w:rsidR="003B14E2">
        <w:rPr>
          <w:rFonts w:ascii="Times New Roman" w:eastAsia="Times New Roman" w:hAnsi="Times New Roman" w:cs="Times New Roman"/>
          <w:sz w:val="24"/>
          <w:szCs w:val="24"/>
        </w:rPr>
        <w:t>The diverse education and experience of i</w:t>
      </w:r>
      <w:r w:rsidRPr="00A9015F">
        <w:rPr>
          <w:rFonts w:ascii="Times New Roman" w:eastAsia="Times New Roman" w:hAnsi="Times New Roman" w:cs="Times New Roman"/>
          <w:sz w:val="24"/>
          <w:szCs w:val="24"/>
        </w:rPr>
        <w:t xml:space="preserve">ndependent directors </w:t>
      </w:r>
      <w:r w:rsidR="003B14E2">
        <w:rPr>
          <w:rFonts w:ascii="Times New Roman" w:eastAsia="Times New Roman" w:hAnsi="Times New Roman" w:cs="Times New Roman"/>
          <w:sz w:val="24"/>
          <w:szCs w:val="24"/>
        </w:rPr>
        <w:t xml:space="preserve">enable them to </w:t>
      </w:r>
      <w:r w:rsidRPr="00A9015F">
        <w:rPr>
          <w:rFonts w:ascii="Times New Roman" w:eastAsia="Times New Roman" w:hAnsi="Times New Roman" w:cs="Times New Roman"/>
          <w:sz w:val="24"/>
          <w:szCs w:val="24"/>
        </w:rPr>
        <w:t xml:space="preserve">question management's performance, which </w:t>
      </w:r>
      <w:r w:rsidR="003B14E2">
        <w:rPr>
          <w:rFonts w:ascii="Times New Roman" w:eastAsia="Times New Roman" w:hAnsi="Times New Roman" w:cs="Times New Roman"/>
          <w:sz w:val="24"/>
          <w:szCs w:val="24"/>
        </w:rPr>
        <w:t xml:space="preserve">is missing from </w:t>
      </w:r>
      <w:r w:rsidR="00753CBD">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homogeneous board (Taljaard et al., 2015). Existing literature provides ample evidence that board heterogeneity in terms of gender, experience, educational background and age improves corporate decision-making for all stakeholders (Burke et al., 2019; Hutzschenreuter and Horstkotte, 2013; Talavera et al., 2018) </w:t>
      </w:r>
    </w:p>
    <w:p w14:paraId="4EFCE04F" w14:textId="31B136FF"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Prior literature categorizes heterogeneity </w:t>
      </w:r>
      <w:r w:rsidR="003B14E2">
        <w:rPr>
          <w:rFonts w:ascii="Times New Roman" w:eastAsia="Times New Roman" w:hAnsi="Times New Roman" w:cs="Times New Roman"/>
          <w:sz w:val="24"/>
          <w:szCs w:val="24"/>
        </w:rPr>
        <w:t xml:space="preserve">as </w:t>
      </w:r>
      <w:r w:rsidRPr="00A9015F">
        <w:rPr>
          <w:rFonts w:ascii="Times New Roman" w:eastAsia="Times New Roman" w:hAnsi="Times New Roman" w:cs="Times New Roman"/>
          <w:sz w:val="24"/>
          <w:szCs w:val="24"/>
        </w:rPr>
        <w:t xml:space="preserve">occupational </w:t>
      </w:r>
      <w:r w:rsidR="003B14E2">
        <w:rPr>
          <w:rFonts w:ascii="Times New Roman" w:eastAsia="Times New Roman" w:hAnsi="Times New Roman" w:cs="Times New Roman"/>
          <w:sz w:val="24"/>
          <w:szCs w:val="24"/>
        </w:rPr>
        <w:t xml:space="preserve">and social. Occupational heterogeneity includes unobservable characteristics of directors, </w:t>
      </w:r>
      <w:r w:rsidRPr="00A9015F">
        <w:rPr>
          <w:rFonts w:ascii="Times New Roman" w:eastAsia="Times New Roman" w:hAnsi="Times New Roman" w:cs="Times New Roman"/>
          <w:sz w:val="24"/>
          <w:szCs w:val="24"/>
        </w:rPr>
        <w:t>e.g. education, tenure, and professional background (Mahadeo et al., 2012; Akram et al., 2020).</w:t>
      </w:r>
      <w:r w:rsidR="003B14E2">
        <w:rPr>
          <w:rFonts w:ascii="Times New Roman" w:eastAsia="Times New Roman" w:hAnsi="Times New Roman" w:cs="Times New Roman"/>
          <w:sz w:val="24"/>
          <w:szCs w:val="24"/>
        </w:rPr>
        <w:t xml:space="preserve"> In contrast, </w:t>
      </w:r>
      <w:r w:rsidRPr="00A9015F">
        <w:rPr>
          <w:rFonts w:ascii="Times New Roman" w:eastAsia="Times New Roman" w:hAnsi="Times New Roman" w:cs="Times New Roman"/>
          <w:sz w:val="24"/>
          <w:szCs w:val="24"/>
        </w:rPr>
        <w:t xml:space="preserve">social heterogeneity </w:t>
      </w:r>
      <w:r w:rsidR="003B14E2">
        <w:rPr>
          <w:rFonts w:ascii="Times New Roman" w:eastAsia="Times New Roman" w:hAnsi="Times New Roman" w:cs="Times New Roman"/>
          <w:sz w:val="24"/>
          <w:szCs w:val="24"/>
        </w:rPr>
        <w:t xml:space="preserve">is </w:t>
      </w:r>
      <w:r w:rsidR="003B14E2" w:rsidRPr="00A9015F">
        <w:rPr>
          <w:rFonts w:ascii="Times New Roman" w:eastAsia="Times New Roman" w:hAnsi="Times New Roman" w:cs="Times New Roman"/>
          <w:sz w:val="24"/>
          <w:szCs w:val="24"/>
        </w:rPr>
        <w:t>grounded</w:t>
      </w:r>
      <w:r w:rsidRPr="00A9015F">
        <w:rPr>
          <w:rFonts w:ascii="Times New Roman" w:eastAsia="Times New Roman" w:hAnsi="Times New Roman" w:cs="Times New Roman"/>
          <w:sz w:val="24"/>
          <w:szCs w:val="24"/>
        </w:rPr>
        <w:t xml:space="preserve"> on observable attributes, e.g., age, gender and nationality (Anderson et al., 2011; Akram et al., 2020). According to upper</w:t>
      </w:r>
      <w:r w:rsidR="003B14E2">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echelon theory, occupational </w:t>
      </w:r>
      <w:bookmarkStart w:id="142" w:name="_Hlk122205511"/>
      <w:r w:rsidRPr="00A9015F">
        <w:rPr>
          <w:rFonts w:ascii="Times New Roman" w:eastAsia="Times New Roman" w:hAnsi="Times New Roman" w:cs="Times New Roman"/>
          <w:sz w:val="24"/>
          <w:szCs w:val="24"/>
        </w:rPr>
        <w:t>heterogeneity affects individuals' cognitive ability and decision-making</w:t>
      </w:r>
      <w:r w:rsidR="003B14E2">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t>
      </w:r>
      <w:r w:rsidR="003B14E2">
        <w:rPr>
          <w:rFonts w:ascii="Times New Roman" w:eastAsia="Times New Roman" w:hAnsi="Times New Roman" w:cs="Times New Roman"/>
          <w:sz w:val="24"/>
          <w:szCs w:val="24"/>
        </w:rPr>
        <w:t xml:space="preserve">which can impact the overall decision of the group due to their experience, knowledge and capability to analyze the information </w:t>
      </w:r>
      <w:r w:rsidRPr="00A9015F">
        <w:rPr>
          <w:rFonts w:ascii="Times New Roman" w:eastAsia="Times New Roman" w:hAnsi="Times New Roman" w:cs="Times New Roman"/>
          <w:sz w:val="24"/>
          <w:szCs w:val="24"/>
        </w:rPr>
        <w:t>(</w:t>
      </w:r>
      <w:r w:rsidR="003B14E2">
        <w:rPr>
          <w:rFonts w:ascii="Times New Roman" w:eastAsia="Times New Roman" w:hAnsi="Times New Roman" w:cs="Times New Roman"/>
          <w:sz w:val="24"/>
          <w:szCs w:val="24"/>
        </w:rPr>
        <w:t>Akram et</w:t>
      </w:r>
      <w:r w:rsidRPr="00A9015F">
        <w:rPr>
          <w:rFonts w:ascii="Times New Roman" w:eastAsia="Times New Roman" w:hAnsi="Times New Roman" w:cs="Times New Roman"/>
          <w:sz w:val="24"/>
          <w:szCs w:val="24"/>
        </w:rPr>
        <w:t xml:space="preserve"> al., 20</w:t>
      </w:r>
      <w:r w:rsidR="003B14E2">
        <w:rPr>
          <w:rFonts w:ascii="Times New Roman" w:eastAsia="Times New Roman" w:hAnsi="Times New Roman" w:cs="Times New Roman"/>
          <w:sz w:val="24"/>
          <w:szCs w:val="24"/>
        </w:rPr>
        <w:t>20</w:t>
      </w:r>
      <w:r w:rsidRPr="00A9015F">
        <w:rPr>
          <w:rFonts w:ascii="Times New Roman" w:eastAsia="Times New Roman" w:hAnsi="Times New Roman" w:cs="Times New Roman"/>
          <w:sz w:val="24"/>
          <w:szCs w:val="24"/>
        </w:rPr>
        <w:t xml:space="preserve">). </w:t>
      </w:r>
      <w:bookmarkEnd w:id="142"/>
      <w:r w:rsidRPr="00A9015F">
        <w:rPr>
          <w:rFonts w:ascii="Times New Roman" w:eastAsia="Times New Roman" w:hAnsi="Times New Roman" w:cs="Times New Roman"/>
          <w:sz w:val="24"/>
          <w:szCs w:val="24"/>
        </w:rPr>
        <w:t xml:space="preserve">Moreover, </w:t>
      </w:r>
      <w:r>
        <w:rPr>
          <w:rFonts w:ascii="Times New Roman" w:eastAsia="Times New Roman" w:hAnsi="Times New Roman" w:cs="Times New Roman"/>
          <w:sz w:val="24"/>
          <w:szCs w:val="24"/>
        </w:rPr>
        <w:t xml:space="preserve">previous investigations have used occupational heterogeneity </w:t>
      </w:r>
      <w:r w:rsidR="00753CBD">
        <w:rPr>
          <w:rFonts w:ascii="Times New Roman" w:eastAsia="Times New Roman" w:hAnsi="Times New Roman" w:cs="Times New Roman"/>
          <w:sz w:val="24"/>
          <w:szCs w:val="24"/>
        </w:rPr>
        <w:t>to represent</w:t>
      </w:r>
      <w:r>
        <w:rPr>
          <w:rFonts w:ascii="Times New Roman" w:eastAsia="Times New Roman" w:hAnsi="Times New Roman" w:cs="Times New Roman"/>
          <w:sz w:val="24"/>
          <w:szCs w:val="24"/>
        </w:rPr>
        <w:t xml:space="preserve"> </w:t>
      </w:r>
      <w:r w:rsidR="00753CBD">
        <w:rPr>
          <w:rFonts w:ascii="Times New Roman" w:eastAsia="Times New Roman" w:hAnsi="Times New Roman" w:cs="Times New Roman"/>
          <w:sz w:val="24"/>
          <w:szCs w:val="24"/>
        </w:rPr>
        <w:t>human</w:t>
      </w:r>
      <w:r>
        <w:rPr>
          <w:rFonts w:ascii="Times New Roman" w:eastAsia="Times New Roman" w:hAnsi="Times New Roman" w:cs="Times New Roman"/>
          <w:sz w:val="24"/>
          <w:szCs w:val="24"/>
        </w:rPr>
        <w:t xml:space="preserve"> intellectual capital</w:t>
      </w:r>
      <w:r w:rsidRPr="00A9015F">
        <w:rPr>
          <w:rFonts w:ascii="Times New Roman" w:eastAsia="Times New Roman" w:hAnsi="Times New Roman" w:cs="Times New Roman"/>
          <w:sz w:val="24"/>
          <w:szCs w:val="24"/>
        </w:rPr>
        <w:t xml:space="preserve"> (Anderson et al., 2011; Midavaine et al., 2016). In </w:t>
      </w:r>
      <w:r w:rsidR="00753CBD">
        <w:rPr>
          <w:rFonts w:ascii="Times New Roman" w:eastAsia="Times New Roman" w:hAnsi="Times New Roman" w:cs="Times New Roman"/>
          <w:sz w:val="24"/>
          <w:szCs w:val="24"/>
        </w:rPr>
        <w:t>occupational heterogeneity</w:t>
      </w:r>
      <w:r w:rsidR="00963CA8">
        <w:rPr>
          <w:rFonts w:ascii="Times New Roman" w:eastAsia="Times New Roman" w:hAnsi="Times New Roman" w:cs="Times New Roman"/>
          <w:sz w:val="24"/>
          <w:szCs w:val="24"/>
        </w:rPr>
        <w:t>,</w:t>
      </w:r>
      <w:r w:rsidR="00753CBD">
        <w:rPr>
          <w:rFonts w:ascii="Times New Roman" w:eastAsia="Times New Roman" w:hAnsi="Times New Roman" w:cs="Times New Roman"/>
          <w:sz w:val="24"/>
          <w:szCs w:val="24"/>
        </w:rPr>
        <w:t xml:space="preserve"> </w:t>
      </w:r>
      <w:r w:rsidR="00963CA8">
        <w:rPr>
          <w:rFonts w:ascii="Times New Roman" w:eastAsia="Times New Roman" w:hAnsi="Times New Roman" w:cs="Times New Roman"/>
          <w:sz w:val="24"/>
          <w:szCs w:val="24"/>
        </w:rPr>
        <w:t>top management's educational background has gained academicians' attention</w:t>
      </w:r>
      <w:r w:rsidR="00753CBD">
        <w:rPr>
          <w:rFonts w:ascii="Times New Roman" w:eastAsia="Times New Roman" w:hAnsi="Times New Roman" w:cs="Times New Roman"/>
          <w:sz w:val="24"/>
          <w:szCs w:val="24"/>
        </w:rPr>
        <w:t xml:space="preserve"> as higher education enables directors to allocate resources efficiently (Akram et al., 2020). On the other hand, gender heterogeneity has gained much attention from scholars and human rights activists </w:t>
      </w:r>
      <w:r w:rsidRPr="00A9015F">
        <w:rPr>
          <w:rFonts w:ascii="Times New Roman" w:eastAsia="Times New Roman" w:hAnsi="Times New Roman" w:cs="Times New Roman"/>
          <w:sz w:val="24"/>
          <w:szCs w:val="24"/>
        </w:rPr>
        <w:t xml:space="preserve">(Adusei et al., 2017). Gender diversity </w:t>
      </w:r>
      <w:r w:rsidR="00753CBD" w:rsidRPr="00A9015F">
        <w:rPr>
          <w:rFonts w:ascii="Times New Roman" w:eastAsia="Times New Roman" w:hAnsi="Times New Roman" w:cs="Times New Roman"/>
          <w:sz w:val="24"/>
          <w:szCs w:val="24"/>
        </w:rPr>
        <w:t>suggests</w:t>
      </w:r>
      <w:r w:rsidRPr="00A9015F">
        <w:rPr>
          <w:rFonts w:ascii="Times New Roman" w:eastAsia="Times New Roman" w:hAnsi="Times New Roman" w:cs="Times New Roman"/>
          <w:sz w:val="24"/>
          <w:szCs w:val="24"/>
        </w:rPr>
        <w:t xml:space="preserve"> that women on boards </w:t>
      </w:r>
      <w:r w:rsidR="00753CBD" w:rsidRPr="00A9015F">
        <w:rPr>
          <w:rFonts w:ascii="Times New Roman" w:eastAsia="Times New Roman" w:hAnsi="Times New Roman" w:cs="Times New Roman"/>
          <w:sz w:val="24"/>
          <w:szCs w:val="24"/>
        </w:rPr>
        <w:t>improve</w:t>
      </w:r>
      <w:r w:rsidRPr="00A9015F">
        <w:rPr>
          <w:rFonts w:ascii="Times New Roman" w:eastAsia="Times New Roman" w:hAnsi="Times New Roman" w:cs="Times New Roman"/>
          <w:sz w:val="24"/>
          <w:szCs w:val="24"/>
        </w:rPr>
        <w:t xml:space="preserve"> board </w:t>
      </w:r>
      <w:r w:rsidR="00753CBD" w:rsidRPr="00A9015F">
        <w:rPr>
          <w:rFonts w:ascii="Times New Roman" w:eastAsia="Times New Roman" w:hAnsi="Times New Roman" w:cs="Times New Roman"/>
          <w:sz w:val="24"/>
          <w:szCs w:val="24"/>
        </w:rPr>
        <w:t>efficiency</w:t>
      </w:r>
      <w:r w:rsidRPr="00A9015F">
        <w:rPr>
          <w:rFonts w:ascii="Times New Roman" w:eastAsia="Times New Roman" w:hAnsi="Times New Roman" w:cs="Times New Roman"/>
          <w:sz w:val="24"/>
          <w:szCs w:val="24"/>
        </w:rPr>
        <w:t xml:space="preserve">, </w:t>
      </w:r>
      <w:r w:rsidR="00753CBD">
        <w:rPr>
          <w:rFonts w:ascii="Times New Roman" w:eastAsia="Times New Roman" w:hAnsi="Times New Roman" w:cs="Times New Roman"/>
          <w:sz w:val="24"/>
          <w:szCs w:val="24"/>
        </w:rPr>
        <w:t>improve</w:t>
      </w:r>
      <w:r w:rsidRPr="00A9015F">
        <w:rPr>
          <w:rFonts w:ascii="Times New Roman" w:eastAsia="Times New Roman" w:hAnsi="Times New Roman" w:cs="Times New Roman"/>
          <w:sz w:val="24"/>
          <w:szCs w:val="24"/>
        </w:rPr>
        <w:t xml:space="preserve"> </w:t>
      </w:r>
      <w:r w:rsidR="00753CBD">
        <w:rPr>
          <w:rFonts w:ascii="Times New Roman" w:eastAsia="Times New Roman" w:hAnsi="Times New Roman" w:cs="Times New Roman"/>
          <w:sz w:val="24"/>
          <w:szCs w:val="24"/>
        </w:rPr>
        <w:t xml:space="preserve">the </w:t>
      </w:r>
      <w:r w:rsidR="00753CBD" w:rsidRPr="00A9015F">
        <w:rPr>
          <w:rFonts w:ascii="Times New Roman" w:eastAsia="Times New Roman" w:hAnsi="Times New Roman" w:cs="Times New Roman"/>
          <w:sz w:val="24"/>
          <w:szCs w:val="24"/>
        </w:rPr>
        <w:t>perception</w:t>
      </w:r>
      <w:r w:rsidRPr="00A9015F">
        <w:rPr>
          <w:rFonts w:ascii="Times New Roman" w:eastAsia="Times New Roman" w:hAnsi="Times New Roman" w:cs="Times New Roman"/>
          <w:sz w:val="24"/>
          <w:szCs w:val="24"/>
        </w:rPr>
        <w:t xml:space="preserve"> of the marketplace and </w:t>
      </w:r>
      <w:r w:rsidR="00753CBD">
        <w:rPr>
          <w:rFonts w:ascii="Times New Roman" w:eastAsia="Times New Roman" w:hAnsi="Times New Roman" w:cs="Times New Roman"/>
          <w:sz w:val="24"/>
          <w:szCs w:val="24"/>
        </w:rPr>
        <w:t>provide</w:t>
      </w:r>
      <w:r w:rsidRPr="00A9015F">
        <w:rPr>
          <w:rFonts w:ascii="Times New Roman" w:eastAsia="Times New Roman" w:hAnsi="Times New Roman" w:cs="Times New Roman"/>
          <w:sz w:val="24"/>
          <w:szCs w:val="24"/>
        </w:rPr>
        <w:t xml:space="preserve"> the most </w:t>
      </w:r>
      <w:r w:rsidR="00753CBD" w:rsidRPr="00A9015F">
        <w:rPr>
          <w:rFonts w:ascii="Times New Roman" w:eastAsia="Times New Roman" w:hAnsi="Times New Roman" w:cs="Times New Roman"/>
          <w:sz w:val="24"/>
          <w:szCs w:val="24"/>
        </w:rPr>
        <w:t>innovative</w:t>
      </w:r>
      <w:r w:rsidRPr="00A9015F">
        <w:rPr>
          <w:rFonts w:ascii="Times New Roman" w:eastAsia="Times New Roman" w:hAnsi="Times New Roman" w:cs="Times New Roman"/>
          <w:sz w:val="24"/>
          <w:szCs w:val="24"/>
        </w:rPr>
        <w:t xml:space="preserve"> </w:t>
      </w:r>
      <w:r w:rsidR="00753CBD" w:rsidRPr="00A9015F">
        <w:rPr>
          <w:rFonts w:ascii="Times New Roman" w:eastAsia="Times New Roman" w:hAnsi="Times New Roman" w:cs="Times New Roman"/>
          <w:sz w:val="24"/>
          <w:szCs w:val="24"/>
        </w:rPr>
        <w:t>resolution</w:t>
      </w:r>
      <w:r w:rsidRPr="00A9015F">
        <w:rPr>
          <w:rFonts w:ascii="Times New Roman" w:eastAsia="Times New Roman" w:hAnsi="Times New Roman" w:cs="Times New Roman"/>
          <w:sz w:val="24"/>
          <w:szCs w:val="24"/>
        </w:rPr>
        <w:t xml:space="preserve"> to </w:t>
      </w:r>
      <w:r w:rsidR="00963CA8">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board (Zaid et al., 2020).</w:t>
      </w:r>
    </w:p>
    <w:p w14:paraId="5636188E" w14:textId="77777777"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We take a stakeholder-agency theory perspective to explain how board monitoring can reduce bank misconduct. We supplement our analysis with resource dependency theory, upper echelon theory and gender socialization theory to recommend the solution to the stakeholder agency problem.</w:t>
      </w:r>
    </w:p>
    <w:p w14:paraId="03F4B261" w14:textId="5D6BE13E" w:rsidR="00963CA8" w:rsidRDefault="00963CA8" w:rsidP="00963CA8">
      <w:pPr>
        <w:pStyle w:val="Heading2"/>
      </w:pPr>
      <w:bookmarkStart w:id="143" w:name="_Toc145616214"/>
      <w:r>
        <w:t>5.3.</w:t>
      </w:r>
      <w:r w:rsidR="00A9015F" w:rsidRPr="00A9015F">
        <w:t xml:space="preserve"> Relevant Literature</w:t>
      </w:r>
      <w:r w:rsidR="00D33188">
        <w:t xml:space="preserve"> and Hypotheses Development</w:t>
      </w:r>
      <w:bookmarkEnd w:id="143"/>
    </w:p>
    <w:p w14:paraId="7458E1F7" w14:textId="391F61B8" w:rsidR="00A9015F" w:rsidRPr="00A9015F" w:rsidRDefault="00A9015F" w:rsidP="00963CA8">
      <w:pPr>
        <w:pStyle w:val="Heading2"/>
      </w:pPr>
      <w:r w:rsidRPr="00A9015F">
        <w:t xml:space="preserve"> </w:t>
      </w:r>
    </w:p>
    <w:p w14:paraId="05ABBBBC" w14:textId="77777777" w:rsid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Recently there has been an increase in bank misconduct cases, causing a sharp decline in the reputational and ethical conduct of the banks (Nguyen et al., 2016). Misconducts are costly for banks because of the direct (fines) and indirect (reputational) costs attached to them (Zaman et al., 2020). Furthermore, repeated misconduct cases undermine investors' confidence, damage shareholder value</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causes misallocation of capital resources, and increase financial market instability (Cumming et al., 2015; Nguyen et al., 2016; Zaman et al., 2021). Thus, reducing misconduct risk is of significance importance for banks and regulators. To protect the reliability of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financial system, regulators have implemented a series of consumer protection rules (Barakat &amp; Hussainey, 2013; Gaudio et al., 2022). </w:t>
      </w:r>
      <w:r>
        <w:rPr>
          <w:rFonts w:ascii="Times New Roman" w:eastAsia="Times New Roman" w:hAnsi="Times New Roman" w:cs="Times New Roman"/>
          <w:sz w:val="24"/>
          <w:szCs w:val="24"/>
        </w:rPr>
        <w:t>Introducing consumer protection rules aim</w:t>
      </w:r>
      <w:r w:rsidRPr="00A9015F">
        <w:rPr>
          <w:rFonts w:ascii="Times New Roman" w:eastAsia="Times New Roman" w:hAnsi="Times New Roman" w:cs="Times New Roman"/>
          <w:sz w:val="24"/>
          <w:szCs w:val="24"/>
        </w:rPr>
        <w:t xml:space="preserve">s to reduce agency issues resulting from </w:t>
      </w:r>
      <w:r>
        <w:rPr>
          <w:rFonts w:ascii="Times New Roman" w:eastAsia="Times New Roman" w:hAnsi="Times New Roman" w:cs="Times New Roman"/>
          <w:sz w:val="24"/>
          <w:szCs w:val="24"/>
        </w:rPr>
        <w:t xml:space="preserve">an </w:t>
      </w:r>
      <w:r w:rsidRPr="00A9015F">
        <w:rPr>
          <w:rFonts w:ascii="Times New Roman" w:eastAsia="Times New Roman" w:hAnsi="Times New Roman" w:cs="Times New Roman"/>
          <w:sz w:val="24"/>
          <w:szCs w:val="24"/>
        </w:rPr>
        <w:t>imbalance of power between management and clients.</w:t>
      </w:r>
    </w:p>
    <w:p w14:paraId="10E1AD88" w14:textId="45C1E12A"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Furthermore, complex financial products and </w:t>
      </w:r>
      <w:r w:rsidR="00963CA8">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opacity of information provide an environment which encourages banks to engage in misconduct (Coles, 1998). Therefore, regulators have started </w:t>
      </w:r>
      <w:r w:rsidR="00963CA8">
        <w:rPr>
          <w:rFonts w:ascii="Times New Roman" w:eastAsia="Times New Roman" w:hAnsi="Times New Roman" w:cs="Times New Roman"/>
          <w:sz w:val="24"/>
          <w:szCs w:val="24"/>
        </w:rPr>
        <w:t>pay</w:t>
      </w:r>
      <w:r w:rsidRPr="00A9015F">
        <w:rPr>
          <w:rFonts w:ascii="Times New Roman" w:eastAsia="Times New Roman" w:hAnsi="Times New Roman" w:cs="Times New Roman"/>
          <w:sz w:val="24"/>
          <w:szCs w:val="24"/>
        </w:rPr>
        <w:t xml:space="preserve">ing attention to misconduct risk, especially after the financial crisis of 2007-2009 (Gaudio et al., 2022). Regulators proxy the volume of complaints against an institution in terms of numbers and amounts as a possible indicator of misconduct risk (European Banking Authority (EBA), 2014). </w:t>
      </w:r>
    </w:p>
    <w:p w14:paraId="3CCAE3FE" w14:textId="08C2FB69"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The solution to mitigate these frauds mainly relies on strong internal governance from the board (Cumming et al., 2015). The exact features that matter, however, remain unsettled, but independence is necessary to make a director effective in monitoring by making them more objective (Gorshunov et al., 2021). Empirical evidence on whether board independence leads to effective oversight of misconduct is inconclusive (Nguyen et al., 2016). For example, Beasley (1996) finds that firms involved in misconduct have lower percentages of independent board members. Klein (2002) finds a negative relation between board independence and the size of firms' abnormal accruals. Uzun et al. (2004) find that financial and nonfinancial misconduct relates negatively to the number of independent directors on the board and the audit and compensation committees. Nguyen et al. (2016) find that bank misconduct is unrelated to board independence. Agrawal and Chadha (2005) also find that the probability of earnings restatements is unrelated to overall board independence</w:t>
      </w:r>
      <w:r w:rsidR="00963CA8">
        <w:rPr>
          <w:rFonts w:ascii="Times New Roman" w:eastAsia="Times New Roman" w:hAnsi="Times New Roman" w:cs="Times New Roman"/>
          <w:sz w:val="24"/>
          <w:szCs w:val="24"/>
        </w:rPr>
        <w:t xml:space="preserve">; still, </w:t>
      </w:r>
      <w:r w:rsidRPr="00A9015F">
        <w:rPr>
          <w:rFonts w:ascii="Times New Roman" w:eastAsia="Times New Roman" w:hAnsi="Times New Roman" w:cs="Times New Roman"/>
          <w:sz w:val="24"/>
          <w:szCs w:val="24"/>
        </w:rPr>
        <w:t xml:space="preserve">the possibility is lower in companies whose boards or audit committees have an independent director with financial expertise. The </w:t>
      </w:r>
      <w:r w:rsidR="00753CBD">
        <w:rPr>
          <w:rFonts w:ascii="Times New Roman" w:eastAsia="Times New Roman" w:hAnsi="Times New Roman" w:cs="Times New Roman"/>
          <w:sz w:val="24"/>
          <w:szCs w:val="24"/>
        </w:rPr>
        <w:t xml:space="preserve">increasing number of bank misconduct in the presence of more independent boards supports the view that </w:t>
      </w:r>
      <w:r w:rsidRPr="00A9015F">
        <w:rPr>
          <w:rFonts w:ascii="Times New Roman" w:eastAsia="Times New Roman" w:hAnsi="Times New Roman" w:cs="Times New Roman"/>
          <w:sz w:val="24"/>
          <w:szCs w:val="24"/>
        </w:rPr>
        <w:t>true board independence is difficult to achieve (e.g., Coles</w:t>
      </w:r>
      <w:r w:rsidR="00753CBD">
        <w:rPr>
          <w:rFonts w:ascii="Times New Roman" w:eastAsia="Times New Roman" w:hAnsi="Times New Roman" w:cs="Times New Roman"/>
          <w:sz w:val="24"/>
          <w:szCs w:val="24"/>
        </w:rPr>
        <w:t xml:space="preserve"> et al.,</w:t>
      </w:r>
      <w:r w:rsidRPr="00A9015F">
        <w:rPr>
          <w:rFonts w:ascii="Times New Roman" w:eastAsia="Times New Roman" w:hAnsi="Times New Roman" w:cs="Times New Roman"/>
          <w:sz w:val="24"/>
          <w:szCs w:val="24"/>
        </w:rPr>
        <w:t xml:space="preserve"> 2014</w:t>
      </w:r>
      <w:r w:rsidR="00753CBD">
        <w:rPr>
          <w:rFonts w:ascii="Times New Roman" w:eastAsia="Times New Roman" w:hAnsi="Times New Roman" w:cs="Times New Roman"/>
          <w:sz w:val="24"/>
          <w:szCs w:val="24"/>
        </w:rPr>
        <w:t>; Lee et al.</w:t>
      </w:r>
      <w:r w:rsidRPr="00A9015F">
        <w:rPr>
          <w:rFonts w:ascii="Times New Roman" w:eastAsia="Times New Roman" w:hAnsi="Times New Roman" w:cs="Times New Roman"/>
          <w:sz w:val="24"/>
          <w:szCs w:val="24"/>
        </w:rPr>
        <w:t xml:space="preserve">, 2014). Board independence can be </w:t>
      </w:r>
      <w:r w:rsidR="00753CBD" w:rsidRPr="00A9015F">
        <w:rPr>
          <w:rFonts w:ascii="Times New Roman" w:eastAsia="Times New Roman" w:hAnsi="Times New Roman" w:cs="Times New Roman"/>
          <w:sz w:val="24"/>
          <w:szCs w:val="24"/>
        </w:rPr>
        <w:t>challenged</w:t>
      </w:r>
      <w:r w:rsidRPr="00A9015F">
        <w:rPr>
          <w:rFonts w:ascii="Times New Roman" w:eastAsia="Times New Roman" w:hAnsi="Times New Roman" w:cs="Times New Roman"/>
          <w:sz w:val="24"/>
          <w:szCs w:val="24"/>
        </w:rPr>
        <w:t xml:space="preserve"> if CEOs are more powerful (Dechow et al. (1996), especially as </w:t>
      </w:r>
      <w:r w:rsidR="00963CA8">
        <w:rPr>
          <w:rFonts w:ascii="Times New Roman" w:eastAsia="Times New Roman" w:hAnsi="Times New Roman" w:cs="Times New Roman"/>
          <w:sz w:val="24"/>
          <w:szCs w:val="24"/>
        </w:rPr>
        <w:t>CEOs</w:t>
      </w:r>
      <w:r w:rsidRPr="00A9015F">
        <w:rPr>
          <w:rFonts w:ascii="Times New Roman" w:eastAsia="Times New Roman" w:hAnsi="Times New Roman" w:cs="Times New Roman"/>
          <w:sz w:val="24"/>
          <w:szCs w:val="24"/>
        </w:rPr>
        <w:t xml:space="preserve"> appoint directors and secure directors' loyalties towards them (Khanna, Kim, and Lu, 2015; Coles, Daniel, and Naveen, 2014; Khanna, Kim, and Lu, 2015).</w:t>
      </w:r>
    </w:p>
    <w:p w14:paraId="4E9959D8" w14:textId="38F305AA" w:rsidR="00963CA8"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More recent research has started exploring the relationship between personality traits of executives and social norms that lead to improved oversight activities, e.g., financial expertise, age, tenure, network, and busyness (Arnaboldi et al., 2021; Gorshunov et al., 2021; Amiram et al., 2018; Hambrick et al., 2015; Beasley, 1996). We propose that to be effective in monitoring, a board should be structured with these three qualities, i.e., </w:t>
      </w:r>
      <w:r w:rsidR="0091261D">
        <w:rPr>
          <w:rFonts w:ascii="Times New Roman" w:eastAsia="Times New Roman" w:hAnsi="Times New Roman" w:cs="Times New Roman"/>
          <w:sz w:val="24"/>
          <w:szCs w:val="24"/>
        </w:rPr>
        <w:t xml:space="preserve">heterogeneity in </w:t>
      </w:r>
      <w:r w:rsidRPr="00A9015F">
        <w:rPr>
          <w:rFonts w:ascii="Times New Roman" w:eastAsia="Times New Roman" w:hAnsi="Times New Roman" w:cs="Times New Roman"/>
          <w:sz w:val="24"/>
          <w:szCs w:val="24"/>
        </w:rPr>
        <w:t>gender, financial expert</w:t>
      </w:r>
      <w:r w:rsidR="0091261D">
        <w:rPr>
          <w:rFonts w:ascii="Times New Roman" w:eastAsia="Times New Roman" w:hAnsi="Times New Roman" w:cs="Times New Roman"/>
          <w:sz w:val="24"/>
          <w:szCs w:val="24"/>
        </w:rPr>
        <w:t xml:space="preserve">ise </w:t>
      </w:r>
      <w:r w:rsidRPr="00A9015F">
        <w:rPr>
          <w:rFonts w:ascii="Times New Roman" w:eastAsia="Times New Roman" w:hAnsi="Times New Roman" w:cs="Times New Roman"/>
          <w:sz w:val="24"/>
          <w:szCs w:val="24"/>
        </w:rPr>
        <w:t>and tenure among independent directors. Each attribute is explored in more detail below:</w:t>
      </w:r>
    </w:p>
    <w:p w14:paraId="6DB3DC56" w14:textId="77777777" w:rsidR="00963CA8" w:rsidRDefault="00963C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99D739A" w14:textId="77777777" w:rsidR="00A9015F" w:rsidRPr="00A9015F" w:rsidRDefault="00A9015F" w:rsidP="00A9015F">
      <w:pPr>
        <w:spacing w:line="480" w:lineRule="auto"/>
        <w:jc w:val="both"/>
        <w:rPr>
          <w:rFonts w:ascii="Times New Roman" w:eastAsia="Times New Roman" w:hAnsi="Times New Roman" w:cs="Times New Roman"/>
          <w:sz w:val="24"/>
          <w:szCs w:val="24"/>
        </w:rPr>
      </w:pPr>
    </w:p>
    <w:p w14:paraId="6C1893C0" w14:textId="32653399" w:rsidR="00A9015F" w:rsidRDefault="00963CA8" w:rsidP="00963CA8">
      <w:pPr>
        <w:pStyle w:val="Heading3"/>
        <w:rPr>
          <w:rFonts w:ascii="Times New Roman" w:hAnsi="Times New Roman" w:cs="Times New Roman"/>
          <w:b/>
          <w:bCs/>
          <w:color w:val="000000" w:themeColor="text1"/>
        </w:rPr>
      </w:pPr>
      <w:bookmarkStart w:id="144" w:name="_Toc145616215"/>
      <w:r w:rsidRPr="00963CA8">
        <w:rPr>
          <w:rFonts w:ascii="Times New Roman" w:hAnsi="Times New Roman" w:cs="Times New Roman"/>
          <w:b/>
          <w:bCs/>
          <w:color w:val="000000" w:themeColor="text1"/>
        </w:rPr>
        <w:t>5</w:t>
      </w:r>
      <w:r w:rsidR="00A9015F" w:rsidRPr="00963CA8">
        <w:rPr>
          <w:rFonts w:ascii="Times New Roman" w:hAnsi="Times New Roman" w:cs="Times New Roman"/>
          <w:b/>
          <w:bCs/>
          <w:color w:val="000000" w:themeColor="text1"/>
        </w:rPr>
        <w:t>.</w:t>
      </w:r>
      <w:r w:rsidRPr="00963CA8">
        <w:rPr>
          <w:rFonts w:ascii="Times New Roman" w:hAnsi="Times New Roman" w:cs="Times New Roman"/>
          <w:b/>
          <w:bCs/>
          <w:color w:val="000000" w:themeColor="text1"/>
        </w:rPr>
        <w:t>3</w:t>
      </w:r>
      <w:r w:rsidR="00A9015F" w:rsidRPr="00963CA8">
        <w:rPr>
          <w:rFonts w:ascii="Times New Roman" w:hAnsi="Times New Roman" w:cs="Times New Roman"/>
          <w:b/>
          <w:bCs/>
          <w:color w:val="000000" w:themeColor="text1"/>
        </w:rPr>
        <w:t>.1</w:t>
      </w:r>
      <w:r w:rsidRPr="00963CA8">
        <w:rPr>
          <w:rFonts w:ascii="Times New Roman" w:hAnsi="Times New Roman" w:cs="Times New Roman"/>
          <w:b/>
          <w:bCs/>
          <w:color w:val="000000" w:themeColor="text1"/>
        </w:rPr>
        <w:t>.</w:t>
      </w:r>
      <w:r w:rsidR="00A9015F" w:rsidRPr="00963CA8">
        <w:rPr>
          <w:rFonts w:ascii="Times New Roman" w:hAnsi="Times New Roman" w:cs="Times New Roman"/>
          <w:b/>
          <w:bCs/>
          <w:color w:val="000000" w:themeColor="text1"/>
        </w:rPr>
        <w:t xml:space="preserve"> Gender Diversity and Bank Misconduct</w:t>
      </w:r>
      <w:bookmarkEnd w:id="144"/>
    </w:p>
    <w:p w14:paraId="0E92857F" w14:textId="77777777" w:rsidR="00963CA8" w:rsidRPr="00963CA8" w:rsidRDefault="00963CA8" w:rsidP="00963CA8"/>
    <w:p w14:paraId="05E91641" w14:textId="5A4F58E1"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Gender-diverse boards are essential for the overall betterment of society and corporate outcomes (Arnaboldi et al., 2021). Furthermore, agency theory links gender-diverse boards with improved corporate performances, e.g. effective monitoring, enhanced oversight of the firm's disclosure, improved shareholder trust and reduced financial misconduct (Hillman &amp; Dalziel, 2003; Adams and Ferreira, 2009, Gul et al., 2011; Cumming et al., 2015 Zaman et al., 2020). The arguments </w:t>
      </w:r>
      <w:r>
        <w:rPr>
          <w:rFonts w:ascii="Times New Roman" w:eastAsia="Times New Roman" w:hAnsi="Times New Roman" w:cs="Times New Roman"/>
          <w:sz w:val="24"/>
          <w:szCs w:val="24"/>
        </w:rPr>
        <w:t>favouring</w:t>
      </w:r>
      <w:r w:rsidRPr="00A9015F">
        <w:rPr>
          <w:rFonts w:ascii="Times New Roman" w:eastAsia="Times New Roman" w:hAnsi="Times New Roman" w:cs="Times New Roman"/>
          <w:sz w:val="24"/>
          <w:szCs w:val="24"/>
        </w:rPr>
        <w:t xml:space="preserve"> the presence of women on board leading to lower misconduct are based on the view of ethicality and risk aversion (Cohen et al., 1998; Cumming et al., 2015; Arnaboldi et al., 2021). </w:t>
      </w:r>
      <w:r>
        <w:rPr>
          <w:rFonts w:ascii="Times New Roman" w:eastAsia="Times New Roman" w:hAnsi="Times New Roman" w:cs="Times New Roman"/>
          <w:sz w:val="24"/>
          <w:szCs w:val="24"/>
        </w:rPr>
        <w:t>Generally</w:t>
      </w:r>
      <w:r w:rsidRPr="00A9015F">
        <w:rPr>
          <w:rFonts w:ascii="Times New Roman" w:eastAsia="Times New Roman" w:hAnsi="Times New Roman" w:cs="Times New Roman"/>
          <w:sz w:val="24"/>
          <w:szCs w:val="24"/>
        </w:rPr>
        <w:t xml:space="preserve">, women are more sensitive towards ethics, less confident, risk-averse and value more security (Zaman et al., 2021). According to gender socialization theory, these gender difference exists because, from childhood, men and women are taught different sex roles and values, which translate into their personalities (Dawson, 1997). On the other hand, the social role theory of leadership contends that female leaders focus more on collective goals, whereas men pursue personal goals leading to competition and hierarchy (Eagly &amp; Carli, 2007; Eagly &amp; Johnson, 1990; Eagly, Karau, &amp; Makhijani, 1995). As women possess more communal values thus, they will react more ethically in dilemmas (Mason &amp;Mudrak, 1996; Cohen et al.,.1998). </w:t>
      </w:r>
      <w:r w:rsidR="00FD5B7D">
        <w:rPr>
          <w:rFonts w:ascii="Times New Roman" w:eastAsia="Times New Roman" w:hAnsi="Times New Roman" w:cs="Times New Roman"/>
          <w:sz w:val="24"/>
          <w:szCs w:val="24"/>
        </w:rPr>
        <w:t>Cumming et al.(2015) reveal that gender-diverse boards signal the market regarding a firm’s commitment towards minority groups and social responsibility</w:t>
      </w:r>
      <w:r w:rsidRPr="00A9015F">
        <w:rPr>
          <w:rFonts w:ascii="Times New Roman" w:eastAsia="Times New Roman" w:hAnsi="Times New Roman" w:cs="Times New Roman"/>
          <w:sz w:val="24"/>
          <w:szCs w:val="24"/>
        </w:rPr>
        <w:t xml:space="preserve">. </w:t>
      </w:r>
      <w:r w:rsidR="00FD5B7D">
        <w:rPr>
          <w:rFonts w:ascii="Times New Roman" w:eastAsia="Times New Roman" w:hAnsi="Times New Roman" w:cs="Times New Roman"/>
          <w:sz w:val="24"/>
          <w:szCs w:val="24"/>
        </w:rPr>
        <w:t>Similarly, a stream of literature associates gender-diverse boards with an improved corporate reputation</w:t>
      </w:r>
      <w:r w:rsidRPr="00A9015F">
        <w:rPr>
          <w:rFonts w:ascii="Times New Roman" w:eastAsia="Times New Roman" w:hAnsi="Times New Roman" w:cs="Times New Roman"/>
          <w:sz w:val="24"/>
          <w:szCs w:val="24"/>
        </w:rPr>
        <w:t xml:space="preserve"> (Bernardi, Bosco, and Vassili, 2009; Brammer, Millington, and Pavelin, 2009). Moreover, </w:t>
      </w:r>
      <w:r w:rsidR="00FD5B7D">
        <w:rPr>
          <w:rFonts w:ascii="Times New Roman" w:eastAsia="Times New Roman" w:hAnsi="Times New Roman" w:cs="Times New Roman"/>
          <w:sz w:val="24"/>
          <w:szCs w:val="24"/>
        </w:rPr>
        <w:t xml:space="preserve">the literature also confirms women as better monitors </w:t>
      </w:r>
      <w:r w:rsidRPr="00A9015F">
        <w:rPr>
          <w:rFonts w:ascii="Times New Roman" w:eastAsia="Times New Roman" w:hAnsi="Times New Roman" w:cs="Times New Roman"/>
          <w:sz w:val="24"/>
          <w:szCs w:val="24"/>
        </w:rPr>
        <w:t xml:space="preserve">in a male-dominated industry </w:t>
      </w:r>
      <w:r w:rsidR="00FD5B7D">
        <w:rPr>
          <w:rFonts w:ascii="Times New Roman" w:eastAsia="Times New Roman" w:hAnsi="Times New Roman" w:cs="Times New Roman"/>
          <w:sz w:val="24"/>
          <w:szCs w:val="24"/>
        </w:rPr>
        <w:t>with high risk-taking, which increases the chances of fraud (Cumming et al., 2015).</w:t>
      </w:r>
      <w:r w:rsidRPr="00A9015F">
        <w:rPr>
          <w:rFonts w:ascii="Times New Roman" w:eastAsia="Times New Roman" w:hAnsi="Times New Roman" w:cs="Times New Roman"/>
          <w:sz w:val="24"/>
          <w:szCs w:val="24"/>
        </w:rPr>
        <w:t xml:space="preserve"> </w:t>
      </w:r>
      <w:r w:rsidR="00FD5B7D">
        <w:rPr>
          <w:rFonts w:ascii="Times New Roman" w:eastAsia="Times New Roman" w:hAnsi="Times New Roman" w:cs="Times New Roman"/>
          <w:sz w:val="24"/>
          <w:szCs w:val="24"/>
        </w:rPr>
        <w:t xml:space="preserve">The ability of women as effective monitors find its ground in </w:t>
      </w:r>
      <w:r w:rsidRPr="00A9015F">
        <w:rPr>
          <w:rFonts w:ascii="Times New Roman" w:eastAsia="Times New Roman" w:hAnsi="Times New Roman" w:cs="Times New Roman"/>
          <w:sz w:val="24"/>
          <w:szCs w:val="24"/>
        </w:rPr>
        <w:t xml:space="preserve">the psychology literature </w:t>
      </w:r>
      <w:r w:rsidR="00FD5B7D">
        <w:rPr>
          <w:rFonts w:ascii="Times New Roman" w:eastAsia="Times New Roman" w:hAnsi="Times New Roman" w:cs="Times New Roman"/>
          <w:sz w:val="24"/>
          <w:szCs w:val="24"/>
        </w:rPr>
        <w:t xml:space="preserve">that categorizes women as </w:t>
      </w:r>
      <w:r w:rsidRPr="00A9015F">
        <w:rPr>
          <w:rFonts w:ascii="Times New Roman" w:eastAsia="Times New Roman" w:hAnsi="Times New Roman" w:cs="Times New Roman"/>
          <w:sz w:val="24"/>
          <w:szCs w:val="24"/>
        </w:rPr>
        <w:t xml:space="preserve">less overconfident, more risk averse, and more conservative </w:t>
      </w:r>
      <w:r w:rsidR="00FD5B7D">
        <w:rPr>
          <w:rFonts w:ascii="Times New Roman" w:eastAsia="Times New Roman" w:hAnsi="Times New Roman" w:cs="Times New Roman"/>
          <w:sz w:val="24"/>
          <w:szCs w:val="24"/>
        </w:rPr>
        <w:t xml:space="preserve">with a focus on those policies which result in security and stable outcomes </w:t>
      </w:r>
      <w:r w:rsidRPr="00A9015F">
        <w:rPr>
          <w:rFonts w:ascii="Times New Roman" w:eastAsia="Times New Roman" w:hAnsi="Times New Roman" w:cs="Times New Roman"/>
          <w:sz w:val="24"/>
          <w:szCs w:val="24"/>
        </w:rPr>
        <w:t xml:space="preserve">(Byrnes et al., 1999; Barber and Odean, 2001). Moreover, gender diversity at the board level </w:t>
      </w:r>
      <w:r w:rsidR="00FD5B7D">
        <w:rPr>
          <w:rFonts w:ascii="Times New Roman" w:eastAsia="Times New Roman" w:hAnsi="Times New Roman" w:cs="Times New Roman"/>
          <w:sz w:val="24"/>
          <w:szCs w:val="24"/>
        </w:rPr>
        <w:t>facilitates effective monitoring as women bring different perspectives, experiences, interests and creativity</w:t>
      </w:r>
      <w:r w:rsidRPr="00A9015F">
        <w:rPr>
          <w:rFonts w:ascii="Times New Roman" w:eastAsia="Times New Roman" w:hAnsi="Times New Roman" w:cs="Times New Roman"/>
          <w:sz w:val="24"/>
          <w:szCs w:val="24"/>
        </w:rPr>
        <w:t xml:space="preserve"> </w:t>
      </w:r>
      <w:r w:rsidR="00963CA8">
        <w:rPr>
          <w:rFonts w:ascii="Times New Roman" w:eastAsia="Times New Roman" w:hAnsi="Times New Roman" w:cs="Times New Roman"/>
          <w:sz w:val="24"/>
          <w:szCs w:val="24"/>
        </w:rPr>
        <w:t>to the board</w:t>
      </w:r>
      <w:r w:rsidRPr="00A9015F">
        <w:rPr>
          <w:rFonts w:ascii="Times New Roman" w:eastAsia="Times New Roman" w:hAnsi="Times New Roman" w:cs="Times New Roman"/>
          <w:sz w:val="24"/>
          <w:szCs w:val="24"/>
        </w:rPr>
        <w:t xml:space="preserve">(Adams and Ferreira, 2009; However et al.,  2012; Sexton and  Bowman, 1990). Furthermore, gender diversity also significantly affects trust (Chattopadhyay, George, and Shulman, 2008). Liu (2018) studies the association between </w:t>
      </w:r>
      <w:r w:rsidR="00FD5B7D">
        <w:rPr>
          <w:rFonts w:ascii="Times New Roman" w:eastAsia="Times New Roman" w:hAnsi="Times New Roman" w:cs="Times New Roman"/>
          <w:sz w:val="24"/>
          <w:szCs w:val="24"/>
        </w:rPr>
        <w:t xml:space="preserve">gender-diverse boards </w:t>
      </w:r>
      <w:r w:rsidRPr="00A9015F">
        <w:rPr>
          <w:rFonts w:ascii="Times New Roman" w:eastAsia="Times New Roman" w:hAnsi="Times New Roman" w:cs="Times New Roman"/>
          <w:sz w:val="24"/>
          <w:szCs w:val="24"/>
        </w:rPr>
        <w:t>and corporate environmental violation by validating the ethical aspect</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which results in gender</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diverse boards incurring fewer sanctions. Arnaboldi et al. (2021) explore the share market reaction towards economic violations using an event study. The result of their </w:t>
      </w:r>
      <w:r w:rsidR="00FD5B7D">
        <w:rPr>
          <w:rFonts w:ascii="Times New Roman" w:eastAsia="Times New Roman" w:hAnsi="Times New Roman" w:cs="Times New Roman"/>
          <w:sz w:val="24"/>
          <w:szCs w:val="24"/>
        </w:rPr>
        <w:t>research</w:t>
      </w:r>
      <w:r w:rsidRPr="00A9015F">
        <w:rPr>
          <w:rFonts w:ascii="Times New Roman" w:eastAsia="Times New Roman" w:hAnsi="Times New Roman" w:cs="Times New Roman"/>
          <w:sz w:val="24"/>
          <w:szCs w:val="24"/>
        </w:rPr>
        <w:t xml:space="preserve"> finds a sever</w:t>
      </w:r>
      <w:r w:rsidR="00FD5B7D">
        <w:rPr>
          <w:rFonts w:ascii="Times New Roman" w:eastAsia="Times New Roman" w:hAnsi="Times New Roman" w:cs="Times New Roman"/>
          <w:sz w:val="24"/>
          <w:szCs w:val="24"/>
        </w:rPr>
        <w:t>e</w:t>
      </w:r>
      <w:r w:rsidRPr="00A9015F">
        <w:rPr>
          <w:rFonts w:ascii="Times New Roman" w:eastAsia="Times New Roman" w:hAnsi="Times New Roman" w:cs="Times New Roman"/>
          <w:sz w:val="24"/>
          <w:szCs w:val="24"/>
        </w:rPr>
        <w:t xml:space="preserve"> stock market reaction towards economic violation. The results are consistent with the view that economic violations are exception</w:t>
      </w:r>
      <w:r w:rsidR="00FD5B7D">
        <w:rPr>
          <w:rFonts w:ascii="Times New Roman" w:eastAsia="Times New Roman" w:hAnsi="Times New Roman" w:cs="Times New Roman"/>
          <w:sz w:val="24"/>
          <w:szCs w:val="24"/>
        </w:rPr>
        <w:t>al</w:t>
      </w:r>
      <w:r w:rsidRPr="00A9015F">
        <w:rPr>
          <w:rFonts w:ascii="Times New Roman" w:eastAsia="Times New Roman" w:hAnsi="Times New Roman" w:cs="Times New Roman"/>
          <w:sz w:val="24"/>
          <w:szCs w:val="24"/>
        </w:rPr>
        <w:t xml:space="preserve"> events</w:t>
      </w:r>
      <w:r w:rsidR="00FD5B7D">
        <w:rPr>
          <w:rFonts w:ascii="Times New Roman" w:eastAsia="Times New Roman" w:hAnsi="Times New Roman" w:cs="Times New Roman"/>
          <w:sz w:val="24"/>
          <w:szCs w:val="24"/>
        </w:rPr>
        <w:t xml:space="preserve"> that attract more media attention and hold</w:t>
      </w:r>
      <w:r w:rsidRPr="00A9015F">
        <w:rPr>
          <w:rFonts w:ascii="Times New Roman" w:eastAsia="Times New Roman" w:hAnsi="Times New Roman" w:cs="Times New Roman"/>
          <w:sz w:val="24"/>
          <w:szCs w:val="24"/>
        </w:rPr>
        <w:t xml:space="preserve"> high reputational risk. However, the study further reveals that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presence of women on the board results in </w:t>
      </w:r>
      <w:r>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lower frequency of </w:t>
      </w:r>
      <w:r w:rsidR="00963CA8">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economic violation.</w:t>
      </w:r>
    </w:p>
    <w:p w14:paraId="5A07657F" w14:textId="4A695BA9" w:rsidR="00A9015F" w:rsidRPr="009E69CE" w:rsidRDefault="00FD5B7D" w:rsidP="00A9015F">
      <w:pPr>
        <w:spacing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Thus, based on gender differences as a result of ethical and risk-averse behaviour, as discussed above, </w:t>
      </w:r>
      <w:r w:rsidR="00A9015F" w:rsidRPr="00A9015F">
        <w:rPr>
          <w:rFonts w:ascii="Times New Roman" w:eastAsia="Times New Roman" w:hAnsi="Times New Roman" w:cs="Times New Roman"/>
          <w:sz w:val="24"/>
          <w:szCs w:val="24"/>
        </w:rPr>
        <w:t xml:space="preserve">we </w:t>
      </w:r>
      <w:r w:rsidRPr="00A9015F">
        <w:rPr>
          <w:rFonts w:ascii="Times New Roman" w:eastAsia="Times New Roman" w:hAnsi="Times New Roman" w:cs="Times New Roman"/>
          <w:sz w:val="24"/>
          <w:szCs w:val="24"/>
        </w:rPr>
        <w:t>hypothesise</w:t>
      </w:r>
      <w:r w:rsidR="00A9015F" w:rsidRPr="00A9015F">
        <w:rPr>
          <w:rFonts w:ascii="Times New Roman" w:eastAsia="Times New Roman" w:hAnsi="Times New Roman" w:cs="Times New Roman"/>
          <w:sz w:val="24"/>
          <w:szCs w:val="24"/>
        </w:rPr>
        <w:t xml:space="preserve"> that </w:t>
      </w:r>
      <w:r w:rsidR="00963CA8">
        <w:rPr>
          <w:rFonts w:ascii="Times New Roman" w:eastAsia="Times New Roman" w:hAnsi="Times New Roman" w:cs="Times New Roman"/>
          <w:b/>
          <w:bCs/>
          <w:i/>
          <w:iCs/>
          <w:sz w:val="24"/>
          <w:szCs w:val="24"/>
        </w:rPr>
        <w:t>gender heterogeneity among independent directors</w:t>
      </w:r>
      <w:r w:rsidR="00A9015F" w:rsidRPr="00963CA8">
        <w:rPr>
          <w:rFonts w:ascii="Times New Roman" w:eastAsia="Times New Roman" w:hAnsi="Times New Roman" w:cs="Times New Roman"/>
          <w:b/>
          <w:bCs/>
          <w:i/>
          <w:iCs/>
          <w:sz w:val="24"/>
          <w:szCs w:val="24"/>
        </w:rPr>
        <w:t xml:space="preserve"> reduces bank misconduct</w:t>
      </w:r>
      <w:r w:rsidR="00A9015F" w:rsidRPr="009E69CE">
        <w:rPr>
          <w:rFonts w:ascii="Times New Roman" w:eastAsia="Times New Roman" w:hAnsi="Times New Roman" w:cs="Times New Roman"/>
          <w:i/>
          <w:iCs/>
          <w:sz w:val="24"/>
          <w:szCs w:val="24"/>
        </w:rPr>
        <w:t>.</w:t>
      </w:r>
    </w:p>
    <w:p w14:paraId="68CDA794" w14:textId="4020BFA6" w:rsidR="00A9015F" w:rsidRPr="00963CA8" w:rsidRDefault="00963CA8" w:rsidP="00963CA8">
      <w:pPr>
        <w:pStyle w:val="Heading3"/>
        <w:rPr>
          <w:rFonts w:ascii="Times New Roman" w:hAnsi="Times New Roman" w:cs="Times New Roman"/>
          <w:b/>
          <w:bCs/>
        </w:rPr>
      </w:pPr>
      <w:bookmarkStart w:id="145" w:name="_Toc145616216"/>
      <w:r w:rsidRPr="00963CA8">
        <w:rPr>
          <w:rFonts w:ascii="Times New Roman" w:hAnsi="Times New Roman" w:cs="Times New Roman"/>
          <w:b/>
          <w:bCs/>
          <w:color w:val="000000" w:themeColor="text1"/>
        </w:rPr>
        <w:t>5</w:t>
      </w:r>
      <w:r w:rsidR="00A9015F" w:rsidRPr="00963CA8">
        <w:rPr>
          <w:rFonts w:ascii="Times New Roman" w:hAnsi="Times New Roman" w:cs="Times New Roman"/>
          <w:b/>
          <w:bCs/>
          <w:color w:val="000000" w:themeColor="text1"/>
        </w:rPr>
        <w:t>.</w:t>
      </w:r>
      <w:r w:rsidRPr="00963CA8">
        <w:rPr>
          <w:rFonts w:ascii="Times New Roman" w:hAnsi="Times New Roman" w:cs="Times New Roman"/>
          <w:b/>
          <w:bCs/>
          <w:color w:val="000000" w:themeColor="text1"/>
        </w:rPr>
        <w:t>3</w:t>
      </w:r>
      <w:r w:rsidR="00A9015F" w:rsidRPr="00963CA8">
        <w:rPr>
          <w:rFonts w:ascii="Times New Roman" w:hAnsi="Times New Roman" w:cs="Times New Roman"/>
          <w:b/>
          <w:bCs/>
          <w:color w:val="000000" w:themeColor="text1"/>
        </w:rPr>
        <w:t>.2 Financial Expertise and Bank Misconduct</w:t>
      </w:r>
      <w:bookmarkEnd w:id="145"/>
    </w:p>
    <w:p w14:paraId="178C5818" w14:textId="77777777" w:rsidR="00963CA8" w:rsidRPr="00A9015F" w:rsidRDefault="00963CA8" w:rsidP="009E69CE">
      <w:pPr>
        <w:rPr>
          <w:rFonts w:ascii="Times New Roman" w:eastAsia="Times New Roman" w:hAnsi="Times New Roman" w:cs="Times New Roman"/>
          <w:b/>
          <w:bCs/>
          <w:sz w:val="24"/>
          <w:szCs w:val="24"/>
        </w:rPr>
      </w:pPr>
    </w:p>
    <w:p w14:paraId="34A2CEEE" w14:textId="5A84A913" w:rsidR="00A9015F" w:rsidRPr="00963CA8" w:rsidRDefault="00A9015F" w:rsidP="00A9015F">
      <w:pPr>
        <w:spacing w:line="480" w:lineRule="auto"/>
        <w:jc w:val="both"/>
        <w:rPr>
          <w:rFonts w:ascii="Times New Roman" w:eastAsia="Times New Roman" w:hAnsi="Times New Roman" w:cs="Times New Roman"/>
          <w:b/>
          <w:bCs/>
          <w:i/>
          <w:iCs/>
          <w:sz w:val="24"/>
          <w:szCs w:val="24"/>
        </w:rPr>
      </w:pPr>
      <w:r w:rsidRPr="00A9015F">
        <w:rPr>
          <w:rFonts w:ascii="Times New Roman" w:eastAsia="Times New Roman" w:hAnsi="Times New Roman" w:cs="Times New Roman"/>
          <w:sz w:val="24"/>
          <w:szCs w:val="24"/>
        </w:rPr>
        <w:t>For boards to be effective in monitoring, the financial expertise of the directors is essential (Hamrick et al., 2015). Financial understanding enables directors to identify and understand financial matters and provide solutions according to their expertise (Gorshunov et al., 2021; Carpenter and Westphal, 2001). The importance of financial expertise is also stressed in Sarbanes-Oxley Act 2002, which states that relevant experience enables directors to understand and identify issues in financial statements (Dhaliwal et al., 2010</w:t>
      </w:r>
      <w:r w:rsidRPr="00A9015F">
        <w:rPr>
          <w:rFonts w:ascii="Times New Roman" w:eastAsia="Times New Roman" w:hAnsi="Times New Roman" w:cs="Times New Roman"/>
          <w:b/>
          <w:bCs/>
          <w:sz w:val="24"/>
          <w:szCs w:val="24"/>
        </w:rPr>
        <w:t xml:space="preserve">). </w:t>
      </w:r>
      <w:r w:rsidRPr="00A9015F">
        <w:rPr>
          <w:rFonts w:ascii="Times New Roman" w:eastAsia="Times New Roman" w:hAnsi="Times New Roman" w:cs="Times New Roman"/>
          <w:sz w:val="24"/>
          <w:szCs w:val="24"/>
        </w:rPr>
        <w:t xml:space="preserve">Several views are expressed in the literature to explain why financial expertise may improve the monitoring effectiveness of the directors. For example, Harris and Raviv (2008) suggest that financial experts lower the costs of acquiring information about the complexity and associated risks of certain financial transactions and, hence, can efficiently monitor senior management. Gore et al. (2011) also suggest that effective monitoring requires specialized knowledge to evaluate managerial decisions. Without adequate financial training and experience, even motivated directors cannot determine whether the firm's policies are appropriate. Prior literature finds the oversight role of financial experts on the board to reduce financial statement misconduct (Abbott et al., 2004; Agrawal and Chadha, 2005); earnings management practices (Lo et al., 2010) and better detection of financial frauds (Gorshunov et al., 2021). The financial expertise of the directors also acts as a mechanism to reduce agency costs. According to agency theory, appointing financial experts allows the principal to observe the agent's actions better, thereby preventing the agent from lowering the firm's value (Gomez-Mejia &amp; Wiseman, 1997; Tosi &amp; Gomez-Mejia, 1989). We anticipate that </w:t>
      </w:r>
      <w:r w:rsidRPr="00963CA8">
        <w:rPr>
          <w:rFonts w:ascii="Times New Roman" w:eastAsia="Times New Roman" w:hAnsi="Times New Roman" w:cs="Times New Roman"/>
          <w:sz w:val="24"/>
          <w:szCs w:val="24"/>
        </w:rPr>
        <w:t>financial expertise enables independent directors to understand financial practices better and detect financially corrupt practices</w:t>
      </w:r>
      <w:r w:rsidRPr="009E69CE">
        <w:rPr>
          <w:rFonts w:ascii="Times New Roman" w:eastAsia="Times New Roman" w:hAnsi="Times New Roman" w:cs="Times New Roman"/>
          <w:i/>
          <w:iCs/>
          <w:sz w:val="24"/>
          <w:szCs w:val="24"/>
        </w:rPr>
        <w:t>.</w:t>
      </w:r>
      <w:r w:rsidR="00963CA8">
        <w:rPr>
          <w:rFonts w:ascii="Times New Roman" w:eastAsia="Times New Roman" w:hAnsi="Times New Roman" w:cs="Times New Roman"/>
          <w:sz w:val="24"/>
          <w:szCs w:val="24"/>
        </w:rPr>
        <w:t xml:space="preserve"> Hence </w:t>
      </w:r>
      <w:r w:rsidR="00963CA8" w:rsidRPr="00963CA8">
        <w:rPr>
          <w:rFonts w:ascii="Times New Roman" w:eastAsia="Times New Roman" w:hAnsi="Times New Roman" w:cs="Times New Roman"/>
          <w:b/>
          <w:bCs/>
          <w:i/>
          <w:iCs/>
          <w:sz w:val="24"/>
          <w:szCs w:val="24"/>
        </w:rPr>
        <w:t xml:space="preserve">heterogeneity in the financial experience of independent </w:t>
      </w:r>
      <w:r w:rsidR="00AB2780" w:rsidRPr="00963CA8">
        <w:rPr>
          <w:rFonts w:ascii="Times New Roman" w:eastAsia="Times New Roman" w:hAnsi="Times New Roman" w:cs="Times New Roman"/>
          <w:b/>
          <w:bCs/>
          <w:i/>
          <w:iCs/>
          <w:sz w:val="24"/>
          <w:szCs w:val="24"/>
        </w:rPr>
        <w:t>directors’</w:t>
      </w:r>
      <w:r w:rsidR="00963CA8" w:rsidRPr="00963CA8">
        <w:rPr>
          <w:rFonts w:ascii="Times New Roman" w:eastAsia="Times New Roman" w:hAnsi="Times New Roman" w:cs="Times New Roman"/>
          <w:b/>
          <w:bCs/>
          <w:i/>
          <w:iCs/>
          <w:sz w:val="24"/>
          <w:szCs w:val="24"/>
        </w:rPr>
        <w:t xml:space="preserve"> results in lower bank misconduct</w:t>
      </w:r>
    </w:p>
    <w:p w14:paraId="64E94518" w14:textId="347A22F9" w:rsidR="00A9015F" w:rsidRDefault="00963CA8" w:rsidP="00963CA8">
      <w:pPr>
        <w:pStyle w:val="Heading3"/>
        <w:rPr>
          <w:rFonts w:ascii="Times New Roman" w:hAnsi="Times New Roman" w:cs="Times New Roman"/>
          <w:b/>
          <w:bCs/>
          <w:color w:val="000000" w:themeColor="text1"/>
        </w:rPr>
      </w:pPr>
      <w:bookmarkStart w:id="146" w:name="_Toc145616217"/>
      <w:r w:rsidRPr="00963CA8">
        <w:rPr>
          <w:rFonts w:ascii="Times New Roman" w:hAnsi="Times New Roman" w:cs="Times New Roman"/>
          <w:b/>
          <w:bCs/>
          <w:color w:val="000000" w:themeColor="text1"/>
        </w:rPr>
        <w:t>5</w:t>
      </w:r>
      <w:r w:rsidR="00A9015F" w:rsidRPr="00963CA8">
        <w:rPr>
          <w:rFonts w:ascii="Times New Roman" w:hAnsi="Times New Roman" w:cs="Times New Roman"/>
          <w:b/>
          <w:bCs/>
          <w:color w:val="000000" w:themeColor="text1"/>
        </w:rPr>
        <w:t>.</w:t>
      </w:r>
      <w:r w:rsidRPr="00963CA8">
        <w:rPr>
          <w:rFonts w:ascii="Times New Roman" w:hAnsi="Times New Roman" w:cs="Times New Roman"/>
          <w:b/>
          <w:bCs/>
          <w:color w:val="000000" w:themeColor="text1"/>
        </w:rPr>
        <w:t>3</w:t>
      </w:r>
      <w:r w:rsidR="00A9015F" w:rsidRPr="00963CA8">
        <w:rPr>
          <w:rFonts w:ascii="Times New Roman" w:hAnsi="Times New Roman" w:cs="Times New Roman"/>
          <w:b/>
          <w:bCs/>
          <w:color w:val="000000" w:themeColor="text1"/>
        </w:rPr>
        <w:t>.3 Board Tenure and Bank Misconduct</w:t>
      </w:r>
      <w:bookmarkEnd w:id="146"/>
    </w:p>
    <w:p w14:paraId="14662D16" w14:textId="77777777" w:rsidR="00963CA8" w:rsidRPr="00963CA8" w:rsidRDefault="00963CA8" w:rsidP="00963CA8"/>
    <w:p w14:paraId="640C923E" w14:textId="5F6CA119"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Prior governance literature views board tenure as a measure of a director's quality (Zaman et al., 2021; Vafeas, 2003). However, the literature is divided on this view. Extensive research on board of director tenure contends that a more extended director's term is associated with more inclination towards the management and prevalence of the status quo (Zaman et al., 2021; Vafees, 2003; Stevens et al., 19781). Vafeas (2003) proposes a "management-friendly hypothesis," i.e.</w:t>
      </w:r>
      <w:r w:rsidR="00FD5B7D">
        <w:rPr>
          <w:rFonts w:ascii="Times New Roman" w:eastAsia="Times New Roman" w:hAnsi="Times New Roman" w:cs="Times New Roman"/>
          <w:sz w:val="24"/>
          <w:szCs w:val="24"/>
        </w:rPr>
        <w:t xml:space="preserve"> long, serving directors have loyalties towards the CEO, which can undermine board monitoring and its ability to protect shareholder interest</w:t>
      </w:r>
      <w:r w:rsidRPr="00A9015F">
        <w:rPr>
          <w:rFonts w:ascii="Times New Roman" w:eastAsia="Times New Roman" w:hAnsi="Times New Roman" w:cs="Times New Roman"/>
          <w:sz w:val="24"/>
          <w:szCs w:val="24"/>
        </w:rPr>
        <w:t>. Prior literature also raises concern regarding the role of the CEO in appointing the board of directors</w:t>
      </w:r>
      <w:r w:rsidR="00FD5B7D">
        <w:rPr>
          <w:rFonts w:ascii="Times New Roman" w:eastAsia="Times New Roman" w:hAnsi="Times New Roman" w:cs="Times New Roman"/>
          <w:sz w:val="24"/>
          <w:szCs w:val="24"/>
        </w:rPr>
        <w:t>, raising concern about</w:t>
      </w:r>
      <w:r w:rsidRPr="00A9015F">
        <w:rPr>
          <w:rFonts w:ascii="Times New Roman" w:eastAsia="Times New Roman" w:hAnsi="Times New Roman" w:cs="Times New Roman"/>
          <w:sz w:val="24"/>
          <w:szCs w:val="24"/>
        </w:rPr>
        <w:t xml:space="preserve"> the </w:t>
      </w:r>
      <w:r w:rsidR="00FD5B7D" w:rsidRPr="00A9015F">
        <w:rPr>
          <w:rFonts w:ascii="Times New Roman" w:eastAsia="Times New Roman" w:hAnsi="Times New Roman" w:cs="Times New Roman"/>
          <w:sz w:val="24"/>
          <w:szCs w:val="24"/>
        </w:rPr>
        <w:t>independence</w:t>
      </w:r>
      <w:r w:rsidRPr="00A9015F">
        <w:rPr>
          <w:rFonts w:ascii="Times New Roman" w:eastAsia="Times New Roman" w:hAnsi="Times New Roman" w:cs="Times New Roman"/>
          <w:sz w:val="24"/>
          <w:szCs w:val="24"/>
        </w:rPr>
        <w:t xml:space="preserve"> and </w:t>
      </w:r>
      <w:r w:rsidR="00FD5B7D" w:rsidRPr="00A9015F">
        <w:rPr>
          <w:rFonts w:ascii="Times New Roman" w:eastAsia="Times New Roman" w:hAnsi="Times New Roman" w:cs="Times New Roman"/>
          <w:sz w:val="24"/>
          <w:szCs w:val="24"/>
        </w:rPr>
        <w:t>effectiveness</w:t>
      </w:r>
      <w:r w:rsidRPr="00A9015F">
        <w:rPr>
          <w:rFonts w:ascii="Times New Roman" w:eastAsia="Times New Roman" w:hAnsi="Times New Roman" w:cs="Times New Roman"/>
          <w:sz w:val="24"/>
          <w:szCs w:val="24"/>
        </w:rPr>
        <w:t xml:space="preserve"> of such directors' decision-making (Nguyen et al., 2016; Baghdadi et al., 2020; Zaman et al., 2021). Anderson et al. (2004) find a positive relation between board tenure and corporate yield spreads, suggesting that managers can potentially influence or sway board opinion as director tenure increases.</w:t>
      </w:r>
    </w:p>
    <w:p w14:paraId="51533D46" w14:textId="2EDC711F" w:rsidR="00A9015F" w:rsidRPr="009E69CE" w:rsidRDefault="00A9015F" w:rsidP="00A9015F">
      <w:pPr>
        <w:spacing w:line="480" w:lineRule="auto"/>
        <w:jc w:val="both"/>
        <w:rPr>
          <w:rFonts w:ascii="Times New Roman" w:eastAsia="Times New Roman" w:hAnsi="Times New Roman" w:cs="Times New Roman"/>
          <w:i/>
          <w:iCs/>
          <w:sz w:val="24"/>
          <w:szCs w:val="24"/>
        </w:rPr>
      </w:pPr>
      <w:r w:rsidRPr="00A9015F">
        <w:rPr>
          <w:rFonts w:ascii="Times New Roman" w:eastAsia="Times New Roman" w:hAnsi="Times New Roman" w:cs="Times New Roman"/>
          <w:sz w:val="24"/>
          <w:szCs w:val="24"/>
        </w:rPr>
        <w:t xml:space="preserve">In contrast, </w:t>
      </w:r>
      <w:r w:rsidR="00FD5B7D">
        <w:rPr>
          <w:rFonts w:ascii="Times New Roman" w:eastAsia="Times New Roman" w:hAnsi="Times New Roman" w:cs="Times New Roman"/>
          <w:sz w:val="24"/>
          <w:szCs w:val="24"/>
        </w:rPr>
        <w:t>some studies argue that directors with longer tenure can overcome management pressure</w:t>
      </w:r>
      <w:r w:rsidRPr="00A9015F">
        <w:rPr>
          <w:rFonts w:ascii="Times New Roman" w:eastAsia="Times New Roman" w:hAnsi="Times New Roman" w:cs="Times New Roman"/>
          <w:sz w:val="24"/>
          <w:szCs w:val="24"/>
        </w:rPr>
        <w:t xml:space="preserve"> (Beasley, 1996) </w:t>
      </w:r>
      <w:r w:rsidR="00FD5B7D">
        <w:rPr>
          <w:rFonts w:ascii="Times New Roman" w:eastAsia="Times New Roman" w:hAnsi="Times New Roman" w:cs="Times New Roman"/>
          <w:sz w:val="24"/>
          <w:szCs w:val="24"/>
        </w:rPr>
        <w:t>by increasing their firm-specific knowledge. Hence, such directors can better protect</w:t>
      </w:r>
      <w:r w:rsidRPr="00A9015F">
        <w:rPr>
          <w:rFonts w:ascii="Times New Roman" w:eastAsia="Times New Roman" w:hAnsi="Times New Roman" w:cs="Times New Roman"/>
          <w:sz w:val="24"/>
          <w:szCs w:val="24"/>
        </w:rPr>
        <w:t xml:space="preserve"> stakeholders' interests (Li and Wahid, 2018). The argument finds its ground in the </w:t>
      </w:r>
      <w:r w:rsidR="00FD5B7D">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expertise hypothesis</w:t>
      </w:r>
      <w:r w:rsidR="00FD5B7D">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which suggests that </w:t>
      </w:r>
      <w:r w:rsidR="00FD5B7D">
        <w:rPr>
          <w:rFonts w:ascii="Times New Roman" w:eastAsia="Times New Roman" w:hAnsi="Times New Roman" w:cs="Times New Roman"/>
          <w:sz w:val="24"/>
          <w:szCs w:val="24"/>
        </w:rPr>
        <w:t>longer-tenured directors have sufficient knowledge about the firm and its business environment</w:t>
      </w:r>
      <w:r w:rsidR="00963CA8">
        <w:rPr>
          <w:rFonts w:ascii="Times New Roman" w:eastAsia="Times New Roman" w:hAnsi="Times New Roman" w:cs="Times New Roman"/>
          <w:sz w:val="24"/>
          <w:szCs w:val="24"/>
        </w:rPr>
        <w:t>,</w:t>
      </w:r>
      <w:r w:rsidR="00FD5B7D">
        <w:rPr>
          <w:rFonts w:ascii="Times New Roman" w:eastAsia="Times New Roman" w:hAnsi="Times New Roman" w:cs="Times New Roman"/>
          <w:sz w:val="24"/>
          <w:szCs w:val="24"/>
        </w:rPr>
        <w:t xml:space="preserve"> making such directors more committed and competent </w:t>
      </w:r>
      <w:r w:rsidRPr="00A9015F">
        <w:rPr>
          <w:rFonts w:ascii="Times New Roman" w:eastAsia="Times New Roman" w:hAnsi="Times New Roman" w:cs="Times New Roman"/>
          <w:sz w:val="24"/>
          <w:szCs w:val="24"/>
        </w:rPr>
        <w:t>(Kosnik, 1990). Another challenge in directors' tenure is linearity</w:t>
      </w:r>
      <w:r w:rsidR="00FD5B7D">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for example, Katz (1982) finds a non-linear relationship between a director's tenure and performance. The study reveals that the director's performance is high in the initial years because of the learning effect however declines after that. The business community has voiced concerns about directors who stay too long on corporate boards to the detriment of shareholders. Based on the prior literature, we follow the expertise hypothesis and suggest </w:t>
      </w:r>
      <w:r w:rsidRPr="00963CA8">
        <w:rPr>
          <w:rFonts w:ascii="Times New Roman" w:eastAsia="Times New Roman" w:hAnsi="Times New Roman" w:cs="Times New Roman"/>
          <w:b/>
          <w:bCs/>
          <w:i/>
          <w:iCs/>
          <w:sz w:val="24"/>
          <w:szCs w:val="24"/>
        </w:rPr>
        <w:t xml:space="preserve">that banks with </w:t>
      </w:r>
      <w:r w:rsidR="00FD5B7D" w:rsidRPr="00963CA8">
        <w:rPr>
          <w:rFonts w:ascii="Times New Roman" w:eastAsia="Times New Roman" w:hAnsi="Times New Roman" w:cs="Times New Roman"/>
          <w:b/>
          <w:bCs/>
          <w:i/>
          <w:iCs/>
          <w:sz w:val="24"/>
          <w:szCs w:val="24"/>
        </w:rPr>
        <w:t xml:space="preserve">more </w:t>
      </w:r>
      <w:r w:rsidRPr="00963CA8">
        <w:rPr>
          <w:rFonts w:ascii="Times New Roman" w:eastAsia="Times New Roman" w:hAnsi="Times New Roman" w:cs="Times New Roman"/>
          <w:b/>
          <w:bCs/>
          <w:i/>
          <w:iCs/>
          <w:sz w:val="24"/>
          <w:szCs w:val="24"/>
        </w:rPr>
        <w:t xml:space="preserve">heterogeneity in their INEDs' tenure have fewer </w:t>
      </w:r>
      <w:r w:rsidR="00FD5B7D" w:rsidRPr="00963CA8">
        <w:rPr>
          <w:rFonts w:ascii="Times New Roman" w:eastAsia="Times New Roman" w:hAnsi="Times New Roman" w:cs="Times New Roman"/>
          <w:b/>
          <w:bCs/>
          <w:i/>
          <w:iCs/>
          <w:sz w:val="24"/>
          <w:szCs w:val="24"/>
        </w:rPr>
        <w:t>bank misconduct.</w:t>
      </w:r>
    </w:p>
    <w:p w14:paraId="26D5FBB3" w14:textId="4091C018" w:rsidR="00FD5B7D" w:rsidRDefault="00A9015F" w:rsidP="00A9015F">
      <w:pPr>
        <w:spacing w:line="480" w:lineRule="auto"/>
        <w:jc w:val="both"/>
        <w:rPr>
          <w:rFonts w:ascii="Times New Roman" w:eastAsia="Times New Roman" w:hAnsi="Times New Roman" w:cs="Times New Roman"/>
          <w:i/>
          <w:iCs/>
          <w:sz w:val="24"/>
          <w:szCs w:val="24"/>
        </w:rPr>
      </w:pPr>
      <w:r w:rsidRPr="00A9015F">
        <w:rPr>
          <w:rFonts w:ascii="Times New Roman" w:eastAsia="Times New Roman" w:hAnsi="Times New Roman" w:cs="Times New Roman"/>
          <w:sz w:val="24"/>
          <w:szCs w:val="24"/>
        </w:rPr>
        <w:t xml:space="preserve">As explained above, the ability of the independent director to provide adequate monitoring is conditional on the three attributes described above. We believe that these three attributes collectively improve the chances that independent directors will effectively monitor in reducing bank misconduct. We base our expectations on upper-echelon and gender socialization theory and are convinced that heterogeneity affects individuals' cognitive ability and decision-making (Tuggle et al., 2010). When such individuals work in a group, their knowledge, ability to process information, and previous experience influence the whole group's decision (Akram et al., 2020). Thus, we posited that </w:t>
      </w:r>
      <w:r w:rsidRPr="00963CA8">
        <w:rPr>
          <w:rFonts w:ascii="Times New Roman" w:eastAsia="Times New Roman" w:hAnsi="Times New Roman" w:cs="Times New Roman"/>
          <w:b/>
          <w:bCs/>
          <w:i/>
          <w:iCs/>
          <w:sz w:val="24"/>
          <w:szCs w:val="24"/>
        </w:rPr>
        <w:t>heterogeneity in independent directors' attributes reduces bank misconduct</w:t>
      </w:r>
      <w:r w:rsidRPr="009E69CE">
        <w:rPr>
          <w:rFonts w:ascii="Times New Roman" w:eastAsia="Times New Roman" w:hAnsi="Times New Roman" w:cs="Times New Roman"/>
          <w:i/>
          <w:iCs/>
          <w:sz w:val="24"/>
          <w:szCs w:val="24"/>
        </w:rPr>
        <w:t xml:space="preserve">. </w:t>
      </w:r>
    </w:p>
    <w:p w14:paraId="32833B7A" w14:textId="77777777" w:rsidR="00FD5B7D" w:rsidRDefault="00FD5B7D">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66720E0C" w14:textId="77777777" w:rsidR="00A9015F" w:rsidRPr="009E69CE" w:rsidRDefault="00A9015F" w:rsidP="00A9015F">
      <w:pPr>
        <w:spacing w:line="480" w:lineRule="auto"/>
        <w:jc w:val="both"/>
        <w:rPr>
          <w:rFonts w:ascii="Times New Roman" w:eastAsia="Times New Roman" w:hAnsi="Times New Roman" w:cs="Times New Roman"/>
          <w:i/>
          <w:iCs/>
          <w:sz w:val="24"/>
          <w:szCs w:val="24"/>
        </w:rPr>
      </w:pPr>
    </w:p>
    <w:p w14:paraId="7A25C755" w14:textId="0350941F" w:rsidR="00A9015F" w:rsidRDefault="00963CA8" w:rsidP="00963CA8">
      <w:pPr>
        <w:pStyle w:val="Heading2"/>
      </w:pPr>
      <w:bookmarkStart w:id="147" w:name="_Toc145616218"/>
      <w:r w:rsidRPr="00963CA8">
        <w:t>5.4</w:t>
      </w:r>
      <w:r w:rsidR="00A9015F" w:rsidRPr="00963CA8">
        <w:t>. Research Design</w:t>
      </w:r>
      <w:bookmarkEnd w:id="147"/>
    </w:p>
    <w:p w14:paraId="7B789A28" w14:textId="77777777" w:rsidR="00963CA8" w:rsidRPr="00963CA8" w:rsidRDefault="00963CA8" w:rsidP="00963CA8"/>
    <w:p w14:paraId="165D08C2" w14:textId="7E8C5E60" w:rsidR="00A9015F" w:rsidRDefault="00963CA8" w:rsidP="003C31AF">
      <w:pPr>
        <w:pStyle w:val="Heading3"/>
        <w:rPr>
          <w:rFonts w:ascii="Times New Roman" w:hAnsi="Times New Roman" w:cs="Times New Roman"/>
          <w:b/>
          <w:bCs/>
          <w:color w:val="000000" w:themeColor="text1"/>
        </w:rPr>
      </w:pPr>
      <w:bookmarkStart w:id="148" w:name="_Toc145616219"/>
      <w:r w:rsidRPr="003C31AF">
        <w:rPr>
          <w:rFonts w:ascii="Times New Roman" w:hAnsi="Times New Roman" w:cs="Times New Roman"/>
          <w:b/>
          <w:bCs/>
          <w:color w:val="000000" w:themeColor="text1"/>
        </w:rPr>
        <w:t>5</w:t>
      </w:r>
      <w:r w:rsidR="00A9015F" w:rsidRPr="003C31AF">
        <w:rPr>
          <w:rFonts w:ascii="Times New Roman" w:hAnsi="Times New Roman" w:cs="Times New Roman"/>
          <w:b/>
          <w:bCs/>
          <w:color w:val="000000" w:themeColor="text1"/>
        </w:rPr>
        <w:t>.</w:t>
      </w:r>
      <w:r w:rsidRPr="003C31AF">
        <w:rPr>
          <w:rFonts w:ascii="Times New Roman" w:hAnsi="Times New Roman" w:cs="Times New Roman"/>
          <w:b/>
          <w:bCs/>
          <w:color w:val="000000" w:themeColor="text1"/>
        </w:rPr>
        <w:t>4</w:t>
      </w:r>
      <w:r w:rsidR="00A9015F" w:rsidRPr="003C31AF">
        <w:rPr>
          <w:rFonts w:ascii="Times New Roman" w:hAnsi="Times New Roman" w:cs="Times New Roman"/>
          <w:b/>
          <w:bCs/>
          <w:color w:val="000000" w:themeColor="text1"/>
        </w:rPr>
        <w:t>.1 Data and sample selection</w:t>
      </w:r>
      <w:bookmarkEnd w:id="148"/>
    </w:p>
    <w:p w14:paraId="2F6966BD" w14:textId="77777777" w:rsidR="003C31AF" w:rsidRPr="003C31AF" w:rsidRDefault="003C31AF" w:rsidP="003C31AF"/>
    <w:p w14:paraId="0A25BE24" w14:textId="438416FA" w:rsidR="00A9015F" w:rsidRPr="00A9015F" w:rsidRDefault="00FD5B7D" w:rsidP="00A9015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start by collecting data on bank misconduct to observe the relationship between board independence and</w:t>
      </w:r>
      <w:r w:rsidR="00A9015F" w:rsidRPr="00A9015F">
        <w:rPr>
          <w:rFonts w:ascii="Times New Roman" w:eastAsia="Times New Roman" w:hAnsi="Times New Roman" w:cs="Times New Roman"/>
          <w:sz w:val="24"/>
          <w:szCs w:val="24"/>
        </w:rPr>
        <w:t xml:space="preserve"> bank misconduct. We follow Zaman et al. (2021) and Arnaboldi et al. (2021) and </w:t>
      </w:r>
      <w:r w:rsidRPr="00A9015F">
        <w:rPr>
          <w:rFonts w:ascii="Times New Roman" w:eastAsia="Times New Roman" w:hAnsi="Times New Roman" w:cs="Times New Roman"/>
          <w:sz w:val="24"/>
          <w:szCs w:val="24"/>
        </w:rPr>
        <w:t>gather</w:t>
      </w:r>
      <w:r w:rsidR="00A9015F" w:rsidRPr="00A9015F">
        <w:rPr>
          <w:rFonts w:ascii="Times New Roman" w:eastAsia="Times New Roman" w:hAnsi="Times New Roman" w:cs="Times New Roman"/>
          <w:sz w:val="24"/>
          <w:szCs w:val="24"/>
        </w:rPr>
        <w:t xml:space="preserve"> data on </w:t>
      </w:r>
      <w:r w:rsidRPr="00A9015F">
        <w:rPr>
          <w:rFonts w:ascii="Times New Roman" w:eastAsia="Times New Roman" w:hAnsi="Times New Roman" w:cs="Times New Roman"/>
          <w:sz w:val="24"/>
          <w:szCs w:val="24"/>
        </w:rPr>
        <w:t>penalties</w:t>
      </w:r>
      <w:r w:rsidR="00A9015F" w:rsidRPr="00A9015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enforced</w:t>
      </w:r>
      <w:r w:rsidR="00A9015F" w:rsidRPr="00A9015F">
        <w:rPr>
          <w:rFonts w:ascii="Times New Roman" w:eastAsia="Times New Roman" w:hAnsi="Times New Roman" w:cs="Times New Roman"/>
          <w:sz w:val="24"/>
          <w:szCs w:val="24"/>
        </w:rPr>
        <w:t xml:space="preserve"> on U.S. banks by U.S. regulator</w:t>
      </w:r>
      <w:r>
        <w:rPr>
          <w:rFonts w:ascii="Times New Roman" w:eastAsia="Times New Roman" w:hAnsi="Times New Roman" w:cs="Times New Roman"/>
          <w:sz w:val="24"/>
          <w:szCs w:val="24"/>
        </w:rPr>
        <w:t xml:space="preserve">s during </w:t>
      </w:r>
      <w:r w:rsidR="00A9015F" w:rsidRPr="00A9015F">
        <w:rPr>
          <w:rFonts w:ascii="Times New Roman" w:eastAsia="Times New Roman" w:hAnsi="Times New Roman" w:cs="Times New Roman"/>
          <w:sz w:val="24"/>
          <w:szCs w:val="24"/>
        </w:rPr>
        <w:t>2004–2020 using Violation Tracker</w:t>
      </w:r>
      <w:r w:rsidR="00A9015F" w:rsidRPr="00A9015F">
        <w:rPr>
          <w:rFonts w:ascii="Times New Roman" w:eastAsia="Times New Roman" w:hAnsi="Times New Roman" w:cs="Times New Roman"/>
          <w:sz w:val="24"/>
          <w:szCs w:val="24"/>
          <w:vertAlign w:val="superscript"/>
        </w:rPr>
        <w:footnoteReference w:id="13"/>
      </w:r>
      <w:r w:rsidR="00A9015F" w:rsidRPr="00A901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compile a list of penalties along with relevant regulatory bodies following Arnaboldi et al.(2021). The list is reported in Appendix A</w:t>
      </w:r>
      <w:bookmarkStart w:id="149" w:name="_Hlk127110475"/>
      <w:r>
        <w:rPr>
          <w:rFonts w:ascii="Times New Roman" w:eastAsia="Times New Roman" w:hAnsi="Times New Roman" w:cs="Times New Roman"/>
          <w:sz w:val="24"/>
          <w:szCs w:val="24"/>
        </w:rPr>
        <w:t xml:space="preserve">. We categorize penalties as </w:t>
      </w:r>
      <w:r w:rsidR="00A9015F" w:rsidRPr="00A9015F">
        <w:rPr>
          <w:rFonts w:ascii="Times New Roman" w:eastAsia="Times New Roman" w:hAnsi="Times New Roman" w:cs="Times New Roman"/>
          <w:sz w:val="24"/>
          <w:szCs w:val="24"/>
        </w:rPr>
        <w:t>charges for banking violations, money laundering, economic sanction violations, market manipulations, investor and consumer protection violations, tax violations, accounting and data submission deficiencies, and employment discrimination.</w:t>
      </w:r>
      <w:bookmarkEnd w:id="149"/>
      <w:r w:rsidR="00A9015F" w:rsidRPr="00A9015F">
        <w:rPr>
          <w:rFonts w:ascii="Times New Roman" w:eastAsia="Times New Roman" w:hAnsi="Times New Roman" w:cs="Times New Roman"/>
          <w:sz w:val="24"/>
          <w:szCs w:val="24"/>
        </w:rPr>
        <w:t xml:space="preserve"> </w:t>
      </w:r>
      <w:r w:rsidR="00EE023E">
        <w:rPr>
          <w:rFonts w:ascii="Times New Roman" w:eastAsia="Times New Roman" w:hAnsi="Times New Roman" w:cs="Times New Roman"/>
          <w:sz w:val="24"/>
          <w:szCs w:val="24"/>
        </w:rPr>
        <w:t xml:space="preserve">We gather information for sanctions for </w:t>
      </w:r>
      <w:r w:rsidR="00A9015F" w:rsidRPr="00A9015F">
        <w:rPr>
          <w:rFonts w:ascii="Times New Roman" w:eastAsia="Times New Roman" w:hAnsi="Times New Roman" w:cs="Times New Roman"/>
          <w:sz w:val="24"/>
          <w:szCs w:val="24"/>
        </w:rPr>
        <w:t>73 U.S. banks in the Violation Tracker.</w:t>
      </w:r>
    </w:p>
    <w:p w14:paraId="64FC1F60" w14:textId="6A3BF234"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then collect governance data (e.g., board independence,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board size, percentage of independent female on board, independent director’s tenure, financial expertise, CEO tenure) for 73 banks from Boardex. Next, we collect </w:t>
      </w:r>
      <w:r w:rsidR="00EE023E">
        <w:rPr>
          <w:rFonts w:ascii="Times New Roman" w:eastAsia="Times New Roman" w:hAnsi="Times New Roman" w:cs="Times New Roman"/>
          <w:sz w:val="24"/>
          <w:szCs w:val="24"/>
        </w:rPr>
        <w:t xml:space="preserve">the bank’s balance sheet and income statement data </w:t>
      </w:r>
      <w:r w:rsidRPr="00A9015F">
        <w:rPr>
          <w:rFonts w:ascii="Times New Roman" w:eastAsia="Times New Roman" w:hAnsi="Times New Roman" w:cs="Times New Roman"/>
          <w:sz w:val="24"/>
          <w:szCs w:val="24"/>
        </w:rPr>
        <w:t>from Compustat</w:t>
      </w:r>
      <w:r w:rsidR="00EE023E">
        <w:rPr>
          <w:rFonts w:ascii="Times New Roman" w:eastAsia="Times New Roman" w:hAnsi="Times New Roman" w:cs="Times New Roman"/>
          <w:sz w:val="24"/>
          <w:szCs w:val="24"/>
        </w:rPr>
        <w:t>, whereas</w:t>
      </w:r>
      <w:r w:rsidRPr="00A9015F">
        <w:rPr>
          <w:rFonts w:ascii="Times New Roman" w:eastAsia="Times New Roman" w:hAnsi="Times New Roman" w:cs="Times New Roman"/>
          <w:sz w:val="24"/>
          <w:szCs w:val="24"/>
        </w:rPr>
        <w:t xml:space="preserve"> </w:t>
      </w:r>
      <w:r w:rsidR="00EE023E">
        <w:rPr>
          <w:rFonts w:ascii="Times New Roman" w:eastAsia="Times New Roman" w:hAnsi="Times New Roman" w:cs="Times New Roman"/>
          <w:sz w:val="24"/>
          <w:szCs w:val="24"/>
        </w:rPr>
        <w:t xml:space="preserve">for </w:t>
      </w:r>
      <w:r w:rsidRPr="00A9015F">
        <w:rPr>
          <w:rFonts w:ascii="Times New Roman" w:eastAsia="Times New Roman" w:hAnsi="Times New Roman" w:cs="Times New Roman"/>
          <w:sz w:val="24"/>
          <w:szCs w:val="24"/>
        </w:rPr>
        <w:t>stock market data</w:t>
      </w:r>
      <w:r w:rsidR="00EE023E">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t>
      </w:r>
      <w:r w:rsidR="00EE023E">
        <w:rPr>
          <w:rFonts w:ascii="Times New Roman" w:eastAsia="Times New Roman" w:hAnsi="Times New Roman" w:cs="Times New Roman"/>
          <w:sz w:val="24"/>
          <w:szCs w:val="24"/>
        </w:rPr>
        <w:t>we use</w:t>
      </w:r>
      <w:r w:rsidRPr="00A9015F">
        <w:rPr>
          <w:rFonts w:ascii="Times New Roman" w:eastAsia="Times New Roman" w:hAnsi="Times New Roman" w:cs="Times New Roman"/>
          <w:sz w:val="24"/>
          <w:szCs w:val="24"/>
        </w:rPr>
        <w:t xml:space="preserve"> Thomson Eikon. </w:t>
      </w:r>
      <w:r w:rsidR="00EE023E">
        <w:rPr>
          <w:rFonts w:ascii="Times New Roman" w:eastAsia="Times New Roman" w:hAnsi="Times New Roman" w:cs="Times New Roman"/>
          <w:sz w:val="24"/>
          <w:szCs w:val="24"/>
        </w:rPr>
        <w:t xml:space="preserve">We further refine our sample by removing banks with missing total asset data and having less than three observations for total assets </w:t>
      </w:r>
      <w:r w:rsidRPr="00A9015F">
        <w:rPr>
          <w:rFonts w:ascii="Times New Roman" w:eastAsia="Times New Roman" w:hAnsi="Times New Roman" w:cs="Times New Roman"/>
          <w:sz w:val="24"/>
          <w:szCs w:val="24"/>
        </w:rPr>
        <w:t>over the sample period (Mollah et al., 2021). We obtain</w:t>
      </w:r>
      <w:r w:rsidR="00EE023E">
        <w:rPr>
          <w:rFonts w:ascii="Times New Roman" w:eastAsia="Times New Roman" w:hAnsi="Times New Roman" w:cs="Times New Roman"/>
          <w:sz w:val="24"/>
          <w:szCs w:val="24"/>
        </w:rPr>
        <w:t>ed</w:t>
      </w:r>
      <w:r w:rsidRPr="00A9015F">
        <w:rPr>
          <w:rFonts w:ascii="Times New Roman" w:eastAsia="Times New Roman" w:hAnsi="Times New Roman" w:cs="Times New Roman"/>
          <w:sz w:val="24"/>
          <w:szCs w:val="24"/>
        </w:rPr>
        <w:t xml:space="preserve"> a final sample of 69 publicly listed banks headquartered in the U.S</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with reported misconduct in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Violation Tracker database. Our sample size is consistent with recent studies (Arnaboldi et al., 2021, 2018) investigating misconduct </w:t>
      </w:r>
      <w:r>
        <w:rPr>
          <w:rFonts w:ascii="Times New Roman" w:eastAsia="Times New Roman" w:hAnsi="Times New Roman" w:cs="Times New Roman"/>
          <w:sz w:val="24"/>
          <w:szCs w:val="24"/>
        </w:rPr>
        <w:t>i</w:t>
      </w:r>
      <w:r w:rsidRPr="00A9015F">
        <w:rPr>
          <w:rFonts w:ascii="Times New Roman" w:eastAsia="Times New Roman" w:hAnsi="Times New Roman" w:cs="Times New Roman"/>
          <w:sz w:val="24"/>
          <w:szCs w:val="24"/>
        </w:rPr>
        <w:t>n European bank</w:t>
      </w:r>
      <w:r w:rsidR="00EE023E">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using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Violation Tracker database. </w:t>
      </w:r>
    </w:p>
    <w:p w14:paraId="374C9DD6" w14:textId="77777777"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All variables used in the study are winsorized at 5% to minimize the effect of extreme values and eliminate any data coding errors.</w:t>
      </w:r>
    </w:p>
    <w:p w14:paraId="114FED2B" w14:textId="2DA5FA97" w:rsidR="00A9015F" w:rsidRDefault="00963CA8" w:rsidP="00963CA8">
      <w:pPr>
        <w:pStyle w:val="Heading3"/>
        <w:rPr>
          <w:rFonts w:ascii="Times New Roman" w:hAnsi="Times New Roman" w:cs="Times New Roman"/>
          <w:b/>
          <w:bCs/>
          <w:color w:val="000000" w:themeColor="text1"/>
        </w:rPr>
      </w:pPr>
      <w:bookmarkStart w:id="150" w:name="_Toc145616220"/>
      <w:r w:rsidRPr="00963CA8">
        <w:rPr>
          <w:rFonts w:ascii="Times New Roman" w:hAnsi="Times New Roman" w:cs="Times New Roman"/>
          <w:b/>
          <w:bCs/>
          <w:color w:val="000000" w:themeColor="text1"/>
        </w:rPr>
        <w:t>5</w:t>
      </w:r>
      <w:r w:rsidR="00A9015F" w:rsidRPr="00963CA8">
        <w:rPr>
          <w:rFonts w:ascii="Times New Roman" w:hAnsi="Times New Roman" w:cs="Times New Roman"/>
          <w:b/>
          <w:bCs/>
          <w:color w:val="000000" w:themeColor="text1"/>
        </w:rPr>
        <w:t>.</w:t>
      </w:r>
      <w:r w:rsidRPr="00963CA8">
        <w:rPr>
          <w:rFonts w:ascii="Times New Roman" w:hAnsi="Times New Roman" w:cs="Times New Roman"/>
          <w:b/>
          <w:bCs/>
          <w:color w:val="000000" w:themeColor="text1"/>
        </w:rPr>
        <w:t>4</w:t>
      </w:r>
      <w:r w:rsidR="00A9015F" w:rsidRPr="00963CA8">
        <w:rPr>
          <w:rFonts w:ascii="Times New Roman" w:hAnsi="Times New Roman" w:cs="Times New Roman"/>
          <w:b/>
          <w:bCs/>
          <w:color w:val="000000" w:themeColor="text1"/>
        </w:rPr>
        <w:t>.2 Methodology</w:t>
      </w:r>
      <w:bookmarkEnd w:id="150"/>
    </w:p>
    <w:p w14:paraId="0CB63093" w14:textId="77777777" w:rsidR="00963CA8" w:rsidRPr="00963CA8" w:rsidRDefault="00963CA8" w:rsidP="00963CA8"/>
    <w:p w14:paraId="424A369B" w14:textId="44722602" w:rsid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To determine whether heterogeneity in independent directors' attributes impacts bank misconduct, we identify heterogeneity in independent directors as gender, financial expertise, and board tenure. We follow Mollah et al. (2021) and Ben-Amar et al. (2017) and </w:t>
      </w:r>
      <w:r w:rsidR="00EE023E" w:rsidRPr="00A9015F">
        <w:rPr>
          <w:rFonts w:ascii="Times New Roman" w:eastAsia="Times New Roman" w:hAnsi="Times New Roman" w:cs="Times New Roman"/>
          <w:sz w:val="24"/>
          <w:szCs w:val="24"/>
        </w:rPr>
        <w:t>create</w:t>
      </w:r>
      <w:r w:rsidRPr="00A9015F">
        <w:rPr>
          <w:rFonts w:ascii="Times New Roman" w:eastAsia="Times New Roman" w:hAnsi="Times New Roman" w:cs="Times New Roman"/>
          <w:sz w:val="24"/>
          <w:szCs w:val="24"/>
        </w:rPr>
        <w:t xml:space="preserve"> a Blau index for 'INED gender heterogeneity' and 'INED financial expertise'. We follow Minton et al. (2014) to code our variable financial expertise. However, we </w:t>
      </w:r>
      <w:r w:rsidR="00EE023E">
        <w:rPr>
          <w:rFonts w:ascii="Times New Roman" w:eastAsia="Times New Roman" w:hAnsi="Times New Roman" w:cs="Times New Roman"/>
          <w:sz w:val="24"/>
          <w:szCs w:val="24"/>
        </w:rPr>
        <w:t>measure</w:t>
      </w:r>
      <w:r w:rsidRPr="00A9015F">
        <w:rPr>
          <w:rFonts w:ascii="Times New Roman" w:eastAsia="Times New Roman" w:hAnsi="Times New Roman" w:cs="Times New Roman"/>
          <w:sz w:val="24"/>
          <w:szCs w:val="24"/>
        </w:rPr>
        <w:t xml:space="preserve"> the 'INED tenure heterogeneity' as the coefficient of variation of INED board tenure, following Wahid et al. (2018). We calculate the dependent variable 'Misconduct' as the total misconduct </w:t>
      </w:r>
      <w:r w:rsidR="00EE023E" w:rsidRPr="00A9015F">
        <w:rPr>
          <w:rFonts w:ascii="Times New Roman" w:eastAsia="Times New Roman" w:hAnsi="Times New Roman" w:cs="Times New Roman"/>
          <w:sz w:val="24"/>
          <w:szCs w:val="24"/>
        </w:rPr>
        <w:t>charges</w:t>
      </w:r>
      <w:r w:rsidRPr="00A9015F">
        <w:rPr>
          <w:rFonts w:ascii="Times New Roman" w:eastAsia="Times New Roman" w:hAnsi="Times New Roman" w:cs="Times New Roman"/>
          <w:sz w:val="24"/>
          <w:szCs w:val="24"/>
        </w:rPr>
        <w:t xml:space="preserve"> </w:t>
      </w:r>
      <w:r w:rsidR="00EE023E" w:rsidRPr="00A9015F">
        <w:rPr>
          <w:rFonts w:ascii="Times New Roman" w:eastAsia="Times New Roman" w:hAnsi="Times New Roman" w:cs="Times New Roman"/>
          <w:sz w:val="24"/>
          <w:szCs w:val="24"/>
        </w:rPr>
        <w:t>levied</w:t>
      </w:r>
      <w:r w:rsidRPr="00A9015F">
        <w:rPr>
          <w:rFonts w:ascii="Times New Roman" w:eastAsia="Times New Roman" w:hAnsi="Times New Roman" w:cs="Times New Roman"/>
          <w:sz w:val="24"/>
          <w:szCs w:val="24"/>
        </w:rPr>
        <w:t xml:space="preserve"> on a bank each year following Zaman et al. </w:t>
      </w:r>
      <w:r w:rsidR="00963CA8">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2021). </w:t>
      </w:r>
    </w:p>
    <w:p w14:paraId="341DA3B0" w14:textId="35A74BEB" w:rsidR="00A9015F" w:rsidRPr="00A9015F" w:rsidRDefault="00A9015F" w:rsidP="000638CC">
      <w:pPr>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First, we assess H1 -H3</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i.e. whether INEDs' </w:t>
      </w:r>
      <w:r w:rsidR="0091261D">
        <w:rPr>
          <w:rFonts w:ascii="Times New Roman" w:eastAsia="Times New Roman" w:hAnsi="Times New Roman" w:cs="Times New Roman"/>
          <w:sz w:val="24"/>
          <w:szCs w:val="24"/>
        </w:rPr>
        <w:t xml:space="preserve">attribute hetrogenity </w:t>
      </w:r>
      <w:r w:rsidRPr="00A9015F">
        <w:rPr>
          <w:rFonts w:ascii="Times New Roman" w:eastAsia="Times New Roman" w:hAnsi="Times New Roman" w:cs="Times New Roman"/>
          <w:sz w:val="24"/>
          <w:szCs w:val="24"/>
        </w:rPr>
        <w:t xml:space="preserve">affects bank misconduct by </w:t>
      </w:r>
      <w:r w:rsidR="00CF6546">
        <w:rPr>
          <w:rFonts w:ascii="Times New Roman" w:eastAsia="Times New Roman" w:hAnsi="Times New Roman" w:cs="Times New Roman"/>
          <w:sz w:val="24"/>
          <w:szCs w:val="24"/>
        </w:rPr>
        <w:t>using</w:t>
      </w:r>
      <w:r w:rsidR="00CF6546" w:rsidRPr="00A9015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the following equation:</w:t>
      </w:r>
    </w:p>
    <w:p w14:paraId="32EFA5D0" w14:textId="692C5252"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i/>
          <w:iCs/>
          <w:sz w:val="24"/>
          <w:szCs w:val="24"/>
        </w:rPr>
        <w:t xml:space="preserve">Misconduct </w:t>
      </w:r>
      <w:r w:rsidRPr="00A9015F">
        <w:rPr>
          <w:rFonts w:ascii="Times New Roman" w:eastAsia="Times New Roman" w:hAnsi="Times New Roman" w:cs="Times New Roman"/>
          <w:i/>
          <w:iCs/>
          <w:sz w:val="24"/>
          <w:szCs w:val="24"/>
          <w:vertAlign w:val="subscript"/>
        </w:rPr>
        <w:t>it</w:t>
      </w:r>
      <w:r w:rsidRPr="00A9015F">
        <w:rPr>
          <w:rFonts w:ascii="Times New Roman" w:eastAsia="Times New Roman" w:hAnsi="Times New Roman" w:cs="Times New Roman"/>
          <w:i/>
          <w:iCs/>
          <w:sz w:val="24"/>
          <w:szCs w:val="24"/>
        </w:rPr>
        <w:t xml:space="preserve"> = α</w:t>
      </w:r>
      <w:r w:rsidRPr="00A9015F">
        <w:rPr>
          <w:rFonts w:ascii="Times New Roman" w:eastAsia="Times New Roman" w:hAnsi="Times New Roman" w:cs="Times New Roman"/>
          <w:i/>
          <w:iCs/>
          <w:sz w:val="24"/>
          <w:szCs w:val="24"/>
          <w:vertAlign w:val="subscript"/>
        </w:rPr>
        <w:t>0</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1</w:t>
      </w:r>
      <w:r w:rsidRPr="00A9015F">
        <w:rPr>
          <w:rFonts w:ascii="Times New Roman" w:eastAsia="Times New Roman" w:hAnsi="Times New Roman" w:cs="Times New Roman"/>
          <w:i/>
          <w:iCs/>
          <w:sz w:val="24"/>
          <w:szCs w:val="24"/>
        </w:rPr>
        <w:t xml:space="preserve">*INED Gender Heterogeneity </w:t>
      </w:r>
      <w:r w:rsidRPr="00A9015F">
        <w:rPr>
          <w:rFonts w:ascii="Times New Roman" w:eastAsia="Times New Roman" w:hAnsi="Times New Roman" w:cs="Times New Roman"/>
          <w:i/>
          <w:iCs/>
          <w:sz w:val="24"/>
          <w:szCs w:val="24"/>
          <w:vertAlign w:val="subscript"/>
        </w:rPr>
        <w:t>it-1</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2</w:t>
      </w:r>
      <w:r w:rsidRPr="00A9015F">
        <w:rPr>
          <w:rFonts w:ascii="Times New Roman" w:eastAsia="Times New Roman" w:hAnsi="Times New Roman" w:cs="Times New Roman"/>
          <w:i/>
          <w:iCs/>
          <w:sz w:val="24"/>
          <w:szCs w:val="24"/>
        </w:rPr>
        <w:t xml:space="preserve">*INED Financial Expertise Heterogeneity </w:t>
      </w:r>
      <w:r w:rsidRPr="00A9015F">
        <w:rPr>
          <w:rFonts w:ascii="Times New Roman" w:eastAsia="Times New Roman" w:hAnsi="Times New Roman" w:cs="Times New Roman"/>
          <w:i/>
          <w:iCs/>
          <w:sz w:val="24"/>
          <w:szCs w:val="24"/>
          <w:vertAlign w:val="subscript"/>
        </w:rPr>
        <w:t>it-1</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3</w:t>
      </w:r>
      <w:r w:rsidRPr="00A9015F">
        <w:rPr>
          <w:rFonts w:ascii="Times New Roman" w:eastAsia="Times New Roman" w:hAnsi="Times New Roman" w:cs="Times New Roman"/>
          <w:i/>
          <w:iCs/>
          <w:sz w:val="24"/>
          <w:szCs w:val="24"/>
        </w:rPr>
        <w:t xml:space="preserve">*INED Tenure Heterogeneity </w:t>
      </w:r>
      <w:r w:rsidRPr="00A9015F">
        <w:rPr>
          <w:rFonts w:ascii="Times New Roman" w:eastAsia="Times New Roman" w:hAnsi="Times New Roman" w:cs="Times New Roman"/>
          <w:i/>
          <w:iCs/>
          <w:sz w:val="24"/>
          <w:szCs w:val="24"/>
          <w:vertAlign w:val="subscript"/>
        </w:rPr>
        <w:t>it-1</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4</w:t>
      </w:r>
      <w:r w:rsidRPr="00A9015F">
        <w:rPr>
          <w:rFonts w:ascii="Times New Roman" w:eastAsia="Times New Roman" w:hAnsi="Times New Roman" w:cs="Times New Roman"/>
          <w:i/>
          <w:iCs/>
          <w:sz w:val="24"/>
          <w:szCs w:val="24"/>
        </w:rPr>
        <w:t xml:space="preserve">*INED </w:t>
      </w:r>
      <w:r w:rsidRPr="00A9015F">
        <w:rPr>
          <w:rFonts w:ascii="Times New Roman" w:eastAsia="Times New Roman" w:hAnsi="Times New Roman" w:cs="Times New Roman"/>
          <w:i/>
          <w:iCs/>
          <w:sz w:val="24"/>
          <w:szCs w:val="24"/>
          <w:vertAlign w:val="subscript"/>
        </w:rPr>
        <w:t xml:space="preserve">i t-1 </w:t>
      </w:r>
      <w:r w:rsidRPr="00A9015F">
        <w:rPr>
          <w:rFonts w:ascii="Times New Roman" w:eastAsia="Times New Roman" w:hAnsi="Times New Roman" w:cs="Times New Roman"/>
          <w:i/>
          <w:iCs/>
          <w:sz w:val="24"/>
          <w:szCs w:val="24"/>
        </w:rPr>
        <w:t xml:space="preserve">+ γ X </w:t>
      </w:r>
      <w:r w:rsidRPr="00A9015F">
        <w:rPr>
          <w:rFonts w:ascii="Times New Roman" w:eastAsia="Times New Roman" w:hAnsi="Times New Roman" w:cs="Times New Roman"/>
          <w:i/>
          <w:iCs/>
          <w:sz w:val="24"/>
          <w:szCs w:val="24"/>
          <w:vertAlign w:val="subscript"/>
        </w:rPr>
        <w:t>it</w:t>
      </w:r>
      <w:r w:rsidRPr="00A9015F">
        <w:rPr>
          <w:rFonts w:ascii="Times New Roman" w:eastAsia="Times New Roman" w:hAnsi="Times New Roman" w:cs="Times New Roman"/>
          <w:i/>
          <w:iCs/>
          <w:sz w:val="24"/>
          <w:szCs w:val="24"/>
        </w:rPr>
        <w:t xml:space="preserve"> + Bank &amp; Year FE+ e </w:t>
      </w:r>
      <w:r w:rsidRPr="00A9015F">
        <w:rPr>
          <w:rFonts w:ascii="Times New Roman" w:eastAsia="Times New Roman" w:hAnsi="Times New Roman" w:cs="Times New Roman"/>
          <w:i/>
          <w:iCs/>
          <w:sz w:val="24"/>
          <w:szCs w:val="24"/>
          <w:vertAlign w:val="subscript"/>
        </w:rPr>
        <w:t>it</w:t>
      </w:r>
      <w:r w:rsidRPr="00A9015F">
        <w:rPr>
          <w:rFonts w:ascii="Times New Roman" w:eastAsia="Times New Roman" w:hAnsi="Times New Roman" w:cs="Times New Roman"/>
          <w:i/>
          <w:iCs/>
          <w:sz w:val="24"/>
          <w:szCs w:val="24"/>
        </w:rPr>
        <w:t xml:space="preserve">                                                                                                                                 (</w:t>
      </w:r>
      <w:r w:rsidRPr="00A9015F">
        <w:rPr>
          <w:rFonts w:ascii="Times New Roman" w:eastAsia="Times New Roman" w:hAnsi="Times New Roman" w:cs="Times New Roman"/>
          <w:b/>
          <w:bCs/>
          <w:i/>
          <w:iCs/>
          <w:sz w:val="24"/>
          <w:szCs w:val="24"/>
        </w:rPr>
        <w:t>1</w:t>
      </w:r>
      <w:r w:rsidRPr="00A9015F">
        <w:rPr>
          <w:rFonts w:ascii="Times New Roman" w:eastAsia="Times New Roman" w:hAnsi="Times New Roman" w:cs="Times New Roman"/>
          <w:i/>
          <w:iCs/>
          <w:sz w:val="24"/>
          <w:szCs w:val="24"/>
        </w:rPr>
        <w:t>)</w:t>
      </w:r>
    </w:p>
    <w:p w14:paraId="2EB8EF36" w14:textId="7FC7AAD4" w:rsid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The three heterogeneity variables above are the main explanatory variables in equation (1). INED in eq (1) represents the percentage of independent directors on the board in a given year. Vector X represents a series of control variables based on the literature on corporate misconduct and litigation (Malm and Mobbs, 2016; Liu, 2018; Nguyen et al., 2016; Arnaboldi et al., 2021; Goo et al., 2021). Our control variables include governance variables such as board size and CEO Tenure. In contrast, bank-level controls include bank size measured as the natural logarithm of total assets. The bank misconduct literature suggests that larger banks are more complex and frequently fined, which can affect the director's ability to prevent misconduct (Arnaboldi et al., 2021). Return on asset, ROA, is included to account for a bank's profitability, whereas risk is captured using the ratio of nonperforming loans to total assets. We also control for the possible effect of bank growth on bank misconduct, including total asset growth, bank capital measured as a ratio of risk-weighted assets to total assets and leverage as a ratio of total liabilities to the total asset. In addition, Nguyen et al. (2016) believe investor beliefs also affect bank misconduct; hence, we include charter value in our control variables measures as the ratio of market to book value of equity. The Model also provides bank and year fixed effects (F.E.). </w:t>
      </w:r>
      <w:r w:rsidR="0091261D">
        <w:rPr>
          <w:rFonts w:ascii="Times New Roman" w:eastAsia="Times New Roman" w:hAnsi="Times New Roman" w:cs="Times New Roman"/>
          <w:sz w:val="24"/>
          <w:szCs w:val="24"/>
        </w:rPr>
        <w:t xml:space="preserve">We provide </w:t>
      </w:r>
      <w:r w:rsidRPr="00A9015F">
        <w:rPr>
          <w:rFonts w:ascii="Times New Roman" w:eastAsia="Times New Roman" w:hAnsi="Times New Roman" w:cs="Times New Roman"/>
          <w:sz w:val="24"/>
          <w:szCs w:val="24"/>
        </w:rPr>
        <w:t xml:space="preserve">detailed </w:t>
      </w:r>
      <w:r w:rsidR="0091261D">
        <w:rPr>
          <w:rFonts w:ascii="Times New Roman" w:eastAsia="Times New Roman" w:hAnsi="Times New Roman" w:cs="Times New Roman"/>
          <w:sz w:val="24"/>
          <w:szCs w:val="24"/>
        </w:rPr>
        <w:t xml:space="preserve">information for our variables </w:t>
      </w:r>
      <w:r w:rsidRPr="00A9015F">
        <w:rPr>
          <w:rFonts w:ascii="Times New Roman" w:eastAsia="Times New Roman" w:hAnsi="Times New Roman" w:cs="Times New Roman"/>
          <w:sz w:val="24"/>
          <w:szCs w:val="24"/>
        </w:rPr>
        <w:t>in Appendix1</w:t>
      </w:r>
    </w:p>
    <w:p w14:paraId="07BDAB82" w14:textId="2CE426BD" w:rsidR="00A9015F" w:rsidRPr="00A9015F" w:rsidRDefault="00A9015F" w:rsidP="00354663">
      <w:pPr>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As a second step, we test  </w:t>
      </w:r>
      <w:r w:rsidRPr="00A9015F">
        <w:rPr>
          <w:rFonts w:ascii="Times New Roman" w:eastAsia="Times New Roman" w:hAnsi="Times New Roman" w:cs="Times New Roman"/>
          <w:i/>
          <w:iCs/>
          <w:sz w:val="24"/>
          <w:szCs w:val="24"/>
        </w:rPr>
        <w:t>H4</w:t>
      </w:r>
      <w:r w:rsidRPr="00A9015F">
        <w:rPr>
          <w:rFonts w:ascii="Times New Roman" w:eastAsia="Times New Roman" w:hAnsi="Times New Roman" w:cs="Times New Roman"/>
          <w:sz w:val="24"/>
          <w:szCs w:val="24"/>
        </w:rPr>
        <w:t xml:space="preserve"> by replacing </w:t>
      </w:r>
      <w:r w:rsidR="0091261D">
        <w:rPr>
          <w:rFonts w:ascii="Times New Roman" w:eastAsia="Times New Roman" w:hAnsi="Times New Roman" w:cs="Times New Roman"/>
          <w:sz w:val="24"/>
          <w:szCs w:val="24"/>
        </w:rPr>
        <w:t xml:space="preserve">individual attribute </w:t>
      </w:r>
      <w:r w:rsidRPr="00A9015F">
        <w:rPr>
          <w:rFonts w:ascii="Times New Roman" w:eastAsia="Times New Roman" w:hAnsi="Times New Roman" w:cs="Times New Roman"/>
          <w:sz w:val="24"/>
          <w:szCs w:val="24"/>
        </w:rPr>
        <w:t xml:space="preserve">heterogeneity with INED heterogeneity index: </w:t>
      </w:r>
    </w:p>
    <w:p w14:paraId="6E917025" w14:textId="3CC6B7EC"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i/>
          <w:iCs/>
          <w:sz w:val="24"/>
          <w:szCs w:val="24"/>
        </w:rPr>
        <w:t xml:space="preserve">Misconduct </w:t>
      </w:r>
      <w:r w:rsidRPr="00A9015F">
        <w:rPr>
          <w:rFonts w:ascii="Times New Roman" w:eastAsia="Times New Roman" w:hAnsi="Times New Roman" w:cs="Times New Roman"/>
          <w:i/>
          <w:iCs/>
          <w:sz w:val="24"/>
          <w:szCs w:val="24"/>
          <w:vertAlign w:val="subscript"/>
        </w:rPr>
        <w:t>it</w:t>
      </w:r>
      <w:r w:rsidRPr="00A9015F">
        <w:rPr>
          <w:rFonts w:ascii="Times New Roman" w:eastAsia="Times New Roman" w:hAnsi="Times New Roman" w:cs="Times New Roman"/>
          <w:i/>
          <w:iCs/>
          <w:sz w:val="24"/>
          <w:szCs w:val="24"/>
        </w:rPr>
        <w:t xml:space="preserve"> = α</w:t>
      </w:r>
      <w:r w:rsidRPr="00A9015F">
        <w:rPr>
          <w:rFonts w:ascii="Times New Roman" w:eastAsia="Times New Roman" w:hAnsi="Times New Roman" w:cs="Times New Roman"/>
          <w:i/>
          <w:iCs/>
          <w:sz w:val="24"/>
          <w:szCs w:val="24"/>
          <w:vertAlign w:val="subscript"/>
        </w:rPr>
        <w:t>0</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1</w:t>
      </w:r>
      <w:r w:rsidRPr="00A9015F">
        <w:rPr>
          <w:rFonts w:ascii="Times New Roman" w:eastAsia="Times New Roman" w:hAnsi="Times New Roman" w:cs="Times New Roman"/>
          <w:i/>
          <w:iCs/>
          <w:sz w:val="24"/>
          <w:szCs w:val="24"/>
        </w:rPr>
        <w:t xml:space="preserve">* INED Heterogeneity Index </w:t>
      </w:r>
      <w:r w:rsidRPr="00A9015F">
        <w:rPr>
          <w:rFonts w:ascii="Times New Roman" w:eastAsia="Times New Roman" w:hAnsi="Times New Roman" w:cs="Times New Roman"/>
          <w:i/>
          <w:iCs/>
          <w:sz w:val="24"/>
          <w:szCs w:val="24"/>
          <w:vertAlign w:val="subscript"/>
        </w:rPr>
        <w:t>it-1</w:t>
      </w:r>
      <w:r w:rsidRPr="00A9015F">
        <w:rPr>
          <w:rFonts w:ascii="Times New Roman" w:eastAsia="Times New Roman" w:hAnsi="Times New Roman" w:cs="Times New Roman"/>
          <w:i/>
          <w:iCs/>
          <w:sz w:val="24"/>
          <w:szCs w:val="24"/>
        </w:rPr>
        <w:t xml:space="preserve"> + β</w:t>
      </w:r>
      <w:r w:rsidRPr="00A9015F">
        <w:rPr>
          <w:rFonts w:ascii="Times New Roman" w:eastAsia="Times New Roman" w:hAnsi="Times New Roman" w:cs="Times New Roman"/>
          <w:i/>
          <w:iCs/>
          <w:sz w:val="24"/>
          <w:szCs w:val="24"/>
          <w:vertAlign w:val="subscript"/>
        </w:rPr>
        <w:t>2</w:t>
      </w:r>
      <w:r w:rsidRPr="00A9015F">
        <w:rPr>
          <w:rFonts w:ascii="Times New Roman" w:eastAsia="Times New Roman" w:hAnsi="Times New Roman" w:cs="Times New Roman"/>
          <w:i/>
          <w:iCs/>
          <w:sz w:val="24"/>
          <w:szCs w:val="24"/>
        </w:rPr>
        <w:t xml:space="preserve">*INED </w:t>
      </w:r>
      <w:r w:rsidRPr="00A9015F">
        <w:rPr>
          <w:rFonts w:ascii="Times New Roman" w:eastAsia="Times New Roman" w:hAnsi="Times New Roman" w:cs="Times New Roman"/>
          <w:i/>
          <w:iCs/>
          <w:sz w:val="24"/>
          <w:szCs w:val="24"/>
          <w:vertAlign w:val="subscript"/>
        </w:rPr>
        <w:t>it-1</w:t>
      </w:r>
      <w:r w:rsidRPr="00A9015F">
        <w:rPr>
          <w:rFonts w:ascii="Times New Roman" w:eastAsia="Times New Roman" w:hAnsi="Times New Roman" w:cs="Times New Roman"/>
          <w:i/>
          <w:iCs/>
          <w:sz w:val="24"/>
          <w:szCs w:val="24"/>
        </w:rPr>
        <w:t xml:space="preserve"> + γ X </w:t>
      </w:r>
      <w:r w:rsidRPr="00A9015F">
        <w:rPr>
          <w:rFonts w:ascii="Times New Roman" w:eastAsia="Times New Roman" w:hAnsi="Times New Roman" w:cs="Times New Roman"/>
          <w:i/>
          <w:iCs/>
          <w:sz w:val="24"/>
          <w:szCs w:val="24"/>
          <w:vertAlign w:val="subscript"/>
        </w:rPr>
        <w:t>it</w:t>
      </w:r>
      <w:r w:rsidR="00940E21">
        <w:rPr>
          <w:rFonts w:ascii="Times New Roman" w:eastAsia="Times New Roman" w:hAnsi="Times New Roman" w:cs="Times New Roman"/>
          <w:i/>
          <w:iCs/>
          <w:sz w:val="24"/>
          <w:szCs w:val="24"/>
          <w:vertAlign w:val="subscript"/>
        </w:rPr>
        <w:t>-1</w:t>
      </w:r>
      <w:r w:rsidRPr="00A9015F">
        <w:rPr>
          <w:rFonts w:ascii="Times New Roman" w:eastAsia="Times New Roman" w:hAnsi="Times New Roman" w:cs="Times New Roman"/>
          <w:i/>
          <w:iCs/>
          <w:sz w:val="24"/>
          <w:szCs w:val="24"/>
        </w:rPr>
        <w:t xml:space="preserve"> + Bank&amp; Year FE+ e </w:t>
      </w:r>
      <w:r w:rsidRPr="00A9015F">
        <w:rPr>
          <w:rFonts w:ascii="Times New Roman" w:eastAsia="Times New Roman" w:hAnsi="Times New Roman" w:cs="Times New Roman"/>
          <w:i/>
          <w:iCs/>
          <w:sz w:val="24"/>
          <w:szCs w:val="24"/>
          <w:vertAlign w:val="subscript"/>
        </w:rPr>
        <w:t>it</w:t>
      </w:r>
      <w:r w:rsidRPr="00A9015F">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w:t>
      </w:r>
      <w:r w:rsidRPr="00A9015F">
        <w:rPr>
          <w:rFonts w:ascii="Times New Roman" w:eastAsia="Times New Roman" w:hAnsi="Times New Roman" w:cs="Times New Roman"/>
          <w:b/>
          <w:bCs/>
          <w:sz w:val="24"/>
          <w:szCs w:val="24"/>
        </w:rPr>
        <w:t>2</w:t>
      </w:r>
      <w:r w:rsidRPr="00A9015F">
        <w:rPr>
          <w:rFonts w:ascii="Times New Roman" w:eastAsia="Times New Roman" w:hAnsi="Times New Roman" w:cs="Times New Roman"/>
          <w:sz w:val="24"/>
          <w:szCs w:val="24"/>
        </w:rPr>
        <w:t>)</w:t>
      </w:r>
    </w:p>
    <w:p w14:paraId="5C88265D" w14:textId="7681E689"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build the heterogeneity index on the notion that </w:t>
      </w:r>
      <w:r w:rsidR="00354663">
        <w:rPr>
          <w:rFonts w:ascii="Times New Roman" w:eastAsia="Times New Roman" w:hAnsi="Times New Roman" w:cs="Times New Roman"/>
          <w:sz w:val="24"/>
          <w:szCs w:val="24"/>
        </w:rPr>
        <w:t xml:space="preserve">diverse boards give better results due to </w:t>
      </w:r>
      <w:r w:rsidR="00963CA8">
        <w:rPr>
          <w:rFonts w:ascii="Times New Roman" w:eastAsia="Times New Roman" w:hAnsi="Times New Roman" w:cs="Times New Roman"/>
          <w:sz w:val="24"/>
          <w:szCs w:val="24"/>
        </w:rPr>
        <w:t xml:space="preserve">a </w:t>
      </w:r>
      <w:r w:rsidR="00354663">
        <w:rPr>
          <w:rFonts w:ascii="Times New Roman" w:eastAsia="Times New Roman" w:hAnsi="Times New Roman" w:cs="Times New Roman"/>
          <w:sz w:val="24"/>
          <w:szCs w:val="24"/>
        </w:rPr>
        <w:t xml:space="preserve">broad range of views and </w:t>
      </w:r>
      <w:r w:rsidR="00354663" w:rsidRPr="00A9015F">
        <w:rPr>
          <w:rFonts w:ascii="Times New Roman" w:eastAsia="Times New Roman" w:hAnsi="Times New Roman" w:cs="Times New Roman"/>
          <w:sz w:val="24"/>
          <w:szCs w:val="24"/>
        </w:rPr>
        <w:t>expertise</w:t>
      </w:r>
      <w:r w:rsidRPr="00A9015F">
        <w:rPr>
          <w:rFonts w:ascii="Times New Roman" w:eastAsia="Times New Roman" w:hAnsi="Times New Roman" w:cs="Times New Roman"/>
          <w:sz w:val="24"/>
          <w:szCs w:val="24"/>
        </w:rPr>
        <w:t xml:space="preserve"> (Nelson, 2014). Our purpose of constructing a heterogeneity index is based on human capital theory, which suggests that </w:t>
      </w:r>
      <w:r w:rsidR="00354663">
        <w:rPr>
          <w:rFonts w:ascii="Times New Roman" w:eastAsia="Times New Roman" w:hAnsi="Times New Roman" w:cs="Times New Roman"/>
          <w:sz w:val="24"/>
          <w:szCs w:val="24"/>
        </w:rPr>
        <w:t xml:space="preserve">team diversity </w:t>
      </w:r>
      <w:r>
        <w:rPr>
          <w:rFonts w:ascii="Times New Roman" w:eastAsia="Times New Roman" w:hAnsi="Times New Roman" w:cs="Times New Roman"/>
          <w:sz w:val="24"/>
          <w:szCs w:val="24"/>
        </w:rPr>
        <w:t>can</w:t>
      </w:r>
      <w:r w:rsidRPr="00A9015F">
        <w:rPr>
          <w:rFonts w:ascii="Times New Roman" w:eastAsia="Times New Roman" w:hAnsi="Times New Roman" w:cs="Times New Roman"/>
          <w:sz w:val="24"/>
          <w:szCs w:val="24"/>
        </w:rPr>
        <w:t xml:space="preserve"> </w:t>
      </w:r>
      <w:r w:rsidR="00354663">
        <w:rPr>
          <w:rFonts w:ascii="Times New Roman" w:eastAsia="Times New Roman" w:hAnsi="Times New Roman" w:cs="Times New Roman"/>
          <w:sz w:val="24"/>
          <w:szCs w:val="24"/>
        </w:rPr>
        <w:t xml:space="preserve">provide </w:t>
      </w:r>
      <w:r w:rsidR="00354663" w:rsidRPr="00A9015F">
        <w:rPr>
          <w:rFonts w:ascii="Times New Roman" w:eastAsia="Times New Roman" w:hAnsi="Times New Roman" w:cs="Times New Roman"/>
          <w:sz w:val="24"/>
          <w:szCs w:val="24"/>
        </w:rPr>
        <w:t>novel</w:t>
      </w:r>
      <w:r w:rsidRPr="00A9015F">
        <w:rPr>
          <w:rFonts w:ascii="Times New Roman" w:eastAsia="Times New Roman" w:hAnsi="Times New Roman" w:cs="Times New Roman"/>
          <w:sz w:val="24"/>
          <w:szCs w:val="24"/>
        </w:rPr>
        <w:t xml:space="preserve"> </w:t>
      </w:r>
      <w:r w:rsidR="00354663">
        <w:rPr>
          <w:rFonts w:ascii="Times New Roman" w:eastAsia="Times New Roman" w:hAnsi="Times New Roman" w:cs="Times New Roman"/>
          <w:sz w:val="24"/>
          <w:szCs w:val="24"/>
        </w:rPr>
        <w:t>ideas, improve productivity</w:t>
      </w:r>
      <w:r w:rsidRPr="00A9015F">
        <w:rPr>
          <w:rFonts w:ascii="Times New Roman" w:eastAsia="Times New Roman" w:hAnsi="Times New Roman" w:cs="Times New Roman"/>
          <w:sz w:val="24"/>
          <w:szCs w:val="24"/>
        </w:rPr>
        <w:t xml:space="preserve">, encourages group thinking and is </w:t>
      </w:r>
      <w:r w:rsidR="00963CA8">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willing</w:t>
      </w:r>
      <w:r w:rsidR="00354663">
        <w:rPr>
          <w:rFonts w:ascii="Times New Roman" w:eastAsia="Times New Roman" w:hAnsi="Times New Roman" w:cs="Times New Roman"/>
          <w:sz w:val="24"/>
          <w:szCs w:val="24"/>
        </w:rPr>
        <w:t>ness</w:t>
      </w:r>
      <w:r w:rsidRPr="00A9015F">
        <w:rPr>
          <w:rFonts w:ascii="Times New Roman" w:eastAsia="Times New Roman" w:hAnsi="Times New Roman" w:cs="Times New Roman"/>
          <w:sz w:val="24"/>
          <w:szCs w:val="24"/>
        </w:rPr>
        <w:t xml:space="preserve"> to explore multiple alternatives (Bernile et al., 2016). Based on </w:t>
      </w:r>
      <w:r>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human capital theory</w:t>
      </w:r>
      <w:r>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we posit that expanding the selection of director</w:t>
      </w:r>
      <w:r>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competence, capabilities, </w:t>
      </w:r>
      <w:r>
        <w:rPr>
          <w:rFonts w:ascii="Times New Roman" w:eastAsia="Times New Roman" w:hAnsi="Times New Roman" w:cs="Times New Roman"/>
          <w:sz w:val="24"/>
          <w:szCs w:val="24"/>
        </w:rPr>
        <w:t xml:space="preserve">and </w:t>
      </w:r>
      <w:r w:rsidRPr="00A9015F">
        <w:rPr>
          <w:rFonts w:ascii="Times New Roman" w:eastAsia="Times New Roman" w:hAnsi="Times New Roman" w:cs="Times New Roman"/>
          <w:sz w:val="24"/>
          <w:szCs w:val="24"/>
        </w:rPr>
        <w:t xml:space="preserve">board diversity results in enhanced monitoring by the directors. </w:t>
      </w:r>
      <w:r w:rsidR="00354663">
        <w:rPr>
          <w:rFonts w:ascii="Times New Roman" w:eastAsia="Times New Roman" w:hAnsi="Times New Roman" w:cs="Times New Roman"/>
          <w:sz w:val="24"/>
          <w:szCs w:val="24"/>
        </w:rPr>
        <w:t xml:space="preserve">We follow </w:t>
      </w:r>
      <w:r w:rsidRPr="00A9015F">
        <w:rPr>
          <w:rFonts w:ascii="Times New Roman" w:eastAsia="Times New Roman" w:hAnsi="Times New Roman" w:cs="Times New Roman"/>
          <w:sz w:val="24"/>
          <w:szCs w:val="24"/>
        </w:rPr>
        <w:t>Mollah et al. (2021) and Bernie et al. (2018)</w:t>
      </w:r>
      <w:r w:rsidR="00354663">
        <w:rPr>
          <w:rFonts w:ascii="Times New Roman" w:eastAsia="Times New Roman" w:hAnsi="Times New Roman" w:cs="Times New Roman"/>
          <w:sz w:val="24"/>
          <w:szCs w:val="24"/>
        </w:rPr>
        <w:t xml:space="preserve"> to construct our heterogeneity index</w:t>
      </w:r>
      <w:r w:rsidRPr="00A9015F">
        <w:rPr>
          <w:rFonts w:ascii="Times New Roman" w:eastAsia="Times New Roman" w:hAnsi="Times New Roman" w:cs="Times New Roman"/>
          <w:sz w:val="24"/>
          <w:szCs w:val="24"/>
        </w:rPr>
        <w:t xml:space="preserve">. We </w:t>
      </w:r>
      <w:r w:rsidR="00354663">
        <w:rPr>
          <w:rFonts w:ascii="Times New Roman" w:eastAsia="Times New Roman" w:hAnsi="Times New Roman" w:cs="Times New Roman"/>
          <w:sz w:val="24"/>
          <w:szCs w:val="24"/>
        </w:rPr>
        <w:t xml:space="preserve">use </w:t>
      </w:r>
      <w:r w:rsidRPr="00A9015F">
        <w:rPr>
          <w:rFonts w:ascii="Times New Roman" w:eastAsia="Times New Roman" w:hAnsi="Times New Roman" w:cs="Times New Roman"/>
          <w:sz w:val="24"/>
          <w:szCs w:val="24"/>
        </w:rPr>
        <w:t>standardize</w:t>
      </w:r>
      <w:r w:rsidR="00354663">
        <w:rPr>
          <w:rFonts w:ascii="Times New Roman" w:eastAsia="Times New Roman" w:hAnsi="Times New Roman" w:cs="Times New Roman"/>
          <w:sz w:val="24"/>
          <w:szCs w:val="24"/>
        </w:rPr>
        <w:t>d value</w:t>
      </w:r>
      <w:r w:rsidR="00963CA8">
        <w:rPr>
          <w:rFonts w:ascii="Times New Roman" w:eastAsia="Times New Roman" w:hAnsi="Times New Roman" w:cs="Times New Roman"/>
          <w:sz w:val="24"/>
          <w:szCs w:val="24"/>
        </w:rPr>
        <w:t>s</w:t>
      </w:r>
      <w:r w:rsidR="00354663">
        <w:rPr>
          <w:rFonts w:ascii="Times New Roman" w:eastAsia="Times New Roman" w:hAnsi="Times New Roman" w:cs="Times New Roman"/>
          <w:sz w:val="24"/>
          <w:szCs w:val="24"/>
        </w:rPr>
        <w:t xml:space="preserve"> of</w:t>
      </w:r>
      <w:r w:rsidRPr="00A9015F">
        <w:rPr>
          <w:rFonts w:ascii="Times New Roman" w:eastAsia="Times New Roman" w:hAnsi="Times New Roman" w:cs="Times New Roman"/>
          <w:sz w:val="24"/>
          <w:szCs w:val="24"/>
        </w:rPr>
        <w:t xml:space="preserve"> INED gender heterogeneity, INED financial expertise heterogeneity, and INED tenure heterogeneity and then </w:t>
      </w:r>
      <w:r w:rsidR="00354663">
        <w:rPr>
          <w:rFonts w:ascii="Times New Roman" w:eastAsia="Times New Roman" w:hAnsi="Times New Roman" w:cs="Times New Roman"/>
          <w:sz w:val="24"/>
          <w:szCs w:val="24"/>
        </w:rPr>
        <w:t>construct an equally weighted het</w:t>
      </w:r>
      <w:r w:rsidR="00963CA8">
        <w:rPr>
          <w:rFonts w:ascii="Times New Roman" w:eastAsia="Times New Roman" w:hAnsi="Times New Roman" w:cs="Times New Roman"/>
          <w:sz w:val="24"/>
          <w:szCs w:val="24"/>
        </w:rPr>
        <w:t>erogene</w:t>
      </w:r>
      <w:r w:rsidR="00354663">
        <w:rPr>
          <w:rFonts w:ascii="Times New Roman" w:eastAsia="Times New Roman" w:hAnsi="Times New Roman" w:cs="Times New Roman"/>
          <w:sz w:val="24"/>
          <w:szCs w:val="24"/>
        </w:rPr>
        <w:t>ity index</w:t>
      </w:r>
      <w:r w:rsidRPr="00A9015F">
        <w:rPr>
          <w:rFonts w:ascii="Times New Roman" w:eastAsia="Times New Roman" w:hAnsi="Times New Roman" w:cs="Times New Roman"/>
          <w:sz w:val="24"/>
          <w:szCs w:val="24"/>
        </w:rPr>
        <w:t xml:space="preserve">. The </w:t>
      </w:r>
      <w:r w:rsidR="00354663">
        <w:rPr>
          <w:rFonts w:ascii="Times New Roman" w:eastAsia="Times New Roman" w:hAnsi="Times New Roman" w:cs="Times New Roman"/>
          <w:sz w:val="24"/>
          <w:szCs w:val="24"/>
        </w:rPr>
        <w:t xml:space="preserve">equation below </w:t>
      </w:r>
      <w:r w:rsidR="00C023FF">
        <w:rPr>
          <w:rFonts w:ascii="Times New Roman" w:eastAsia="Times New Roman" w:hAnsi="Times New Roman" w:cs="Times New Roman"/>
          <w:sz w:val="24"/>
          <w:szCs w:val="24"/>
        </w:rPr>
        <w:t xml:space="preserve">shows the index construction </w:t>
      </w:r>
    </w:p>
    <w:p w14:paraId="6E349F6A" w14:textId="4C469B4A" w:rsidR="00A9015F" w:rsidRPr="00963CA8" w:rsidRDefault="00A9015F" w:rsidP="00A9015F">
      <w:pPr>
        <w:spacing w:line="480" w:lineRule="auto"/>
        <w:jc w:val="both"/>
        <w:rPr>
          <w:rFonts w:ascii="Times New Roman" w:eastAsia="Times New Roman" w:hAnsi="Times New Roman" w:cs="Times New Roman"/>
          <w:b/>
          <w:bCs/>
          <w:i/>
          <w:iCs/>
          <w:sz w:val="24"/>
          <w:szCs w:val="24"/>
        </w:rPr>
      </w:pPr>
      <w:r w:rsidRPr="00A9015F">
        <w:rPr>
          <w:rFonts w:ascii="Times New Roman" w:eastAsia="Times New Roman" w:hAnsi="Times New Roman" w:cs="Times New Roman"/>
          <w:i/>
          <w:iCs/>
          <w:sz w:val="24"/>
          <w:szCs w:val="24"/>
        </w:rPr>
        <w:t>INED Heterogeneity Index = STDZ (INED Gender Heterogeneity) + STDZ (INED Financial Expertise Heterogeneity) + STDZ (INED Tenure Heterogeneity) ……</w:t>
      </w:r>
      <w:r w:rsidRPr="00A9015F">
        <w:rPr>
          <w:rFonts w:ascii="Times New Roman" w:eastAsia="Times New Roman" w:hAnsi="Times New Roman" w:cs="Times New Roman"/>
          <w:i/>
          <w:iCs/>
          <w:sz w:val="24"/>
          <w:szCs w:val="24"/>
        </w:rPr>
        <w:tab/>
      </w:r>
      <w:r w:rsidRPr="00A9015F">
        <w:rPr>
          <w:rFonts w:ascii="Times New Roman" w:eastAsia="Times New Roman" w:hAnsi="Times New Roman" w:cs="Times New Roman"/>
          <w:i/>
          <w:iCs/>
          <w:sz w:val="24"/>
          <w:szCs w:val="24"/>
        </w:rPr>
        <w:tab/>
      </w:r>
      <w:r w:rsidRPr="00A9015F">
        <w:rPr>
          <w:rFonts w:ascii="Times New Roman" w:eastAsia="Times New Roman" w:hAnsi="Times New Roman" w:cs="Times New Roman"/>
          <w:i/>
          <w:iCs/>
          <w:sz w:val="24"/>
          <w:szCs w:val="24"/>
        </w:rPr>
        <w:tab/>
      </w:r>
      <w:r w:rsidRPr="00963CA8">
        <w:rPr>
          <w:rFonts w:ascii="Times New Roman" w:eastAsia="Times New Roman" w:hAnsi="Times New Roman" w:cs="Times New Roman"/>
          <w:b/>
          <w:bCs/>
          <w:i/>
          <w:iCs/>
          <w:sz w:val="24"/>
          <w:szCs w:val="24"/>
        </w:rPr>
        <w:t>(3)</w:t>
      </w:r>
    </w:p>
    <w:p w14:paraId="73D49958" w14:textId="683FF830"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 Although we </w:t>
      </w:r>
      <w:r w:rsidR="00C023FF">
        <w:rPr>
          <w:rFonts w:ascii="Times New Roman" w:eastAsia="Times New Roman" w:hAnsi="Times New Roman" w:cs="Times New Roman"/>
          <w:sz w:val="24"/>
          <w:szCs w:val="24"/>
        </w:rPr>
        <w:t xml:space="preserve">include a range of governance and bank-level control variables, there is a possibility of unobserved endogeneity resulting in </w:t>
      </w:r>
      <w:r w:rsidRPr="00A9015F">
        <w:rPr>
          <w:rFonts w:ascii="Times New Roman" w:eastAsia="Times New Roman" w:hAnsi="Times New Roman" w:cs="Times New Roman"/>
          <w:sz w:val="24"/>
          <w:szCs w:val="24"/>
        </w:rPr>
        <w:t xml:space="preserve">a correlation between </w:t>
      </w:r>
      <w:r w:rsidR="00C023FF">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error term and independent director heterogeneity proxy. For example, firm complexity determines board characteristics (Hermalin and Weisbach, 1998); thus, more complex firms opt for more diverse boards (Coles et al., 2008). On the other hand, the literature suggests that more complex firms may be opaquer with a more disseminated management structure, which can increase the probability of committing misconduct (Arnaboldi et al., 2021). Similarly, </w:t>
      </w:r>
      <w:r w:rsidR="00C023FF">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bank's corporate culture </w:t>
      </w:r>
      <w:r w:rsidR="00C023FF">
        <w:rPr>
          <w:rFonts w:ascii="Times New Roman" w:eastAsia="Times New Roman" w:hAnsi="Times New Roman" w:cs="Times New Roman"/>
          <w:sz w:val="24"/>
          <w:szCs w:val="24"/>
        </w:rPr>
        <w:t xml:space="preserve">can also be a potential source for increasing the possibility of misconduct </w:t>
      </w:r>
      <w:r w:rsidRPr="00A9015F">
        <w:rPr>
          <w:rFonts w:ascii="Times New Roman" w:eastAsia="Times New Roman" w:hAnsi="Times New Roman" w:cs="Times New Roman"/>
          <w:sz w:val="24"/>
          <w:szCs w:val="24"/>
        </w:rPr>
        <w:t>(Nguyen et al., 2016)</w:t>
      </w:r>
      <w:r w:rsidR="00C023FF">
        <w:rPr>
          <w:rFonts w:ascii="Times New Roman" w:eastAsia="Times New Roman" w:hAnsi="Times New Roman" w:cs="Times New Roman"/>
          <w:sz w:val="24"/>
          <w:szCs w:val="24"/>
        </w:rPr>
        <w:t>. It</w:t>
      </w:r>
      <w:r w:rsidRPr="00A9015F">
        <w:rPr>
          <w:rFonts w:ascii="Times New Roman" w:eastAsia="Times New Roman" w:hAnsi="Times New Roman" w:cs="Times New Roman"/>
          <w:sz w:val="24"/>
          <w:szCs w:val="24"/>
        </w:rPr>
        <w:t xml:space="preserve"> may also encourage a specific type of director more suitable for that culture (Armani et al., 2018). On the other hand, directors might opt for </w:t>
      </w:r>
      <w:r w:rsidR="00C023FF">
        <w:rPr>
          <w:rFonts w:ascii="Times New Roman" w:eastAsia="Times New Roman" w:hAnsi="Times New Roman" w:cs="Times New Roman"/>
          <w:sz w:val="24"/>
          <w:szCs w:val="24"/>
        </w:rPr>
        <w:t>banks</w:t>
      </w:r>
      <w:r w:rsidRPr="00A9015F">
        <w:rPr>
          <w:rFonts w:ascii="Times New Roman" w:eastAsia="Times New Roman" w:hAnsi="Times New Roman" w:cs="Times New Roman"/>
          <w:sz w:val="24"/>
          <w:szCs w:val="24"/>
        </w:rPr>
        <w:t xml:space="preserve"> less prone to misconduct or may decide to leave when the probability of misconduct becomes high (Arnaboldi et al., 2021).</w:t>
      </w:r>
    </w:p>
    <w:p w14:paraId="3E0BBE47" w14:textId="45C5F028"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To avoid these endogeneity concerns, we use three approaches. First, we use lagged independent and control variables in our baseline model to handle the problem of reverse causality that can lead to biased results (Liu, 2018). Secondly, we </w:t>
      </w:r>
      <w:r w:rsidR="00C023FF">
        <w:rPr>
          <w:rFonts w:ascii="Times New Roman" w:eastAsia="Times New Roman" w:hAnsi="Times New Roman" w:cs="Times New Roman"/>
          <w:sz w:val="24"/>
          <w:szCs w:val="24"/>
        </w:rPr>
        <w:t xml:space="preserve">address the endogeneity concern </w:t>
      </w:r>
      <w:r w:rsidRPr="00A9015F">
        <w:rPr>
          <w:rFonts w:ascii="Times New Roman" w:eastAsia="Times New Roman" w:hAnsi="Times New Roman" w:cs="Times New Roman"/>
          <w:sz w:val="24"/>
          <w:szCs w:val="24"/>
        </w:rPr>
        <w:t xml:space="preserve">by </w:t>
      </w:r>
      <w:r w:rsidR="00C023FF" w:rsidRPr="00A9015F">
        <w:rPr>
          <w:rFonts w:ascii="Times New Roman" w:eastAsia="Times New Roman" w:hAnsi="Times New Roman" w:cs="Times New Roman"/>
          <w:sz w:val="24"/>
          <w:szCs w:val="24"/>
        </w:rPr>
        <w:t>implementing</w:t>
      </w:r>
      <w:r w:rsidRPr="00A9015F">
        <w:rPr>
          <w:rFonts w:ascii="Times New Roman" w:eastAsia="Times New Roman" w:hAnsi="Times New Roman" w:cs="Times New Roman"/>
          <w:sz w:val="24"/>
          <w:szCs w:val="24"/>
        </w:rPr>
        <w:t xml:space="preserve"> an instrumental variable approach. Prior literature </w:t>
      </w:r>
      <w:r w:rsidR="00C023FF" w:rsidRPr="00A9015F">
        <w:rPr>
          <w:rFonts w:ascii="Times New Roman" w:eastAsia="Times New Roman" w:hAnsi="Times New Roman" w:cs="Times New Roman"/>
          <w:sz w:val="24"/>
          <w:szCs w:val="24"/>
        </w:rPr>
        <w:t>indicates</w:t>
      </w:r>
      <w:r w:rsidRPr="00A9015F">
        <w:rPr>
          <w:rFonts w:ascii="Times New Roman" w:eastAsia="Times New Roman" w:hAnsi="Times New Roman" w:cs="Times New Roman"/>
          <w:sz w:val="24"/>
          <w:szCs w:val="24"/>
        </w:rPr>
        <w:t xml:space="preserve"> that board </w:t>
      </w:r>
      <w:r w:rsidR="00C023FF" w:rsidRPr="00A9015F">
        <w:rPr>
          <w:rFonts w:ascii="Times New Roman" w:eastAsia="Times New Roman" w:hAnsi="Times New Roman" w:cs="Times New Roman"/>
          <w:sz w:val="24"/>
          <w:szCs w:val="24"/>
        </w:rPr>
        <w:t>attributes</w:t>
      </w:r>
      <w:r w:rsidRPr="00A9015F">
        <w:rPr>
          <w:rFonts w:ascii="Times New Roman" w:eastAsia="Times New Roman" w:hAnsi="Times New Roman" w:cs="Times New Roman"/>
          <w:sz w:val="24"/>
          <w:szCs w:val="24"/>
        </w:rPr>
        <w:t xml:space="preserve"> can be effectively instrumented by a firm's geographical </w:t>
      </w:r>
      <w:r w:rsidR="00C023FF">
        <w:rPr>
          <w:rFonts w:ascii="Times New Roman" w:eastAsia="Times New Roman" w:hAnsi="Times New Roman" w:cs="Times New Roman"/>
          <w:sz w:val="24"/>
          <w:szCs w:val="24"/>
        </w:rPr>
        <w:t>characteristic</w:t>
      </w:r>
      <w:r w:rsidRPr="00A9015F">
        <w:rPr>
          <w:rFonts w:ascii="Times New Roman" w:eastAsia="Times New Roman" w:hAnsi="Times New Roman" w:cs="Times New Roman"/>
          <w:sz w:val="24"/>
          <w:szCs w:val="24"/>
        </w:rPr>
        <w:t>s</w:t>
      </w:r>
      <w:r w:rsidR="0063598B">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(Wahid, 2018). Hence</w:t>
      </w:r>
      <w:r w:rsidR="0063598B">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we chose the population of the bank headquarters city following Mollah et al.</w:t>
      </w:r>
      <w:r w:rsidR="0063598B">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(2021). Lastly, we use propensity score matching to handle the issue of sample selection bias. </w:t>
      </w:r>
    </w:p>
    <w:p w14:paraId="638F86A1" w14:textId="05720C22"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begin our analysis by showing the trend of bank misconduct and INED heterogeneity over our sample period. </w:t>
      </w:r>
      <w:r w:rsidRPr="00A9015F">
        <w:rPr>
          <w:rFonts w:ascii="Times New Roman" w:eastAsia="Times New Roman" w:hAnsi="Times New Roman" w:cs="Times New Roman"/>
          <w:i/>
          <w:iCs/>
          <w:sz w:val="24"/>
          <w:szCs w:val="24"/>
        </w:rPr>
        <w:t xml:space="preserve">Figure </w:t>
      </w:r>
      <w:r w:rsidR="000463F4">
        <w:rPr>
          <w:rFonts w:ascii="Times New Roman" w:eastAsia="Times New Roman" w:hAnsi="Times New Roman" w:cs="Times New Roman"/>
          <w:i/>
          <w:iCs/>
          <w:sz w:val="24"/>
          <w:szCs w:val="24"/>
        </w:rPr>
        <w:t>10</w:t>
      </w:r>
      <w:r w:rsidRPr="00A9015F">
        <w:rPr>
          <w:rFonts w:ascii="Times New Roman" w:eastAsia="Times New Roman" w:hAnsi="Times New Roman" w:cs="Times New Roman"/>
          <w:sz w:val="24"/>
          <w:szCs w:val="24"/>
        </w:rPr>
        <w:t xml:space="preserve"> shows that INED heterogeneity has increased over the years. </w:t>
      </w:r>
      <w:r w:rsidRPr="00A9015F">
        <w:rPr>
          <w:rFonts w:ascii="Times New Roman" w:eastAsia="Times New Roman" w:hAnsi="Times New Roman" w:cs="Times New Roman"/>
          <w:i/>
          <w:iCs/>
          <w:sz w:val="24"/>
          <w:szCs w:val="24"/>
        </w:rPr>
        <w:t>Figure</w:t>
      </w:r>
      <w:r w:rsidR="00963CA8">
        <w:rPr>
          <w:rFonts w:ascii="Times New Roman" w:eastAsia="Times New Roman" w:hAnsi="Times New Roman" w:cs="Times New Roman"/>
          <w:i/>
          <w:iCs/>
          <w:sz w:val="24"/>
          <w:szCs w:val="24"/>
        </w:rPr>
        <w:t xml:space="preserve"> </w:t>
      </w:r>
      <w:r w:rsidR="000463F4">
        <w:rPr>
          <w:rFonts w:ascii="Times New Roman" w:eastAsia="Times New Roman" w:hAnsi="Times New Roman" w:cs="Times New Roman"/>
          <w:i/>
          <w:iCs/>
          <w:sz w:val="24"/>
          <w:szCs w:val="24"/>
        </w:rPr>
        <w:t xml:space="preserve">11 </w:t>
      </w:r>
      <w:r w:rsidRPr="00A9015F">
        <w:rPr>
          <w:rFonts w:ascii="Times New Roman" w:eastAsia="Times New Roman" w:hAnsi="Times New Roman" w:cs="Times New Roman"/>
          <w:sz w:val="24"/>
          <w:szCs w:val="24"/>
        </w:rPr>
        <w:t>shows that although the number of bank misconducts has remained the same, the penalty amount has been high even after the financial crisis of 2008-2009. We further break</w:t>
      </w:r>
      <w:r w:rsidR="00C023F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down the misconduct data </w:t>
      </w:r>
      <w:r w:rsidR="00C023FF">
        <w:rPr>
          <w:rFonts w:ascii="Times New Roman" w:eastAsia="Times New Roman" w:hAnsi="Times New Roman" w:cs="Times New Roman"/>
          <w:sz w:val="24"/>
          <w:szCs w:val="24"/>
        </w:rPr>
        <w:t xml:space="preserve">into the following violations </w:t>
      </w:r>
      <w:r w:rsidRPr="00A9015F">
        <w:rPr>
          <w:rFonts w:ascii="Times New Roman" w:eastAsia="Times New Roman" w:hAnsi="Times New Roman" w:cs="Times New Roman"/>
          <w:sz w:val="24"/>
          <w:szCs w:val="24"/>
        </w:rPr>
        <w:t>as i) Banking ii) Economic iii) Market</w:t>
      </w:r>
      <w:r w:rsidR="00C023FF">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and iv) Administrative. A detailed definition of these violation</w:t>
      </w:r>
      <w:r w:rsidR="00C023FF">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is given in the Appendix</w:t>
      </w:r>
      <w:r w:rsidR="00D07445">
        <w:rPr>
          <w:rFonts w:ascii="Times New Roman" w:eastAsia="Times New Roman" w:hAnsi="Times New Roman" w:cs="Times New Roman"/>
          <w:sz w:val="24"/>
          <w:szCs w:val="24"/>
        </w:rPr>
        <w:t xml:space="preserve"> B</w:t>
      </w:r>
      <w:r w:rsidRPr="00A9015F">
        <w:rPr>
          <w:rFonts w:ascii="Times New Roman" w:eastAsia="Times New Roman" w:hAnsi="Times New Roman" w:cs="Times New Roman"/>
          <w:sz w:val="24"/>
          <w:szCs w:val="24"/>
        </w:rPr>
        <w:t xml:space="preserve">. We report the results in Table </w:t>
      </w:r>
      <w:r w:rsidR="005339DD">
        <w:rPr>
          <w:rFonts w:ascii="Times New Roman" w:eastAsia="Times New Roman" w:hAnsi="Times New Roman" w:cs="Times New Roman"/>
          <w:sz w:val="24"/>
          <w:szCs w:val="24"/>
        </w:rPr>
        <w:t>5.</w:t>
      </w:r>
      <w:r w:rsidRPr="00A9015F">
        <w:rPr>
          <w:rFonts w:ascii="Times New Roman" w:eastAsia="Times New Roman" w:hAnsi="Times New Roman" w:cs="Times New Roman"/>
          <w:sz w:val="24"/>
          <w:szCs w:val="24"/>
        </w:rPr>
        <w:t>1. It is evident from Table</w:t>
      </w:r>
      <w:r w:rsidR="00C023FF">
        <w:rPr>
          <w:rFonts w:ascii="Times New Roman" w:eastAsia="Times New Roman" w:hAnsi="Times New Roman" w:cs="Times New Roman"/>
          <w:sz w:val="24"/>
          <w:szCs w:val="24"/>
        </w:rPr>
        <w:t xml:space="preserve"> </w:t>
      </w:r>
      <w:r w:rsidR="00D07445">
        <w:rPr>
          <w:rFonts w:ascii="Times New Roman" w:eastAsia="Times New Roman" w:hAnsi="Times New Roman" w:cs="Times New Roman"/>
          <w:sz w:val="24"/>
          <w:szCs w:val="24"/>
        </w:rPr>
        <w:t>5.</w:t>
      </w:r>
      <w:r w:rsidRPr="00A9015F">
        <w:rPr>
          <w:rFonts w:ascii="Times New Roman" w:eastAsia="Times New Roman" w:hAnsi="Times New Roman" w:cs="Times New Roman"/>
          <w:sz w:val="24"/>
          <w:szCs w:val="24"/>
        </w:rPr>
        <w:t>1 that bank misconduct has been increasing even after the financial crisis</w:t>
      </w:r>
      <w:r w:rsidR="00C023FF">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with maximum misconduct recorded in 2015. The trend over the year shows that administrative violations are the highest over the sample period, followed by market and banking violation</w:t>
      </w:r>
      <w:r w:rsidR="00C023FF">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Despite market violation</w:t>
      </w:r>
      <w:r w:rsidR="00C023FF">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being less </w:t>
      </w:r>
      <w:r w:rsidR="00C023FF">
        <w:rPr>
          <w:rFonts w:ascii="Times New Roman" w:eastAsia="Times New Roman" w:hAnsi="Times New Roman" w:cs="Times New Roman"/>
          <w:sz w:val="24"/>
          <w:szCs w:val="24"/>
        </w:rPr>
        <w:t>than administrative violations,</w:t>
      </w:r>
      <w:r w:rsidRPr="00A9015F">
        <w:rPr>
          <w:rFonts w:ascii="Times New Roman" w:eastAsia="Times New Roman" w:hAnsi="Times New Roman" w:cs="Times New Roman"/>
          <w:sz w:val="24"/>
          <w:szCs w:val="24"/>
        </w:rPr>
        <w:t xml:space="preserve"> they contribute </w:t>
      </w:r>
      <w:r w:rsidR="00C023FF">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maximum towards the bank misconduct in monetary form over the sample period. We report the finding in Figure </w:t>
      </w:r>
      <w:r w:rsidR="00F037AE">
        <w:rPr>
          <w:rFonts w:ascii="Times New Roman" w:eastAsia="Times New Roman" w:hAnsi="Times New Roman" w:cs="Times New Roman"/>
          <w:sz w:val="24"/>
          <w:szCs w:val="24"/>
        </w:rPr>
        <w:t>8</w:t>
      </w:r>
    </w:p>
    <w:p w14:paraId="142CAA5A" w14:textId="5A63B2DE" w:rsidR="00A9015F" w:rsidRPr="00A9015F"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[Insert Figure </w:t>
      </w:r>
      <w:r w:rsidR="000463F4">
        <w:rPr>
          <w:rFonts w:ascii="Times New Roman" w:eastAsia="Times New Roman" w:hAnsi="Times New Roman" w:cs="Times New Roman"/>
          <w:i/>
          <w:iCs/>
          <w:sz w:val="24"/>
          <w:szCs w:val="24"/>
        </w:rPr>
        <w:t>10</w:t>
      </w:r>
      <w:r w:rsidR="00071AF6">
        <w:rPr>
          <w:rFonts w:ascii="Times New Roman" w:eastAsia="Times New Roman" w:hAnsi="Times New Roman" w:cs="Times New Roman"/>
          <w:i/>
          <w:iCs/>
          <w:sz w:val="24"/>
          <w:szCs w:val="24"/>
        </w:rPr>
        <w:t xml:space="preserve">, </w:t>
      </w:r>
      <w:r w:rsidRPr="00A9015F">
        <w:rPr>
          <w:rFonts w:ascii="Times New Roman" w:eastAsia="Times New Roman" w:hAnsi="Times New Roman" w:cs="Times New Roman"/>
          <w:i/>
          <w:iCs/>
          <w:sz w:val="24"/>
          <w:szCs w:val="24"/>
        </w:rPr>
        <w:t xml:space="preserve"> Figure </w:t>
      </w:r>
      <w:r w:rsidR="000463F4">
        <w:rPr>
          <w:rFonts w:ascii="Times New Roman" w:eastAsia="Times New Roman" w:hAnsi="Times New Roman" w:cs="Times New Roman"/>
          <w:i/>
          <w:iCs/>
          <w:sz w:val="24"/>
          <w:szCs w:val="24"/>
        </w:rPr>
        <w:t>11</w:t>
      </w:r>
      <w:r w:rsidR="00071AF6">
        <w:rPr>
          <w:rFonts w:ascii="Times New Roman" w:eastAsia="Times New Roman" w:hAnsi="Times New Roman" w:cs="Times New Roman"/>
          <w:i/>
          <w:iCs/>
          <w:sz w:val="24"/>
          <w:szCs w:val="24"/>
        </w:rPr>
        <w:t xml:space="preserve">, </w:t>
      </w:r>
      <w:r w:rsidRPr="00A9015F">
        <w:rPr>
          <w:rFonts w:ascii="Times New Roman" w:eastAsia="Times New Roman" w:hAnsi="Times New Roman" w:cs="Times New Roman"/>
          <w:i/>
          <w:iCs/>
          <w:sz w:val="24"/>
          <w:szCs w:val="24"/>
        </w:rPr>
        <w:t xml:space="preserve">Figure </w:t>
      </w:r>
      <w:r w:rsidR="000463F4">
        <w:rPr>
          <w:rFonts w:ascii="Times New Roman" w:eastAsia="Times New Roman" w:hAnsi="Times New Roman" w:cs="Times New Roman"/>
          <w:i/>
          <w:iCs/>
          <w:sz w:val="24"/>
          <w:szCs w:val="24"/>
        </w:rPr>
        <w:t>12</w:t>
      </w:r>
      <w:r w:rsidR="00071AF6">
        <w:rPr>
          <w:rFonts w:ascii="Times New Roman" w:eastAsia="Times New Roman" w:hAnsi="Times New Roman" w:cs="Times New Roman"/>
          <w:i/>
          <w:iCs/>
          <w:sz w:val="24"/>
          <w:szCs w:val="24"/>
        </w:rPr>
        <w:t xml:space="preserve"> and </w:t>
      </w:r>
      <w:r w:rsidRPr="00A9015F">
        <w:rPr>
          <w:rFonts w:ascii="Times New Roman" w:eastAsia="Times New Roman" w:hAnsi="Times New Roman" w:cs="Times New Roman"/>
          <w:i/>
          <w:iCs/>
          <w:sz w:val="24"/>
          <w:szCs w:val="24"/>
        </w:rPr>
        <w:t xml:space="preserve"> Table </w:t>
      </w:r>
      <w:r w:rsidR="00205250">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1</w:t>
      </w:r>
      <w:r w:rsidR="00071AF6">
        <w:rPr>
          <w:rFonts w:ascii="Times New Roman" w:eastAsia="Times New Roman" w:hAnsi="Times New Roman" w:cs="Times New Roman"/>
          <w:i/>
          <w:iCs/>
          <w:sz w:val="24"/>
          <w:szCs w:val="24"/>
        </w:rPr>
        <w:t xml:space="preserve"> </w:t>
      </w:r>
      <w:r w:rsidRPr="00A9015F">
        <w:rPr>
          <w:rFonts w:ascii="Times New Roman" w:eastAsia="Times New Roman" w:hAnsi="Times New Roman" w:cs="Times New Roman"/>
          <w:i/>
          <w:iCs/>
          <w:sz w:val="24"/>
          <w:szCs w:val="24"/>
        </w:rPr>
        <w:t>here]</w:t>
      </w:r>
    </w:p>
    <w:p w14:paraId="10900CB3" w14:textId="77777777" w:rsidR="00A9015F" w:rsidRPr="00A9015F" w:rsidRDefault="00A9015F" w:rsidP="00A9015F">
      <w:pPr>
        <w:spacing w:line="480" w:lineRule="auto"/>
        <w:jc w:val="center"/>
        <w:rPr>
          <w:rFonts w:ascii="Times New Roman" w:eastAsia="Times New Roman" w:hAnsi="Times New Roman" w:cs="Times New Roman"/>
          <w:i/>
          <w:iCs/>
          <w:sz w:val="24"/>
          <w:szCs w:val="24"/>
        </w:rPr>
      </w:pPr>
    </w:p>
    <w:p w14:paraId="0143E5E1" w14:textId="087E3A34"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Table </w:t>
      </w:r>
      <w:r w:rsidR="005339DD">
        <w:rPr>
          <w:rFonts w:ascii="Times New Roman" w:eastAsia="Times New Roman" w:hAnsi="Times New Roman" w:cs="Times New Roman"/>
          <w:sz w:val="24"/>
          <w:szCs w:val="24"/>
        </w:rPr>
        <w:t>5.</w:t>
      </w:r>
      <w:r w:rsidRPr="00A9015F">
        <w:rPr>
          <w:rFonts w:ascii="Times New Roman" w:eastAsia="Times New Roman" w:hAnsi="Times New Roman" w:cs="Times New Roman"/>
          <w:sz w:val="24"/>
          <w:szCs w:val="24"/>
        </w:rPr>
        <w:t xml:space="preserve">2 presents summary statistics for our variables. The table reports the </w:t>
      </w:r>
      <w:r w:rsidR="00C023FF">
        <w:rPr>
          <w:rFonts w:ascii="Times New Roman" w:eastAsia="Times New Roman" w:hAnsi="Times New Roman" w:cs="Times New Roman"/>
          <w:sz w:val="24"/>
          <w:szCs w:val="24"/>
        </w:rPr>
        <w:t xml:space="preserve">descriptive statistics </w:t>
      </w:r>
      <w:r w:rsidRPr="00A9015F">
        <w:rPr>
          <w:rFonts w:ascii="Times New Roman" w:eastAsia="Times New Roman" w:hAnsi="Times New Roman" w:cs="Times New Roman"/>
          <w:sz w:val="24"/>
          <w:szCs w:val="24"/>
        </w:rPr>
        <w:t xml:space="preserve">of the variables used in this study. The mean (median) of the INED is 0.8164 (0.8165). The mean (median) values of INED gender heterogeneity are 0.2580(0.2777); INED financial expertise heterogeneity </w:t>
      </w:r>
      <w:r w:rsidR="00C023FF">
        <w:rPr>
          <w:rFonts w:ascii="Times New Roman" w:eastAsia="Times New Roman" w:hAnsi="Times New Roman" w:cs="Times New Roman"/>
          <w:sz w:val="24"/>
          <w:szCs w:val="24"/>
        </w:rPr>
        <w:t xml:space="preserve">is </w:t>
      </w:r>
      <w:r w:rsidRPr="00A9015F">
        <w:rPr>
          <w:rFonts w:ascii="Times New Roman" w:eastAsia="Times New Roman" w:hAnsi="Times New Roman" w:cs="Times New Roman"/>
          <w:sz w:val="24"/>
          <w:szCs w:val="24"/>
        </w:rPr>
        <w:t xml:space="preserve">0.2968(0.2975); INED tenure heterogeneity 3.5568 (3.6481); and the INED heterogeneity index is 0.0447 (0.1191). These </w:t>
      </w:r>
      <w:r w:rsidR="00C023FF" w:rsidRPr="00A9015F">
        <w:rPr>
          <w:rFonts w:ascii="Times New Roman" w:eastAsia="Times New Roman" w:hAnsi="Times New Roman" w:cs="Times New Roman"/>
          <w:sz w:val="24"/>
          <w:szCs w:val="24"/>
        </w:rPr>
        <w:t>estimates</w:t>
      </w:r>
      <w:r w:rsidRPr="00A9015F">
        <w:rPr>
          <w:rFonts w:ascii="Times New Roman" w:eastAsia="Times New Roman" w:hAnsi="Times New Roman" w:cs="Times New Roman"/>
          <w:sz w:val="24"/>
          <w:szCs w:val="24"/>
        </w:rPr>
        <w:t xml:space="preserve"> are </w:t>
      </w:r>
      <w:r w:rsidR="00C023FF">
        <w:rPr>
          <w:rFonts w:ascii="Times New Roman" w:eastAsia="Times New Roman" w:hAnsi="Times New Roman" w:cs="Times New Roman"/>
          <w:sz w:val="24"/>
          <w:szCs w:val="24"/>
        </w:rPr>
        <w:t>comparable</w:t>
      </w:r>
      <w:r w:rsidRPr="00A9015F">
        <w:rPr>
          <w:rFonts w:ascii="Times New Roman" w:eastAsia="Times New Roman" w:hAnsi="Times New Roman" w:cs="Times New Roman"/>
          <w:sz w:val="24"/>
          <w:szCs w:val="24"/>
        </w:rPr>
        <w:t xml:space="preserve"> with relevant studies, such as Mollah et al. </w:t>
      </w:r>
      <w:r w:rsidRPr="009E69CE">
        <w:rPr>
          <w:rFonts w:ascii="Times New Roman" w:eastAsia="Times New Roman" w:hAnsi="Times New Roman" w:cs="Times New Roman"/>
          <w:sz w:val="24"/>
          <w:szCs w:val="24"/>
          <w:lang w:val="fr-FR"/>
        </w:rPr>
        <w:t xml:space="preserve">(2021), Radu and Samili (2021), Minton et al. (2014), Bernie et al. (2018) and Nguyen et al. </w:t>
      </w:r>
      <w:r w:rsidRPr="00A9015F">
        <w:rPr>
          <w:rFonts w:ascii="Times New Roman" w:eastAsia="Times New Roman" w:hAnsi="Times New Roman" w:cs="Times New Roman"/>
          <w:sz w:val="24"/>
          <w:szCs w:val="24"/>
        </w:rPr>
        <w:t>(2016). The proxies for bank misconduct and control variables are approximately similar to studies in the relevant literature (Arnaboldi et al., 2021; Zaman et al., 2021; Mollah et al., 2021; Jain and Zaman, 2020; Nguyen et al., 2016; Cumming et al., 2015)</w:t>
      </w:r>
    </w:p>
    <w:p w14:paraId="24D69AB8" w14:textId="4A15ECC3" w:rsidR="00A9015F" w:rsidRPr="00A9015F"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 Insert Table </w:t>
      </w:r>
      <w:r w:rsidR="005339DD">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2 here]</w:t>
      </w:r>
    </w:p>
    <w:p w14:paraId="57FA3E3D" w14:textId="02AE8591" w:rsidR="00071AF6"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A correlation matrix of the main variables used in our models is presented in Appendix </w:t>
      </w:r>
      <w:r w:rsidR="00D07445">
        <w:rPr>
          <w:rFonts w:ascii="Times New Roman" w:eastAsia="Times New Roman" w:hAnsi="Times New Roman" w:cs="Times New Roman"/>
          <w:sz w:val="24"/>
          <w:szCs w:val="24"/>
        </w:rPr>
        <w:t>C</w:t>
      </w:r>
      <w:r w:rsidRPr="00A9015F">
        <w:rPr>
          <w:rFonts w:ascii="Times New Roman" w:eastAsia="Times New Roman" w:hAnsi="Times New Roman" w:cs="Times New Roman"/>
          <w:sz w:val="24"/>
          <w:szCs w:val="24"/>
        </w:rPr>
        <w:t xml:space="preserve">. Previous literature suggests that the absolute correlation coefficient value of 0.7 and above signifies the problem of multicollinearity (Talavera et al., 2018). Since the correlation coefficient among our variables is less than 0.7, thus there is no evidence of multicollinearity. </w:t>
      </w:r>
    </w:p>
    <w:p w14:paraId="7CEBC095" w14:textId="77777777" w:rsidR="00071AF6" w:rsidRDefault="00071AF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0DE813" w14:textId="77777777" w:rsidR="00A9015F" w:rsidRPr="00A9015F" w:rsidRDefault="00A9015F" w:rsidP="00A9015F">
      <w:pPr>
        <w:spacing w:line="480" w:lineRule="auto"/>
        <w:jc w:val="both"/>
        <w:rPr>
          <w:rFonts w:ascii="Times New Roman" w:eastAsia="Times New Roman" w:hAnsi="Times New Roman" w:cs="Times New Roman"/>
          <w:sz w:val="24"/>
          <w:szCs w:val="24"/>
        </w:rPr>
      </w:pPr>
    </w:p>
    <w:p w14:paraId="363294BF" w14:textId="6287E5D3" w:rsidR="00A9015F" w:rsidRDefault="00963CA8" w:rsidP="00963CA8">
      <w:pPr>
        <w:pStyle w:val="Heading2"/>
      </w:pPr>
      <w:bookmarkStart w:id="151" w:name="_Toc145616221"/>
      <w:r>
        <w:t>5.5</w:t>
      </w:r>
      <w:r w:rsidR="00A9015F" w:rsidRPr="00A9015F">
        <w:t>. Empirical Analysis</w:t>
      </w:r>
      <w:bookmarkEnd w:id="151"/>
    </w:p>
    <w:p w14:paraId="509792E9" w14:textId="77777777" w:rsidR="00963CA8" w:rsidRPr="00963CA8" w:rsidRDefault="00963CA8" w:rsidP="00963CA8"/>
    <w:p w14:paraId="4D8138CE" w14:textId="756CCB2C" w:rsidR="00A9015F" w:rsidRDefault="00963CA8" w:rsidP="00963CA8">
      <w:pPr>
        <w:pStyle w:val="Heading3"/>
        <w:rPr>
          <w:rFonts w:ascii="Times New Roman" w:hAnsi="Times New Roman" w:cs="Times New Roman"/>
          <w:b/>
          <w:bCs/>
          <w:color w:val="000000" w:themeColor="text1"/>
        </w:rPr>
      </w:pPr>
      <w:bookmarkStart w:id="152" w:name="_Toc145616222"/>
      <w:r w:rsidRPr="00963CA8">
        <w:rPr>
          <w:rFonts w:ascii="Times New Roman" w:hAnsi="Times New Roman" w:cs="Times New Roman"/>
          <w:b/>
          <w:bCs/>
          <w:color w:val="000000" w:themeColor="text1"/>
        </w:rPr>
        <w:t>5.5</w:t>
      </w:r>
      <w:r w:rsidR="00A9015F" w:rsidRPr="00963CA8">
        <w:rPr>
          <w:rFonts w:ascii="Times New Roman" w:hAnsi="Times New Roman" w:cs="Times New Roman"/>
          <w:b/>
          <w:bCs/>
          <w:color w:val="000000" w:themeColor="text1"/>
        </w:rPr>
        <w:t>.1 Heterogeneity in the Independent Director Attributes and Bank Misconduct – Baseline Results</w:t>
      </w:r>
      <w:bookmarkEnd w:id="152"/>
    </w:p>
    <w:p w14:paraId="1E276775" w14:textId="77777777" w:rsidR="00963CA8" w:rsidRPr="00963CA8" w:rsidRDefault="00963CA8" w:rsidP="00963CA8"/>
    <w:p w14:paraId="716D135F" w14:textId="7DAE9869" w:rsidR="00A9015F" w:rsidRPr="00963CA8" w:rsidRDefault="00A9015F" w:rsidP="00A9015F">
      <w:pPr>
        <w:spacing w:line="480" w:lineRule="auto"/>
        <w:jc w:val="both"/>
        <w:rPr>
          <w:rFonts w:ascii="Times New Roman" w:eastAsia="Times New Roman" w:hAnsi="Times New Roman" w:cs="Times New Roman"/>
          <w:i/>
          <w:iCs/>
          <w:sz w:val="24"/>
          <w:szCs w:val="24"/>
        </w:rPr>
      </w:pPr>
      <w:r w:rsidRPr="00A9015F">
        <w:rPr>
          <w:rFonts w:ascii="Times New Roman" w:eastAsia="Times New Roman" w:hAnsi="Times New Roman" w:cs="Times New Roman"/>
          <w:sz w:val="24"/>
          <w:szCs w:val="24"/>
        </w:rPr>
        <w:t xml:space="preserve">Following the arguments of Hambrick et al. (2015), Gorshunov et al. (2021), Mollah et al. (2021) and Zaman et al. (2021), we </w:t>
      </w:r>
      <w:r w:rsidR="00C023FF" w:rsidRPr="00A9015F">
        <w:rPr>
          <w:rFonts w:ascii="Times New Roman" w:eastAsia="Times New Roman" w:hAnsi="Times New Roman" w:cs="Times New Roman"/>
          <w:sz w:val="24"/>
          <w:szCs w:val="24"/>
        </w:rPr>
        <w:t>investigate</w:t>
      </w:r>
      <w:r w:rsidRPr="00A9015F">
        <w:rPr>
          <w:rFonts w:ascii="Times New Roman" w:eastAsia="Times New Roman" w:hAnsi="Times New Roman" w:cs="Times New Roman"/>
          <w:sz w:val="24"/>
          <w:szCs w:val="24"/>
        </w:rPr>
        <w:t xml:space="preserve"> </w:t>
      </w:r>
      <w:r w:rsidR="00C023FF">
        <w:rPr>
          <w:rFonts w:ascii="Times New Roman" w:eastAsia="Times New Roman" w:hAnsi="Times New Roman" w:cs="Times New Roman"/>
          <w:sz w:val="24"/>
          <w:szCs w:val="24"/>
        </w:rPr>
        <w:t>if</w:t>
      </w:r>
      <w:r w:rsidRPr="00A9015F">
        <w:rPr>
          <w:rFonts w:ascii="Times New Roman" w:eastAsia="Times New Roman" w:hAnsi="Times New Roman" w:cs="Times New Roman"/>
          <w:sz w:val="24"/>
          <w:szCs w:val="24"/>
        </w:rPr>
        <w:t xml:space="preserve"> </w:t>
      </w:r>
      <w:r w:rsidR="00C023F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INEDs' attributes</w:t>
      </w:r>
      <w:r w:rsidR="00C023FF">
        <w:rPr>
          <w:rFonts w:ascii="Times New Roman" w:eastAsia="Times New Roman" w:hAnsi="Times New Roman" w:cs="Times New Roman"/>
          <w:sz w:val="24"/>
          <w:szCs w:val="24"/>
        </w:rPr>
        <w:t xml:space="preserve"> heterogeneity</w:t>
      </w:r>
      <w:r w:rsidRPr="00A9015F">
        <w:rPr>
          <w:rFonts w:ascii="Times New Roman" w:eastAsia="Times New Roman" w:hAnsi="Times New Roman" w:cs="Times New Roman"/>
          <w:sz w:val="24"/>
          <w:szCs w:val="24"/>
        </w:rPr>
        <w:t xml:space="preserve"> </w:t>
      </w:r>
      <w:r w:rsidR="00C023FF" w:rsidRPr="00A9015F">
        <w:rPr>
          <w:rFonts w:ascii="Times New Roman" w:eastAsia="Times New Roman" w:hAnsi="Times New Roman" w:cs="Times New Roman"/>
          <w:sz w:val="24"/>
          <w:szCs w:val="24"/>
        </w:rPr>
        <w:t>influences</w:t>
      </w:r>
      <w:r w:rsidRPr="00A9015F">
        <w:rPr>
          <w:rFonts w:ascii="Times New Roman" w:eastAsia="Times New Roman" w:hAnsi="Times New Roman" w:cs="Times New Roman"/>
          <w:sz w:val="24"/>
          <w:szCs w:val="24"/>
        </w:rPr>
        <w:t xml:space="preserve"> bank misconduct. </w:t>
      </w:r>
      <w:r w:rsidR="00C023FF">
        <w:rPr>
          <w:rFonts w:ascii="Times New Roman" w:eastAsia="Times New Roman" w:hAnsi="Times New Roman" w:cs="Times New Roman"/>
          <w:sz w:val="24"/>
          <w:szCs w:val="24"/>
        </w:rPr>
        <w:t>O</w:t>
      </w:r>
      <w:r w:rsidRPr="00A9015F">
        <w:rPr>
          <w:rFonts w:ascii="Times New Roman" w:eastAsia="Times New Roman" w:hAnsi="Times New Roman" w:cs="Times New Roman"/>
          <w:sz w:val="24"/>
          <w:szCs w:val="24"/>
        </w:rPr>
        <w:t xml:space="preserve">ur analysis </w:t>
      </w:r>
      <w:r w:rsidR="00C023FF">
        <w:rPr>
          <w:rFonts w:ascii="Times New Roman" w:eastAsia="Times New Roman" w:hAnsi="Times New Roman" w:cs="Times New Roman"/>
          <w:sz w:val="24"/>
          <w:szCs w:val="24"/>
        </w:rPr>
        <w:t xml:space="preserve">begins </w:t>
      </w:r>
      <w:r w:rsidRPr="00A9015F">
        <w:rPr>
          <w:rFonts w:ascii="Times New Roman" w:eastAsia="Times New Roman" w:hAnsi="Times New Roman" w:cs="Times New Roman"/>
          <w:sz w:val="24"/>
          <w:szCs w:val="24"/>
        </w:rPr>
        <w:t xml:space="preserve">by exploring the relationship </w:t>
      </w:r>
      <w:r w:rsidR="00C023FF" w:rsidRPr="00A9015F">
        <w:rPr>
          <w:rFonts w:ascii="Times New Roman" w:eastAsia="Times New Roman" w:hAnsi="Times New Roman" w:cs="Times New Roman"/>
          <w:sz w:val="24"/>
          <w:szCs w:val="24"/>
        </w:rPr>
        <w:t>among</w:t>
      </w:r>
      <w:r w:rsidRPr="00A9015F">
        <w:rPr>
          <w:rFonts w:ascii="Times New Roman" w:eastAsia="Times New Roman" w:hAnsi="Times New Roman" w:cs="Times New Roman"/>
          <w:sz w:val="24"/>
          <w:szCs w:val="24"/>
        </w:rPr>
        <w:t xml:space="preserve"> the </w:t>
      </w:r>
      <w:r w:rsidR="00C023FF" w:rsidRPr="00A9015F">
        <w:rPr>
          <w:rFonts w:ascii="Times New Roman" w:eastAsia="Times New Roman" w:hAnsi="Times New Roman" w:cs="Times New Roman"/>
          <w:sz w:val="24"/>
          <w:szCs w:val="24"/>
        </w:rPr>
        <w:t>percentage</w:t>
      </w:r>
      <w:r w:rsidRPr="00A9015F">
        <w:rPr>
          <w:rFonts w:ascii="Times New Roman" w:eastAsia="Times New Roman" w:hAnsi="Times New Roman" w:cs="Times New Roman"/>
          <w:sz w:val="24"/>
          <w:szCs w:val="24"/>
        </w:rPr>
        <w:t xml:space="preserve"> of independent directors, INEDs' </w:t>
      </w:r>
      <w:r w:rsidR="00C023FF">
        <w:rPr>
          <w:rFonts w:ascii="Times New Roman" w:eastAsia="Times New Roman" w:hAnsi="Times New Roman" w:cs="Times New Roman"/>
          <w:sz w:val="24"/>
          <w:szCs w:val="24"/>
        </w:rPr>
        <w:t xml:space="preserve">heterogeneity in gender, financial expertise, tenure </w:t>
      </w:r>
      <w:r w:rsidRPr="00A9015F">
        <w:rPr>
          <w:rFonts w:ascii="Times New Roman" w:eastAsia="Times New Roman" w:hAnsi="Times New Roman" w:cs="Times New Roman"/>
          <w:sz w:val="24"/>
          <w:szCs w:val="24"/>
        </w:rPr>
        <w:t xml:space="preserve">and bank misconduct. We use Equation (1) to test the relationship mentioned above. We follow Zaman et al. (2021) and use a natural log of the total amount of fine ($) </w:t>
      </w:r>
      <w:r w:rsidR="00C023FF" w:rsidRPr="00A9015F">
        <w:rPr>
          <w:rFonts w:ascii="Times New Roman" w:eastAsia="Times New Roman" w:hAnsi="Times New Roman" w:cs="Times New Roman"/>
          <w:sz w:val="24"/>
          <w:szCs w:val="24"/>
        </w:rPr>
        <w:t>levied</w:t>
      </w:r>
      <w:r w:rsidRPr="00A9015F">
        <w:rPr>
          <w:rFonts w:ascii="Times New Roman" w:eastAsia="Times New Roman" w:hAnsi="Times New Roman" w:cs="Times New Roman"/>
          <w:sz w:val="24"/>
          <w:szCs w:val="24"/>
        </w:rPr>
        <w:t xml:space="preserve"> on a bank </w:t>
      </w:r>
      <w:r w:rsidR="00C023FF">
        <w:rPr>
          <w:rFonts w:ascii="Times New Roman" w:eastAsia="Times New Roman" w:hAnsi="Times New Roman" w:cs="Times New Roman"/>
          <w:sz w:val="24"/>
          <w:szCs w:val="24"/>
        </w:rPr>
        <w:t>that</w:t>
      </w:r>
      <w:r w:rsidRPr="00A9015F">
        <w:rPr>
          <w:rFonts w:ascii="Times New Roman" w:eastAsia="Times New Roman" w:hAnsi="Times New Roman" w:cs="Times New Roman"/>
          <w:sz w:val="24"/>
          <w:szCs w:val="24"/>
        </w:rPr>
        <w:t xml:space="preserve"> year. We take lag values of independent and control variables to control for reverse causality. The results are reported in </w:t>
      </w:r>
      <w:r w:rsidRPr="00963CA8">
        <w:rPr>
          <w:rFonts w:ascii="Times New Roman" w:eastAsia="Times New Roman" w:hAnsi="Times New Roman" w:cs="Times New Roman"/>
          <w:i/>
          <w:iCs/>
          <w:sz w:val="24"/>
          <w:szCs w:val="24"/>
        </w:rPr>
        <w:t xml:space="preserve">Table </w:t>
      </w:r>
      <w:r w:rsidR="005339DD" w:rsidRPr="00963CA8">
        <w:rPr>
          <w:rFonts w:ascii="Times New Roman" w:eastAsia="Times New Roman" w:hAnsi="Times New Roman" w:cs="Times New Roman"/>
          <w:i/>
          <w:iCs/>
          <w:sz w:val="24"/>
          <w:szCs w:val="24"/>
        </w:rPr>
        <w:t>5.</w:t>
      </w:r>
      <w:r w:rsidRPr="00963CA8">
        <w:rPr>
          <w:rFonts w:ascii="Times New Roman" w:eastAsia="Times New Roman" w:hAnsi="Times New Roman" w:cs="Times New Roman"/>
          <w:i/>
          <w:iCs/>
          <w:sz w:val="24"/>
          <w:szCs w:val="24"/>
        </w:rPr>
        <w:t xml:space="preserve">3. </w:t>
      </w:r>
    </w:p>
    <w:p w14:paraId="008D09DE" w14:textId="626EFAEB"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In </w:t>
      </w:r>
      <w:r w:rsidRPr="00963CA8">
        <w:rPr>
          <w:rFonts w:ascii="Times New Roman" w:eastAsia="Times New Roman" w:hAnsi="Times New Roman" w:cs="Times New Roman"/>
          <w:i/>
          <w:iCs/>
          <w:sz w:val="24"/>
          <w:szCs w:val="24"/>
        </w:rPr>
        <w:t xml:space="preserve">Table </w:t>
      </w:r>
      <w:r w:rsidR="005339DD" w:rsidRPr="00963CA8">
        <w:rPr>
          <w:rFonts w:ascii="Times New Roman" w:eastAsia="Times New Roman" w:hAnsi="Times New Roman" w:cs="Times New Roman"/>
          <w:i/>
          <w:iCs/>
          <w:sz w:val="24"/>
          <w:szCs w:val="24"/>
        </w:rPr>
        <w:t>5.</w:t>
      </w:r>
      <w:r w:rsidRPr="00963CA8">
        <w:rPr>
          <w:rFonts w:ascii="Times New Roman" w:eastAsia="Times New Roman" w:hAnsi="Times New Roman" w:cs="Times New Roman"/>
          <w:i/>
          <w:iCs/>
          <w:sz w:val="24"/>
          <w:szCs w:val="24"/>
        </w:rPr>
        <w:t>3</w:t>
      </w:r>
      <w:r w:rsidRPr="00A9015F">
        <w:rPr>
          <w:rFonts w:ascii="Times New Roman" w:eastAsia="Times New Roman" w:hAnsi="Times New Roman" w:cs="Times New Roman"/>
          <w:sz w:val="24"/>
          <w:szCs w:val="24"/>
        </w:rPr>
        <w:t xml:space="preserve">, Model (1) shows the relationship between the percentage of INEDs on bank misconduct. The result is consistent with our expectation, </w:t>
      </w:r>
      <w:r w:rsidR="00071AF6" w:rsidRPr="00A9015F">
        <w:rPr>
          <w:rFonts w:ascii="Times New Roman" w:eastAsia="Times New Roman" w:hAnsi="Times New Roman" w:cs="Times New Roman"/>
          <w:sz w:val="24"/>
          <w:szCs w:val="24"/>
        </w:rPr>
        <w:t>i.e.,</w:t>
      </w:r>
      <w:r w:rsidRPr="00A9015F">
        <w:rPr>
          <w:rFonts w:ascii="Times New Roman" w:eastAsia="Times New Roman" w:hAnsi="Times New Roman" w:cs="Times New Roman"/>
          <w:sz w:val="24"/>
          <w:szCs w:val="24"/>
        </w:rPr>
        <w:t xml:space="preserve"> a ratio of INED is positively related to bank misconduct. The insignificant positive relationship between INED and bank misconduct finds its support from the previous literature (Nguyen et al., 2016), suggesting that board independence is not a sufficient criterion to gauge the monitoring ability of the directors as it is difficult to achieve true independence (Coles et al., 2014). Prior literature highlights that board independence is compromised by powerful CEOs who can influence those directors appointed during the CEO's tenure (Khanna et al., 2015). Only directors appointed before the current CEO's tenure are free from this type of intangible influence and, therefore, can objectively monitor the CEO (Nguyen et al., 2016). Moreover, it is argued that board independence is </w:t>
      </w:r>
      <w:r w:rsidR="00C023FF">
        <w:rPr>
          <w:rFonts w:ascii="Times New Roman" w:eastAsia="Times New Roman" w:hAnsi="Times New Roman" w:cs="Times New Roman"/>
          <w:sz w:val="24"/>
          <w:szCs w:val="24"/>
        </w:rPr>
        <w:t>insufficient</w:t>
      </w:r>
      <w:r w:rsidRPr="00A9015F">
        <w:rPr>
          <w:rFonts w:ascii="Times New Roman" w:eastAsia="Times New Roman" w:hAnsi="Times New Roman" w:cs="Times New Roman"/>
          <w:sz w:val="24"/>
          <w:szCs w:val="24"/>
        </w:rPr>
        <w:t xml:space="preserve"> to provide oversight if there is homogeneity among directors' attributes (Joo et al., 2021). Reliance on group-level measures tends to inflate the appearance that directors are effective monitors (Hambrick et al., 2015). The result also raises a concern for stakeholder agency issues, which result in financial and reputational consequences for both shareholders and stakeholders, hence requiring a solution to minimize it. (Zaman et al, 2021; Jain and Zaman, 2020). </w:t>
      </w:r>
    </w:p>
    <w:p w14:paraId="3DC041EC" w14:textId="6A7F80FB"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Next, </w:t>
      </w:r>
      <w:r w:rsidR="00C023FF" w:rsidRPr="00963CA8">
        <w:rPr>
          <w:rFonts w:ascii="Times New Roman" w:eastAsia="Times New Roman" w:hAnsi="Times New Roman" w:cs="Times New Roman"/>
          <w:i/>
          <w:iCs/>
          <w:sz w:val="24"/>
          <w:szCs w:val="24"/>
        </w:rPr>
        <w:t>Table 5.3 (Model 2)</w:t>
      </w:r>
      <w:r w:rsidR="00C023FF">
        <w:rPr>
          <w:rFonts w:ascii="Times New Roman" w:eastAsia="Times New Roman" w:hAnsi="Times New Roman" w:cs="Times New Roman"/>
          <w:sz w:val="24"/>
          <w:szCs w:val="24"/>
        </w:rPr>
        <w:t xml:space="preserve"> shows the </w:t>
      </w:r>
      <w:r w:rsidRPr="00A9015F">
        <w:rPr>
          <w:rFonts w:ascii="Times New Roman" w:eastAsia="Times New Roman" w:hAnsi="Times New Roman" w:cs="Times New Roman"/>
          <w:sz w:val="24"/>
          <w:szCs w:val="24"/>
        </w:rPr>
        <w:t xml:space="preserve">results of </w:t>
      </w:r>
      <w:r w:rsidRPr="00A9015F">
        <w:rPr>
          <w:rFonts w:ascii="Times New Roman" w:eastAsia="Times New Roman" w:hAnsi="Times New Roman" w:cs="Times New Roman"/>
          <w:i/>
          <w:iCs/>
          <w:sz w:val="24"/>
          <w:szCs w:val="24"/>
        </w:rPr>
        <w:t>H1</w:t>
      </w:r>
      <w:r w:rsidR="00C023FF">
        <w:rPr>
          <w:rFonts w:ascii="Times New Roman" w:eastAsia="Times New Roman" w:hAnsi="Times New Roman" w:cs="Times New Roman"/>
          <w:i/>
          <w:iCs/>
          <w:sz w:val="24"/>
          <w:szCs w:val="24"/>
        </w:rPr>
        <w:t>,</w:t>
      </w:r>
      <w:r w:rsidRPr="00A9015F">
        <w:rPr>
          <w:rFonts w:ascii="Times New Roman" w:eastAsia="Times New Roman" w:hAnsi="Times New Roman" w:cs="Times New Roman"/>
          <w:sz w:val="24"/>
          <w:szCs w:val="24"/>
        </w:rPr>
        <w:t xml:space="preserve"> </w:t>
      </w:r>
      <w:r w:rsidR="00071AF6" w:rsidRPr="00A9015F">
        <w:rPr>
          <w:rFonts w:ascii="Times New Roman" w:eastAsia="Times New Roman" w:hAnsi="Times New Roman" w:cs="Times New Roman"/>
          <w:sz w:val="24"/>
          <w:szCs w:val="24"/>
        </w:rPr>
        <w:t>i.e.</w:t>
      </w:r>
      <w:r w:rsidRPr="00A9015F">
        <w:rPr>
          <w:rFonts w:ascii="Times New Roman" w:eastAsia="Times New Roman" w:hAnsi="Times New Roman" w:cs="Times New Roman"/>
          <w:sz w:val="24"/>
          <w:szCs w:val="24"/>
        </w:rPr>
        <w:t xml:space="preserve"> gender heterogeneity. We find that INED gender heterogeneity reduces bank misconduct. These results are in line with gender socialization and the social role theory, which imply that women are more ethical than men (Adams and Ferreira, 2009; Cumming et al., 2015), less inclined to be overconfident, risk-averse and prefer </w:t>
      </w:r>
      <w:r w:rsidR="00071AF6" w:rsidRPr="00A9015F">
        <w:rPr>
          <w:rFonts w:ascii="Times New Roman" w:eastAsia="Times New Roman" w:hAnsi="Times New Roman" w:cs="Times New Roman"/>
          <w:sz w:val="24"/>
          <w:szCs w:val="24"/>
        </w:rPr>
        <w:t>security (</w:t>
      </w:r>
      <w:r w:rsidRPr="00A9015F">
        <w:rPr>
          <w:rFonts w:ascii="Times New Roman" w:eastAsia="Times New Roman" w:hAnsi="Times New Roman" w:cs="Times New Roman"/>
          <w:sz w:val="24"/>
          <w:szCs w:val="24"/>
        </w:rPr>
        <w:t xml:space="preserve">Cohen et al., 1998; Cumming et al., 2021; Arnaboldi et al., 2021). Regarding board monitoring, females are more demanding monitors of managerial performance (Farrell and Hersch, 2005; Adams and Ferreira, 2009; Cumming et al., 2015). Since female independent directors are ethical, serve the broader interest of society and are better monitors, these qualities help align management's interests with those of the stakeholders (Arnaboldi et al., 2021; Jain and Zaman, 2020; Cumming et al., 2015). </w:t>
      </w:r>
    </w:p>
    <w:p w14:paraId="13ADBE06" w14:textId="7EBA91C8"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In Model (3), we report </w:t>
      </w:r>
      <w:r w:rsidRPr="00A9015F">
        <w:rPr>
          <w:rFonts w:ascii="Times New Roman" w:eastAsia="Times New Roman" w:hAnsi="Times New Roman" w:cs="Times New Roman"/>
          <w:i/>
          <w:iCs/>
          <w:sz w:val="24"/>
          <w:szCs w:val="24"/>
        </w:rPr>
        <w:t>H2</w:t>
      </w:r>
      <w:r w:rsidR="00C023FF">
        <w:rPr>
          <w:rFonts w:ascii="Times New Roman" w:eastAsia="Times New Roman" w:hAnsi="Times New Roman" w:cs="Times New Roman"/>
          <w:i/>
          <w:iCs/>
          <w:sz w:val="24"/>
          <w:szCs w:val="24"/>
        </w:rPr>
        <w:t>,</w:t>
      </w:r>
      <w:r w:rsidRPr="00A9015F">
        <w:rPr>
          <w:rFonts w:ascii="Times New Roman" w:eastAsia="Times New Roman" w:hAnsi="Times New Roman" w:cs="Times New Roman"/>
          <w:sz w:val="24"/>
          <w:szCs w:val="24"/>
        </w:rPr>
        <w:t xml:space="preserve"> i.e.  INED financial expert heterogeneity significantly reduces bank misconduct. Our result supports the view that diversity among financially expert directors enhances the director’s ability </w:t>
      </w:r>
      <w:r w:rsidR="00C023FF">
        <w:rPr>
          <w:rFonts w:ascii="Times New Roman" w:eastAsia="Times New Roman" w:hAnsi="Times New Roman" w:cs="Times New Roman"/>
          <w:sz w:val="24"/>
          <w:szCs w:val="24"/>
        </w:rPr>
        <w:t xml:space="preserve">to understand complicated bank models and provides an overall benefit of lower cost of acquiring financial information </w:t>
      </w:r>
      <w:r w:rsidRPr="00A9015F">
        <w:rPr>
          <w:rFonts w:ascii="Times New Roman" w:eastAsia="Times New Roman" w:hAnsi="Times New Roman" w:cs="Times New Roman"/>
          <w:sz w:val="24"/>
          <w:szCs w:val="24"/>
        </w:rPr>
        <w:t xml:space="preserve">(Harris and Raviv, 2008). Thus, diversity in this </w:t>
      </w:r>
      <w:r w:rsidR="00071AF6" w:rsidRPr="00A9015F">
        <w:rPr>
          <w:rFonts w:ascii="Times New Roman" w:eastAsia="Times New Roman" w:hAnsi="Times New Roman" w:cs="Times New Roman"/>
          <w:sz w:val="24"/>
          <w:szCs w:val="24"/>
        </w:rPr>
        <w:t>attribute results</w:t>
      </w:r>
      <w:r w:rsidRPr="00A9015F">
        <w:rPr>
          <w:rFonts w:ascii="Times New Roman" w:eastAsia="Times New Roman" w:hAnsi="Times New Roman" w:cs="Times New Roman"/>
          <w:sz w:val="24"/>
          <w:szCs w:val="24"/>
        </w:rPr>
        <w:t xml:space="preserve"> in more effective advising and monitoring roles by independent directors</w:t>
      </w:r>
      <w:r w:rsidR="0063598B">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(Gilani et al., 2021). The findings </w:t>
      </w:r>
      <w:r w:rsidR="00C023FF">
        <w:rPr>
          <w:rFonts w:ascii="Times New Roman" w:eastAsia="Times New Roman" w:hAnsi="Times New Roman" w:cs="Times New Roman"/>
          <w:sz w:val="24"/>
          <w:szCs w:val="24"/>
        </w:rPr>
        <w:t>contradict</w:t>
      </w:r>
      <w:r w:rsidRPr="00A9015F">
        <w:rPr>
          <w:rFonts w:ascii="Times New Roman" w:eastAsia="Times New Roman" w:hAnsi="Times New Roman" w:cs="Times New Roman"/>
          <w:sz w:val="24"/>
          <w:szCs w:val="24"/>
        </w:rPr>
        <w:t xml:space="preserve"> the moral hazard perspective in literature, where better directors' skills play an essential role in </w:t>
      </w:r>
      <w:r w:rsidR="00C023FF">
        <w:rPr>
          <w:rFonts w:ascii="Times New Roman" w:eastAsia="Times New Roman" w:hAnsi="Times New Roman" w:cs="Times New Roman"/>
          <w:sz w:val="24"/>
          <w:szCs w:val="24"/>
        </w:rPr>
        <w:t xml:space="preserve">shifting the risk burden from shareholders to </w:t>
      </w:r>
      <w:r w:rsidRPr="00A9015F">
        <w:rPr>
          <w:rFonts w:ascii="Times New Roman" w:eastAsia="Times New Roman" w:hAnsi="Times New Roman" w:cs="Times New Roman"/>
          <w:sz w:val="24"/>
          <w:szCs w:val="24"/>
        </w:rPr>
        <w:t>other stakeholders (Acharya et al., 2012; Minton et al., 2014). Our result also supports the view that a higher degree of specialized knowledge is crucial for independent directors to be more effective monitors (Gore et al., 2011). Without adequate financial training and experience, even motivated directors cannot determine whether the firm's financial policies are appropriate.</w:t>
      </w:r>
    </w:p>
    <w:p w14:paraId="0B5FAF78" w14:textId="0C14876B"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In Model (4) we report our </w:t>
      </w:r>
      <w:r w:rsidRPr="00963CA8">
        <w:rPr>
          <w:rFonts w:ascii="Times New Roman" w:eastAsia="Times New Roman" w:hAnsi="Times New Roman" w:cs="Times New Roman"/>
          <w:i/>
          <w:iCs/>
          <w:sz w:val="24"/>
          <w:szCs w:val="24"/>
        </w:rPr>
        <w:t>H3</w:t>
      </w:r>
      <w:r w:rsidR="00C023FF">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i.e. independent director tenure heterogeneity has a significant negative relationship with bank misconduct</w:t>
      </w:r>
      <w:r w:rsidR="00C023FF">
        <w:rPr>
          <w:rFonts w:ascii="Times New Roman" w:eastAsia="Times New Roman" w:hAnsi="Times New Roman" w:cs="Times New Roman"/>
          <w:sz w:val="24"/>
          <w:szCs w:val="24"/>
        </w:rPr>
        <w:t xml:space="preserve">. The results </w:t>
      </w:r>
      <w:r w:rsidRPr="00A9015F">
        <w:rPr>
          <w:rFonts w:ascii="Times New Roman" w:eastAsia="Times New Roman" w:hAnsi="Times New Roman" w:cs="Times New Roman"/>
          <w:sz w:val="24"/>
          <w:szCs w:val="24"/>
        </w:rPr>
        <w:t>indicat</w:t>
      </w:r>
      <w:r w:rsidR="00C023FF">
        <w:rPr>
          <w:rFonts w:ascii="Times New Roman" w:eastAsia="Times New Roman" w:hAnsi="Times New Roman" w:cs="Times New Roman"/>
          <w:sz w:val="24"/>
          <w:szCs w:val="24"/>
        </w:rPr>
        <w:t>e that more heterogeneity in INED tenure results in</w:t>
      </w:r>
      <w:r w:rsidRPr="00A9015F">
        <w:rPr>
          <w:rFonts w:ascii="Times New Roman" w:eastAsia="Times New Roman" w:hAnsi="Times New Roman" w:cs="Times New Roman"/>
          <w:sz w:val="24"/>
          <w:szCs w:val="24"/>
        </w:rPr>
        <w:t xml:space="preserve"> </w:t>
      </w:r>
      <w:r w:rsidR="00C023FF">
        <w:rPr>
          <w:rFonts w:ascii="Times New Roman" w:eastAsia="Times New Roman" w:hAnsi="Times New Roman" w:cs="Times New Roman"/>
          <w:sz w:val="24"/>
          <w:szCs w:val="24"/>
        </w:rPr>
        <w:t>less</w:t>
      </w:r>
      <w:r w:rsidRPr="00A9015F">
        <w:rPr>
          <w:rFonts w:ascii="Times New Roman" w:eastAsia="Times New Roman" w:hAnsi="Times New Roman" w:cs="Times New Roman"/>
          <w:sz w:val="24"/>
          <w:szCs w:val="24"/>
        </w:rPr>
        <w:t xml:space="preserve"> bank </w:t>
      </w:r>
      <w:r w:rsidR="00C023FF">
        <w:rPr>
          <w:rFonts w:ascii="Times New Roman" w:eastAsia="Times New Roman" w:hAnsi="Times New Roman" w:cs="Times New Roman"/>
          <w:sz w:val="24"/>
          <w:szCs w:val="24"/>
        </w:rPr>
        <w:t>misconduct</w:t>
      </w:r>
      <w:r w:rsidRPr="00A9015F">
        <w:rPr>
          <w:rFonts w:ascii="Times New Roman" w:eastAsia="Times New Roman" w:hAnsi="Times New Roman" w:cs="Times New Roman"/>
          <w:sz w:val="24"/>
          <w:szCs w:val="24"/>
        </w:rPr>
        <w:t xml:space="preserve">. The result also highlights that having independent directors on the board with different tenures improves knowledge continuity (Wahid et al., 2018), decreases the probability of group cohesiveness (Janis, 1982) and decreases social integration and mutual </w:t>
      </w:r>
      <w:r w:rsidR="00071AF6" w:rsidRPr="00A9015F">
        <w:rPr>
          <w:rFonts w:ascii="Times New Roman" w:eastAsia="Times New Roman" w:hAnsi="Times New Roman" w:cs="Times New Roman"/>
          <w:sz w:val="24"/>
          <w:szCs w:val="24"/>
        </w:rPr>
        <w:t>attraction (</w:t>
      </w:r>
      <w:r w:rsidRPr="00A9015F">
        <w:rPr>
          <w:rFonts w:ascii="Times New Roman" w:eastAsia="Times New Roman" w:hAnsi="Times New Roman" w:cs="Times New Roman"/>
          <w:sz w:val="24"/>
          <w:szCs w:val="24"/>
        </w:rPr>
        <w:t xml:space="preserve">O’Reilly, Caldwell, and Barnett, 1989). Thus, </w:t>
      </w:r>
      <w:r w:rsidR="00071AF6" w:rsidRPr="00A9015F">
        <w:rPr>
          <w:rFonts w:ascii="Times New Roman" w:eastAsia="Times New Roman" w:hAnsi="Times New Roman" w:cs="Times New Roman"/>
          <w:sz w:val="24"/>
          <w:szCs w:val="24"/>
        </w:rPr>
        <w:t>although</w:t>
      </w:r>
      <w:r w:rsidRPr="00A9015F">
        <w:rPr>
          <w:rFonts w:ascii="Times New Roman" w:eastAsia="Times New Roman" w:hAnsi="Times New Roman" w:cs="Times New Roman"/>
          <w:sz w:val="24"/>
          <w:szCs w:val="24"/>
        </w:rPr>
        <w:t xml:space="preserve"> socially integrated teams may be desirable in some settings, they pose a challenge to board monitoring as it results in group thinking and complacency (Wahid et al., 2018). </w:t>
      </w:r>
    </w:p>
    <w:p w14:paraId="70DB466A" w14:textId="27AD924C"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Finally, we estimate </w:t>
      </w:r>
      <w:r w:rsidR="00C023FF">
        <w:rPr>
          <w:rFonts w:ascii="Times New Roman" w:eastAsia="Times New Roman" w:hAnsi="Times New Roman" w:cs="Times New Roman"/>
          <w:sz w:val="24"/>
          <w:szCs w:val="24"/>
        </w:rPr>
        <w:t xml:space="preserve">(Equation 2) showing the combined impact of the INED heterogeneity index on bank misconduct. </w:t>
      </w:r>
      <w:r w:rsidRPr="00A9015F">
        <w:rPr>
          <w:rFonts w:ascii="Times New Roman" w:eastAsia="Times New Roman" w:hAnsi="Times New Roman" w:cs="Times New Roman"/>
          <w:sz w:val="24"/>
          <w:szCs w:val="24"/>
        </w:rPr>
        <w:t xml:space="preserve">The results of </w:t>
      </w:r>
      <w:r w:rsidRPr="00A9015F">
        <w:rPr>
          <w:rFonts w:ascii="Times New Roman" w:eastAsia="Times New Roman" w:hAnsi="Times New Roman" w:cs="Times New Roman"/>
          <w:i/>
          <w:iCs/>
          <w:sz w:val="24"/>
          <w:szCs w:val="24"/>
        </w:rPr>
        <w:t>H4</w:t>
      </w:r>
      <w:r w:rsidRPr="00A9015F">
        <w:rPr>
          <w:rFonts w:ascii="Times New Roman" w:eastAsia="Times New Roman" w:hAnsi="Times New Roman" w:cs="Times New Roman"/>
          <w:sz w:val="24"/>
          <w:szCs w:val="24"/>
        </w:rPr>
        <w:t xml:space="preserve"> are reported in Model 6. We find that the INED heterogeneity index significantly </w:t>
      </w:r>
      <w:r w:rsidR="00C023FF">
        <w:rPr>
          <w:rFonts w:ascii="Times New Roman" w:eastAsia="Times New Roman" w:hAnsi="Times New Roman" w:cs="Times New Roman"/>
          <w:sz w:val="24"/>
          <w:szCs w:val="24"/>
        </w:rPr>
        <w:t>reduces</w:t>
      </w:r>
      <w:r w:rsidRPr="00A9015F">
        <w:rPr>
          <w:rFonts w:ascii="Times New Roman" w:eastAsia="Times New Roman" w:hAnsi="Times New Roman" w:cs="Times New Roman"/>
          <w:sz w:val="24"/>
          <w:szCs w:val="24"/>
        </w:rPr>
        <w:t xml:space="preserve"> bank misconduct</w:t>
      </w:r>
      <w:r w:rsidR="00C023FF">
        <w:rPr>
          <w:rFonts w:ascii="Times New Roman" w:eastAsia="Times New Roman" w:hAnsi="Times New Roman" w:cs="Times New Roman"/>
          <w:sz w:val="24"/>
          <w:szCs w:val="24"/>
        </w:rPr>
        <w:t>, i.e. a standard deviation change in INED heterogeneity index reduces bank misconduct by 0.0734,</w:t>
      </w:r>
      <w:r w:rsidRPr="00A9015F">
        <w:rPr>
          <w:rFonts w:ascii="Times New Roman" w:eastAsia="Times New Roman" w:hAnsi="Times New Roman" w:cs="Times New Roman"/>
          <w:sz w:val="24"/>
          <w:szCs w:val="24"/>
        </w:rPr>
        <w:t xml:space="preserve"> equivalent to $12.2m. Our results support </w:t>
      </w:r>
      <w:r w:rsidRPr="00A9015F">
        <w:rPr>
          <w:rFonts w:ascii="Times New Roman" w:eastAsia="Times New Roman" w:hAnsi="Times New Roman" w:cs="Times New Roman"/>
          <w:i/>
          <w:iCs/>
          <w:sz w:val="24"/>
          <w:szCs w:val="24"/>
        </w:rPr>
        <w:t>H4</w:t>
      </w:r>
      <w:r w:rsidRPr="00A9015F">
        <w:rPr>
          <w:rFonts w:ascii="Times New Roman" w:eastAsia="Times New Roman" w:hAnsi="Times New Roman" w:cs="Times New Roman"/>
          <w:sz w:val="24"/>
          <w:szCs w:val="24"/>
        </w:rPr>
        <w:t xml:space="preserve"> and indicate the heterogeneity in INED gender, financial expertise and tenure together are </w:t>
      </w:r>
      <w:r w:rsidR="00C023FF">
        <w:rPr>
          <w:rFonts w:ascii="Times New Roman" w:eastAsia="Times New Roman" w:hAnsi="Times New Roman" w:cs="Times New Roman"/>
          <w:sz w:val="24"/>
          <w:szCs w:val="24"/>
        </w:rPr>
        <w:t>essential</w:t>
      </w:r>
      <w:r w:rsidRPr="00A9015F">
        <w:rPr>
          <w:rFonts w:ascii="Times New Roman" w:eastAsia="Times New Roman" w:hAnsi="Times New Roman" w:cs="Times New Roman"/>
          <w:sz w:val="24"/>
          <w:szCs w:val="24"/>
        </w:rPr>
        <w:t xml:space="preserve"> for mitigating bank misconduct and may, therefore, help improve the financial stability of the banking system.</w:t>
      </w:r>
    </w:p>
    <w:p w14:paraId="272936B6" w14:textId="7C79B586" w:rsidR="00A9015F" w:rsidRPr="00A9015F" w:rsidRDefault="00C023FF" w:rsidP="00A9015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of governance controls shows a negative relationship between board size and bank misconduct. </w:t>
      </w:r>
      <w:r w:rsidR="00A9015F" w:rsidRPr="00A9015F">
        <w:rPr>
          <w:rFonts w:ascii="Times New Roman" w:eastAsia="Times New Roman" w:hAnsi="Times New Roman" w:cs="Times New Roman"/>
          <w:sz w:val="24"/>
          <w:szCs w:val="24"/>
        </w:rPr>
        <w:t xml:space="preserve">From a stakeholder-agency perspective, larger rather than smaller boards are more likely to represent multi-stakeholder interests and should be more effective at reducing bank misconduct (Jain and Zaman, 2021). Similarly, </w:t>
      </w:r>
      <w:r>
        <w:rPr>
          <w:rFonts w:ascii="Times New Roman" w:eastAsia="Times New Roman" w:hAnsi="Times New Roman" w:cs="Times New Roman"/>
          <w:sz w:val="24"/>
          <w:szCs w:val="24"/>
        </w:rPr>
        <w:t>a negative relationship between CEO power (CEO Tenure) highlights the risk-averse behaviours</w:t>
      </w:r>
      <w:r w:rsidR="00A9015F" w:rsidRPr="00A9015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representing</w:t>
      </w:r>
      <w:r w:rsidR="00A9015F" w:rsidRPr="00A901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managers serving their interests at the expense of shareholders </w:t>
      </w:r>
      <w:r w:rsidR="00A9015F" w:rsidRPr="00A9015F">
        <w:rPr>
          <w:rFonts w:ascii="Times New Roman" w:eastAsia="Times New Roman" w:hAnsi="Times New Roman" w:cs="Times New Roman"/>
          <w:sz w:val="24"/>
          <w:szCs w:val="24"/>
        </w:rPr>
        <w:t xml:space="preserve">(Mollah et al., 2021). </w:t>
      </w:r>
      <w:r w:rsidR="005307A5" w:rsidRPr="00A9015F">
        <w:rPr>
          <w:rFonts w:ascii="Times New Roman" w:eastAsia="Times New Roman" w:hAnsi="Times New Roman" w:cs="Times New Roman"/>
          <w:sz w:val="24"/>
          <w:szCs w:val="24"/>
        </w:rPr>
        <w:t>Amongst</w:t>
      </w:r>
      <w:r w:rsidR="00A9015F" w:rsidRPr="00A9015F">
        <w:rPr>
          <w:rFonts w:ascii="Times New Roman" w:eastAsia="Times New Roman" w:hAnsi="Times New Roman" w:cs="Times New Roman"/>
          <w:sz w:val="24"/>
          <w:szCs w:val="24"/>
        </w:rPr>
        <w:t xml:space="preserve"> </w:t>
      </w:r>
      <w:r w:rsidR="005307A5">
        <w:rPr>
          <w:rFonts w:ascii="Times New Roman" w:eastAsia="Times New Roman" w:hAnsi="Times New Roman" w:cs="Times New Roman"/>
          <w:sz w:val="24"/>
          <w:szCs w:val="24"/>
        </w:rPr>
        <w:t xml:space="preserve">bank-level control, we observe a negative relationship between accounting profit and misconduct, </w:t>
      </w:r>
      <w:r w:rsidR="00A9015F" w:rsidRPr="00A9015F">
        <w:rPr>
          <w:rFonts w:ascii="Times New Roman" w:eastAsia="Times New Roman" w:hAnsi="Times New Roman" w:cs="Times New Roman"/>
          <w:sz w:val="24"/>
          <w:szCs w:val="24"/>
        </w:rPr>
        <w:t>whereas larger banks are involved with more misconduct. The remaining control variables have the same signs as those in the literature (Arnaboldi et al., 2021; Zaman et al., 2021; Nguyen et al., 2020)</w:t>
      </w:r>
    </w:p>
    <w:p w14:paraId="7324B4AA" w14:textId="43801794" w:rsidR="00A9015F"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[Insert Table </w:t>
      </w:r>
      <w:r w:rsidR="005339DD">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3 here]</w:t>
      </w:r>
    </w:p>
    <w:p w14:paraId="6233C1B6" w14:textId="09C9647E" w:rsidR="00A9015F" w:rsidRPr="00963CA8" w:rsidRDefault="00963CA8" w:rsidP="00963CA8">
      <w:pPr>
        <w:pStyle w:val="Heading3"/>
        <w:rPr>
          <w:rFonts w:ascii="Times New Roman" w:hAnsi="Times New Roman" w:cs="Times New Roman"/>
          <w:b/>
          <w:bCs/>
          <w:i/>
          <w:iCs/>
          <w:color w:val="000000" w:themeColor="text1"/>
        </w:rPr>
      </w:pPr>
      <w:bookmarkStart w:id="153" w:name="_Toc145616223"/>
      <w:r w:rsidRPr="00963CA8">
        <w:rPr>
          <w:rFonts w:ascii="Times New Roman" w:hAnsi="Times New Roman" w:cs="Times New Roman"/>
          <w:b/>
          <w:bCs/>
          <w:color w:val="000000" w:themeColor="text1"/>
        </w:rPr>
        <w:t>5.5</w:t>
      </w:r>
      <w:r w:rsidR="00A9015F" w:rsidRPr="00963CA8">
        <w:rPr>
          <w:rFonts w:ascii="Times New Roman" w:hAnsi="Times New Roman" w:cs="Times New Roman"/>
          <w:b/>
          <w:bCs/>
          <w:color w:val="000000" w:themeColor="text1"/>
        </w:rPr>
        <w:t>.2 Endogeneity Concerns</w:t>
      </w:r>
      <w:bookmarkEnd w:id="153"/>
    </w:p>
    <w:p w14:paraId="769B48F1" w14:textId="504BABDD"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The relationship between INED attribute heterogeneity and bank misconduct suffers from endogeneity concerns because of the complex nature of bank boards (Baghdadi et al., 2016). We address endogeneity using </w:t>
      </w:r>
      <w:r w:rsidR="00071AF6">
        <w:rPr>
          <w:rFonts w:ascii="Times New Roman" w:eastAsia="Times New Roman" w:hAnsi="Times New Roman" w:cs="Times New Roman"/>
          <w:sz w:val="24"/>
          <w:szCs w:val="24"/>
        </w:rPr>
        <w:t>two</w:t>
      </w:r>
      <w:r w:rsidRPr="00A9015F">
        <w:rPr>
          <w:rFonts w:ascii="Times New Roman" w:eastAsia="Times New Roman" w:hAnsi="Times New Roman" w:cs="Times New Roman"/>
          <w:sz w:val="24"/>
          <w:szCs w:val="24"/>
        </w:rPr>
        <w:t xml:space="preserve"> approaches 1) Instrumental variable approach, 2) Propensity score matching approach </w:t>
      </w:r>
    </w:p>
    <w:p w14:paraId="3E4A3FFC" w14:textId="41E9B210" w:rsidR="00A9015F" w:rsidRPr="00963CA8" w:rsidRDefault="00963CA8" w:rsidP="00963CA8">
      <w:pPr>
        <w:pStyle w:val="Heading4"/>
        <w:rPr>
          <w:rFonts w:ascii="Times New Roman" w:hAnsi="Times New Roman" w:cs="Times New Roman"/>
          <w:b/>
          <w:bCs/>
          <w:i w:val="0"/>
          <w:iCs w:val="0"/>
          <w:color w:val="000000" w:themeColor="text1"/>
        </w:rPr>
      </w:pPr>
      <w:r w:rsidRPr="00963CA8">
        <w:rPr>
          <w:rFonts w:ascii="Times New Roman" w:hAnsi="Times New Roman" w:cs="Times New Roman"/>
          <w:b/>
          <w:bCs/>
          <w:i w:val="0"/>
          <w:iCs w:val="0"/>
          <w:color w:val="000000" w:themeColor="text1"/>
        </w:rPr>
        <w:t>5.5</w:t>
      </w:r>
      <w:r w:rsidR="00A9015F" w:rsidRPr="00963CA8">
        <w:rPr>
          <w:rFonts w:ascii="Times New Roman" w:hAnsi="Times New Roman" w:cs="Times New Roman"/>
          <w:b/>
          <w:bCs/>
          <w:i w:val="0"/>
          <w:iCs w:val="0"/>
          <w:color w:val="000000" w:themeColor="text1"/>
        </w:rPr>
        <w:t>.2.1The Instrumental Variable (IV) Approach</w:t>
      </w:r>
    </w:p>
    <w:p w14:paraId="418578E5" w14:textId="7C5E324D"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 We </w:t>
      </w:r>
      <w:r w:rsidR="00284CB5">
        <w:rPr>
          <w:rFonts w:ascii="Times New Roman" w:eastAsia="Times New Roman" w:hAnsi="Times New Roman" w:cs="Times New Roman"/>
          <w:sz w:val="24"/>
          <w:szCs w:val="24"/>
        </w:rPr>
        <w:t>resolve the issue of endogen</w:t>
      </w:r>
      <w:r w:rsidR="00963CA8">
        <w:rPr>
          <w:rFonts w:ascii="Times New Roman" w:eastAsia="Times New Roman" w:hAnsi="Times New Roman" w:cs="Times New Roman"/>
          <w:sz w:val="24"/>
          <w:szCs w:val="24"/>
        </w:rPr>
        <w:t>e</w:t>
      </w:r>
      <w:r w:rsidR="00284CB5">
        <w:rPr>
          <w:rFonts w:ascii="Times New Roman" w:eastAsia="Times New Roman" w:hAnsi="Times New Roman" w:cs="Times New Roman"/>
          <w:sz w:val="24"/>
          <w:szCs w:val="24"/>
        </w:rPr>
        <w:t xml:space="preserve">ity by applying </w:t>
      </w:r>
      <w:r w:rsidR="00963CA8">
        <w:rPr>
          <w:rFonts w:ascii="Times New Roman" w:eastAsia="Times New Roman" w:hAnsi="Times New Roman" w:cs="Times New Roman"/>
          <w:sz w:val="24"/>
          <w:szCs w:val="24"/>
        </w:rPr>
        <w:t xml:space="preserve">an </w:t>
      </w:r>
      <w:r w:rsidRPr="00A9015F">
        <w:rPr>
          <w:rFonts w:ascii="Times New Roman" w:eastAsia="Times New Roman" w:hAnsi="Times New Roman" w:cs="Times New Roman"/>
          <w:sz w:val="24"/>
          <w:szCs w:val="24"/>
        </w:rPr>
        <w:t xml:space="preserve">instrumental variable (IV) model using 2SLS regressions. Although identifying instruments is challenging in governance studies (Adams and Mehran, 2012; Mollah et al., 2021). However, we </w:t>
      </w:r>
      <w:r w:rsidR="00284CB5">
        <w:rPr>
          <w:rFonts w:ascii="Times New Roman" w:eastAsia="Times New Roman" w:hAnsi="Times New Roman" w:cs="Times New Roman"/>
          <w:sz w:val="24"/>
          <w:szCs w:val="24"/>
        </w:rPr>
        <w:t xml:space="preserve">try to resolve this problem by </w:t>
      </w:r>
      <w:r w:rsidRPr="00A9015F">
        <w:rPr>
          <w:rFonts w:ascii="Times New Roman" w:eastAsia="Times New Roman" w:hAnsi="Times New Roman" w:cs="Times New Roman"/>
          <w:sz w:val="24"/>
          <w:szCs w:val="24"/>
        </w:rPr>
        <w:t>identifying the most appropriate instrument</w:t>
      </w:r>
      <w:r w:rsidR="00284CB5">
        <w:rPr>
          <w:rFonts w:ascii="Times New Roman" w:eastAsia="Times New Roman" w:hAnsi="Times New Roman" w:cs="Times New Roman"/>
          <w:sz w:val="24"/>
          <w:szCs w:val="24"/>
        </w:rPr>
        <w:t xml:space="preserve"> from the literature</w:t>
      </w:r>
      <w:r w:rsidRPr="00A9015F">
        <w:rPr>
          <w:rFonts w:ascii="Times New Roman" w:eastAsia="Times New Roman" w:hAnsi="Times New Roman" w:cs="Times New Roman"/>
          <w:sz w:val="24"/>
          <w:szCs w:val="24"/>
        </w:rPr>
        <w:t>. Our selection of the instrument</w:t>
      </w:r>
      <w:r w:rsidR="00284CB5">
        <w:rPr>
          <w:rFonts w:ascii="Times New Roman" w:eastAsia="Times New Roman" w:hAnsi="Times New Roman" w:cs="Times New Roman"/>
          <w:sz w:val="24"/>
          <w:szCs w:val="24"/>
        </w:rPr>
        <w:t>al variable</w:t>
      </w:r>
      <w:r w:rsidRPr="00A9015F">
        <w:rPr>
          <w:rFonts w:ascii="Times New Roman" w:eastAsia="Times New Roman" w:hAnsi="Times New Roman" w:cs="Times New Roman"/>
          <w:sz w:val="24"/>
          <w:szCs w:val="24"/>
        </w:rPr>
        <w:t xml:space="preserve"> is motivated by the role of the local labour market in supplying directors to a bank (Anderson et al., 2011; Nguyen et al., 2016; Mollah et al., 2021). We </w:t>
      </w:r>
      <w:r w:rsidR="00284CB5" w:rsidRPr="00A9015F">
        <w:rPr>
          <w:rFonts w:ascii="Times New Roman" w:eastAsia="Times New Roman" w:hAnsi="Times New Roman" w:cs="Times New Roman"/>
          <w:sz w:val="24"/>
          <w:szCs w:val="24"/>
        </w:rPr>
        <w:t>believe</w:t>
      </w:r>
      <w:r w:rsidRPr="00A9015F">
        <w:rPr>
          <w:rFonts w:ascii="Times New Roman" w:eastAsia="Times New Roman" w:hAnsi="Times New Roman" w:cs="Times New Roman"/>
          <w:sz w:val="24"/>
          <w:szCs w:val="24"/>
        </w:rPr>
        <w:t xml:space="preserve"> that </w:t>
      </w:r>
      <w:r w:rsidR="00205250">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population in the bank's headquarters state</w:t>
      </w:r>
      <w:r w:rsidR="00284CB5">
        <w:rPr>
          <w:rFonts w:ascii="Times New Roman" w:eastAsia="Times New Roman" w:hAnsi="Times New Roman" w:cs="Times New Roman"/>
          <w:sz w:val="24"/>
          <w:szCs w:val="24"/>
        </w:rPr>
        <w:t xml:space="preserve"> is directly related </w:t>
      </w:r>
      <w:r w:rsidR="00205250">
        <w:rPr>
          <w:rFonts w:ascii="Times New Roman" w:eastAsia="Times New Roman" w:hAnsi="Times New Roman" w:cs="Times New Roman"/>
          <w:sz w:val="24"/>
          <w:szCs w:val="24"/>
        </w:rPr>
        <w:t>to</w:t>
      </w:r>
      <w:r w:rsidR="00284CB5">
        <w:rPr>
          <w:rFonts w:ascii="Times New Roman" w:eastAsia="Times New Roman" w:hAnsi="Times New Roman" w:cs="Times New Roman"/>
          <w:sz w:val="24"/>
          <w:szCs w:val="24"/>
        </w:rPr>
        <w:t xml:space="preserve"> more</w:t>
      </w:r>
      <w:r w:rsidRPr="00A9015F">
        <w:rPr>
          <w:rFonts w:ascii="Times New Roman" w:eastAsia="Times New Roman" w:hAnsi="Times New Roman" w:cs="Times New Roman"/>
          <w:sz w:val="24"/>
          <w:szCs w:val="24"/>
        </w:rPr>
        <w:t xml:space="preserve"> supply of INED candidates with </w:t>
      </w:r>
      <w:r w:rsidR="00284CB5" w:rsidRPr="00A9015F">
        <w:rPr>
          <w:rFonts w:ascii="Times New Roman" w:eastAsia="Times New Roman" w:hAnsi="Times New Roman" w:cs="Times New Roman"/>
          <w:sz w:val="24"/>
          <w:szCs w:val="24"/>
        </w:rPr>
        <w:t>diverse</w:t>
      </w:r>
      <w:r w:rsidRPr="00A9015F">
        <w:rPr>
          <w:rFonts w:ascii="Times New Roman" w:eastAsia="Times New Roman" w:hAnsi="Times New Roman" w:cs="Times New Roman"/>
          <w:sz w:val="24"/>
          <w:szCs w:val="24"/>
        </w:rPr>
        <w:t xml:space="preserve"> attributes. Thus, we use the log of the </w:t>
      </w:r>
      <w:r w:rsidR="00963CA8">
        <w:rPr>
          <w:rFonts w:ascii="Times New Roman" w:eastAsia="Times New Roman" w:hAnsi="Times New Roman" w:cs="Times New Roman"/>
          <w:sz w:val="24"/>
          <w:szCs w:val="24"/>
        </w:rPr>
        <w:t>city's population</w:t>
      </w:r>
      <w:r w:rsidRPr="00A9015F">
        <w:rPr>
          <w:rFonts w:ascii="Times New Roman" w:eastAsia="Times New Roman" w:hAnsi="Times New Roman" w:cs="Times New Roman"/>
          <w:sz w:val="24"/>
          <w:szCs w:val="24"/>
        </w:rPr>
        <w:t xml:space="preserve"> where the bank's headquarters is located as the first instrument.</w:t>
      </w:r>
    </w:p>
    <w:p w14:paraId="387BB492" w14:textId="791AB80D"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A statistically significant relationship between the INED heterogeneity index and instrument variable and the endogeneity test results supports the selected instrument's validity. The instrumental variable approach's result aligns with our baseline model that INED heterogeneity reduces bank misconduct. </w:t>
      </w:r>
      <w:r w:rsidR="00205250">
        <w:rPr>
          <w:rFonts w:ascii="Times New Roman" w:eastAsia="Times New Roman" w:hAnsi="Times New Roman" w:cs="Times New Roman"/>
          <w:sz w:val="24"/>
          <w:szCs w:val="24"/>
        </w:rPr>
        <w:t>As reported in our baseline model, we observe the same relationship between governance and bank</w:t>
      </w:r>
      <w:r w:rsidR="00963CA8">
        <w:rPr>
          <w:rFonts w:ascii="Times New Roman" w:eastAsia="Times New Roman" w:hAnsi="Times New Roman" w:cs="Times New Roman"/>
          <w:sz w:val="24"/>
          <w:szCs w:val="24"/>
        </w:rPr>
        <w:t>-</w:t>
      </w:r>
      <w:r w:rsidR="00205250">
        <w:rPr>
          <w:rFonts w:ascii="Times New Roman" w:eastAsia="Times New Roman" w:hAnsi="Times New Roman" w:cs="Times New Roman"/>
          <w:sz w:val="24"/>
          <w:szCs w:val="24"/>
        </w:rPr>
        <w:t>level control with bank misconduct</w:t>
      </w:r>
      <w:r w:rsidRPr="00A9015F">
        <w:rPr>
          <w:rFonts w:ascii="Times New Roman" w:eastAsia="Times New Roman" w:hAnsi="Times New Roman" w:cs="Times New Roman"/>
          <w:sz w:val="24"/>
          <w:szCs w:val="24"/>
        </w:rPr>
        <w:t xml:space="preserve"> </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i/>
          <w:iCs/>
          <w:sz w:val="24"/>
          <w:szCs w:val="24"/>
        </w:rPr>
        <w:t>Table 4</w:t>
      </w:r>
      <w:r w:rsidR="00205250">
        <w:rPr>
          <w:rFonts w:ascii="Times New Roman" w:eastAsia="Times New Roman" w:hAnsi="Times New Roman" w:cs="Times New Roman"/>
          <w:i/>
          <w:iCs/>
          <w:sz w:val="24"/>
          <w:szCs w:val="24"/>
        </w:rPr>
        <w:t>)</w:t>
      </w:r>
      <w:r w:rsidRPr="00A9015F">
        <w:rPr>
          <w:rFonts w:ascii="Times New Roman" w:eastAsia="Times New Roman" w:hAnsi="Times New Roman" w:cs="Times New Roman"/>
          <w:sz w:val="24"/>
          <w:szCs w:val="24"/>
        </w:rPr>
        <w:t xml:space="preserve">. Thus, </w:t>
      </w:r>
      <w:r w:rsidR="00205250">
        <w:rPr>
          <w:rFonts w:ascii="Times New Roman" w:eastAsia="Times New Roman" w:hAnsi="Times New Roman" w:cs="Times New Roman"/>
          <w:sz w:val="24"/>
          <w:szCs w:val="24"/>
        </w:rPr>
        <w:t xml:space="preserve">the findings confirm that our baseline estimate of </w:t>
      </w:r>
      <w:r w:rsidR="00963CA8">
        <w:rPr>
          <w:rFonts w:ascii="Times New Roman" w:eastAsia="Times New Roman" w:hAnsi="Times New Roman" w:cs="Times New Roman"/>
          <w:sz w:val="24"/>
          <w:szCs w:val="24"/>
        </w:rPr>
        <w:t xml:space="preserve">the </w:t>
      </w:r>
      <w:r w:rsidR="00205250">
        <w:rPr>
          <w:rFonts w:ascii="Times New Roman" w:eastAsia="Times New Roman" w:hAnsi="Times New Roman" w:cs="Times New Roman"/>
          <w:sz w:val="24"/>
          <w:szCs w:val="24"/>
        </w:rPr>
        <w:t>negative relation amongst INED het</w:t>
      </w:r>
      <w:r w:rsidR="00963CA8">
        <w:rPr>
          <w:rFonts w:ascii="Times New Roman" w:eastAsia="Times New Roman" w:hAnsi="Times New Roman" w:cs="Times New Roman"/>
          <w:sz w:val="24"/>
          <w:szCs w:val="24"/>
        </w:rPr>
        <w:t>erogene</w:t>
      </w:r>
      <w:r w:rsidR="00205250">
        <w:rPr>
          <w:rFonts w:ascii="Times New Roman" w:eastAsia="Times New Roman" w:hAnsi="Times New Roman" w:cs="Times New Roman"/>
          <w:sz w:val="24"/>
          <w:szCs w:val="24"/>
        </w:rPr>
        <w:t>ity index and bank misconduct is free from endogen</w:t>
      </w:r>
      <w:r w:rsidR="00963CA8">
        <w:rPr>
          <w:rFonts w:ascii="Times New Roman" w:eastAsia="Times New Roman" w:hAnsi="Times New Roman" w:cs="Times New Roman"/>
          <w:sz w:val="24"/>
          <w:szCs w:val="24"/>
        </w:rPr>
        <w:t>e</w:t>
      </w:r>
      <w:r w:rsidR="00205250">
        <w:rPr>
          <w:rFonts w:ascii="Times New Roman" w:eastAsia="Times New Roman" w:hAnsi="Times New Roman" w:cs="Times New Roman"/>
          <w:sz w:val="24"/>
          <w:szCs w:val="24"/>
        </w:rPr>
        <w:t xml:space="preserve">ity problems, and fewer bank misconducts result </w:t>
      </w:r>
      <w:r w:rsidRPr="00A9015F">
        <w:rPr>
          <w:rFonts w:ascii="Times New Roman" w:eastAsia="Times New Roman" w:hAnsi="Times New Roman" w:cs="Times New Roman"/>
          <w:sz w:val="24"/>
          <w:szCs w:val="24"/>
        </w:rPr>
        <w:t>from heterogeneity in the INEDs' attributes.</w:t>
      </w:r>
    </w:p>
    <w:p w14:paraId="7CCB1489" w14:textId="2E8ABFC3" w:rsidR="00A9015F"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[Insert Table </w:t>
      </w:r>
      <w:r w:rsidR="005339DD">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4]</w:t>
      </w:r>
    </w:p>
    <w:p w14:paraId="7205B428" w14:textId="77777777" w:rsidR="00940E21" w:rsidRPr="00A9015F" w:rsidRDefault="00940E21" w:rsidP="00A9015F">
      <w:pPr>
        <w:spacing w:line="480" w:lineRule="auto"/>
        <w:jc w:val="center"/>
        <w:rPr>
          <w:rFonts w:ascii="Times New Roman" w:eastAsia="Times New Roman" w:hAnsi="Times New Roman" w:cs="Times New Roman"/>
          <w:i/>
          <w:iCs/>
          <w:sz w:val="24"/>
          <w:szCs w:val="24"/>
        </w:rPr>
      </w:pPr>
    </w:p>
    <w:p w14:paraId="15DFC143" w14:textId="2F2A5E3E" w:rsidR="00A9015F" w:rsidRDefault="00963CA8" w:rsidP="00963CA8">
      <w:pPr>
        <w:pStyle w:val="Heading4"/>
        <w:rPr>
          <w:rFonts w:ascii="Times New Roman" w:hAnsi="Times New Roman" w:cs="Times New Roman"/>
          <w:b/>
          <w:bCs/>
          <w:i w:val="0"/>
          <w:iCs w:val="0"/>
          <w:color w:val="000000" w:themeColor="text1"/>
        </w:rPr>
      </w:pPr>
      <w:r w:rsidRPr="00963CA8">
        <w:rPr>
          <w:rFonts w:ascii="Times New Roman" w:hAnsi="Times New Roman" w:cs="Times New Roman"/>
          <w:b/>
          <w:bCs/>
          <w:i w:val="0"/>
          <w:iCs w:val="0"/>
          <w:color w:val="000000" w:themeColor="text1"/>
        </w:rPr>
        <w:t>5.5</w:t>
      </w:r>
      <w:r w:rsidR="00A9015F" w:rsidRPr="00963CA8">
        <w:rPr>
          <w:rFonts w:ascii="Times New Roman" w:hAnsi="Times New Roman" w:cs="Times New Roman"/>
          <w:b/>
          <w:bCs/>
          <w:i w:val="0"/>
          <w:iCs w:val="0"/>
          <w:color w:val="000000" w:themeColor="text1"/>
        </w:rPr>
        <w:t>.2.2. Propensity Score Matching</w:t>
      </w:r>
    </w:p>
    <w:p w14:paraId="289BF00F" w14:textId="77777777" w:rsidR="00963CA8" w:rsidRPr="00963CA8" w:rsidRDefault="00963CA8" w:rsidP="00963CA8"/>
    <w:p w14:paraId="4405D39F" w14:textId="09CB99F5"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To address </w:t>
      </w:r>
      <w:r w:rsidR="00205250">
        <w:rPr>
          <w:rFonts w:ascii="Times New Roman" w:eastAsia="Times New Roman" w:hAnsi="Times New Roman" w:cs="Times New Roman"/>
          <w:sz w:val="24"/>
          <w:szCs w:val="24"/>
        </w:rPr>
        <w:t>selection bias due to</w:t>
      </w:r>
      <w:r w:rsidRPr="00A9015F">
        <w:rPr>
          <w:rFonts w:ascii="Times New Roman" w:eastAsia="Times New Roman" w:hAnsi="Times New Roman" w:cs="Times New Roman"/>
          <w:sz w:val="24"/>
          <w:szCs w:val="24"/>
        </w:rPr>
        <w:t xml:space="preserve"> firm-related characteristics or functional misspecification, we use propensity score matching (PSM) (Zaman et al., 2021; Armstrong et al., 2010; Rosenbaum and Rubin, 1983). To ensure that our treated and control firms are comparable, we match treatment and control firms using propensity score matching. We define our treatment group as the banks that had faced penalties</w:t>
      </w:r>
      <w:r w:rsidR="00205250">
        <w:rPr>
          <w:rFonts w:ascii="Times New Roman" w:eastAsia="Times New Roman" w:hAnsi="Times New Roman" w:cs="Times New Roman"/>
          <w:sz w:val="24"/>
          <w:szCs w:val="24"/>
        </w:rPr>
        <w:t>. In contrast,</w:t>
      </w:r>
      <w:r w:rsidRPr="00A9015F">
        <w:rPr>
          <w:rFonts w:ascii="Times New Roman" w:eastAsia="Times New Roman" w:hAnsi="Times New Roman" w:cs="Times New Roman"/>
          <w:sz w:val="24"/>
          <w:szCs w:val="24"/>
        </w:rPr>
        <w:t xml:space="preserve"> the control group </w:t>
      </w:r>
      <w:r w:rsidR="00205250" w:rsidRPr="00A9015F">
        <w:rPr>
          <w:rFonts w:ascii="Times New Roman" w:eastAsia="Times New Roman" w:hAnsi="Times New Roman" w:cs="Times New Roman"/>
          <w:sz w:val="24"/>
          <w:szCs w:val="24"/>
        </w:rPr>
        <w:t>comprises</w:t>
      </w:r>
      <w:r w:rsidRPr="00A9015F">
        <w:rPr>
          <w:rFonts w:ascii="Times New Roman" w:eastAsia="Times New Roman" w:hAnsi="Times New Roman" w:cs="Times New Roman"/>
          <w:sz w:val="24"/>
          <w:szCs w:val="24"/>
        </w:rPr>
        <w:t xml:space="preserve"> </w:t>
      </w:r>
      <w:r w:rsidR="00205250">
        <w:rPr>
          <w:rFonts w:ascii="Times New Roman" w:eastAsia="Times New Roman" w:hAnsi="Times New Roman" w:cs="Times New Roman"/>
          <w:sz w:val="24"/>
          <w:szCs w:val="24"/>
        </w:rPr>
        <w:t>banks that did not face</w:t>
      </w:r>
      <w:r w:rsidRPr="00A9015F">
        <w:rPr>
          <w:rFonts w:ascii="Times New Roman" w:eastAsia="Times New Roman" w:hAnsi="Times New Roman" w:cs="Times New Roman"/>
          <w:sz w:val="24"/>
          <w:szCs w:val="24"/>
        </w:rPr>
        <w:t xml:space="preserve"> any </w:t>
      </w:r>
      <w:r w:rsidR="00205250" w:rsidRPr="00A9015F">
        <w:rPr>
          <w:rFonts w:ascii="Times New Roman" w:eastAsia="Times New Roman" w:hAnsi="Times New Roman" w:cs="Times New Roman"/>
          <w:sz w:val="24"/>
          <w:szCs w:val="24"/>
        </w:rPr>
        <w:t>fine</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at any point in time. </w:t>
      </w:r>
      <w:r w:rsidR="00205250">
        <w:rPr>
          <w:rFonts w:ascii="Times New Roman" w:eastAsia="Times New Roman" w:hAnsi="Times New Roman" w:cs="Times New Roman"/>
          <w:sz w:val="24"/>
          <w:szCs w:val="24"/>
        </w:rPr>
        <w:t xml:space="preserve">Our control group are comparable to our treatment banks in all other dimensions. We used all right-hand side variables in Equations (1) as matching criteria for PSM. We match the control banks with treatment banks </w:t>
      </w:r>
      <w:r w:rsidRPr="00A9015F">
        <w:rPr>
          <w:rFonts w:ascii="Times New Roman" w:eastAsia="Times New Roman" w:hAnsi="Times New Roman" w:cs="Times New Roman"/>
          <w:sz w:val="24"/>
          <w:szCs w:val="24"/>
        </w:rPr>
        <w:t xml:space="preserve">based on </w:t>
      </w:r>
      <w:r w:rsidR="00205250">
        <w:rPr>
          <w:rFonts w:ascii="Times New Roman" w:eastAsia="Times New Roman" w:hAnsi="Times New Roman" w:cs="Times New Roman"/>
          <w:sz w:val="24"/>
          <w:szCs w:val="24"/>
        </w:rPr>
        <w:t xml:space="preserve">matching </w:t>
      </w:r>
      <w:r w:rsidRPr="00A9015F">
        <w:rPr>
          <w:rFonts w:ascii="Times New Roman" w:eastAsia="Times New Roman" w:hAnsi="Times New Roman" w:cs="Times New Roman"/>
          <w:sz w:val="24"/>
          <w:szCs w:val="24"/>
        </w:rPr>
        <w:t xml:space="preserve">criteria measured a year </w:t>
      </w:r>
      <w:r w:rsidR="00205250">
        <w:rPr>
          <w:rFonts w:ascii="Times New Roman" w:eastAsia="Times New Roman" w:hAnsi="Times New Roman" w:cs="Times New Roman"/>
          <w:sz w:val="24"/>
          <w:szCs w:val="24"/>
        </w:rPr>
        <w:t>before</w:t>
      </w:r>
      <w:r w:rsidRPr="00A9015F">
        <w:rPr>
          <w:rFonts w:ascii="Times New Roman" w:eastAsia="Times New Roman" w:hAnsi="Times New Roman" w:cs="Times New Roman"/>
          <w:sz w:val="24"/>
          <w:szCs w:val="24"/>
        </w:rPr>
        <w:t xml:space="preserve"> the penalty </w:t>
      </w:r>
      <w:r w:rsidR="00205250">
        <w:rPr>
          <w:rFonts w:ascii="Times New Roman" w:eastAsia="Times New Roman" w:hAnsi="Times New Roman" w:cs="Times New Roman"/>
          <w:sz w:val="24"/>
          <w:szCs w:val="24"/>
        </w:rPr>
        <w:t xml:space="preserve">was </w:t>
      </w:r>
      <w:r w:rsidRPr="00A9015F">
        <w:rPr>
          <w:rFonts w:ascii="Times New Roman" w:eastAsia="Times New Roman" w:hAnsi="Times New Roman" w:cs="Times New Roman"/>
          <w:sz w:val="24"/>
          <w:szCs w:val="24"/>
        </w:rPr>
        <w:t xml:space="preserve">imposed </w:t>
      </w:r>
      <w:r w:rsidR="00205250">
        <w:rPr>
          <w:rFonts w:ascii="Times New Roman" w:eastAsia="Times New Roman" w:hAnsi="Times New Roman" w:cs="Times New Roman"/>
          <w:sz w:val="24"/>
          <w:szCs w:val="24"/>
        </w:rPr>
        <w:t xml:space="preserve">to avoid any endogeneity issues. </w:t>
      </w:r>
      <w:r w:rsidRPr="00A9015F">
        <w:rPr>
          <w:rFonts w:ascii="Times New Roman" w:eastAsia="Times New Roman" w:hAnsi="Times New Roman" w:cs="Times New Roman"/>
          <w:sz w:val="24"/>
          <w:szCs w:val="24"/>
        </w:rPr>
        <w:t>We then estimate the propensity scores using the nearest neighbour matching with a calliper of 0.01 without replacement</w:t>
      </w:r>
      <w:r w:rsidR="00205250">
        <w:rPr>
          <w:rFonts w:ascii="Times New Roman" w:eastAsia="Times New Roman" w:hAnsi="Times New Roman" w:cs="Times New Roman"/>
          <w:sz w:val="24"/>
          <w:szCs w:val="24"/>
        </w:rPr>
        <w:t xml:space="preserve">. The results are reported in </w:t>
      </w:r>
      <w:r w:rsidRPr="00A9015F">
        <w:rPr>
          <w:rFonts w:ascii="Times New Roman" w:eastAsia="Times New Roman" w:hAnsi="Times New Roman" w:cs="Times New Roman"/>
          <w:sz w:val="24"/>
          <w:szCs w:val="24"/>
        </w:rPr>
        <w:t xml:space="preserve">Table </w:t>
      </w:r>
      <w:r w:rsidR="00205250">
        <w:rPr>
          <w:rFonts w:ascii="Times New Roman" w:eastAsia="Times New Roman" w:hAnsi="Times New Roman" w:cs="Times New Roman"/>
          <w:sz w:val="24"/>
          <w:szCs w:val="24"/>
        </w:rPr>
        <w:t>5</w:t>
      </w:r>
      <w:r w:rsidRPr="00A9015F">
        <w:rPr>
          <w:rFonts w:ascii="Times New Roman" w:eastAsia="Times New Roman" w:hAnsi="Times New Roman" w:cs="Times New Roman"/>
          <w:sz w:val="24"/>
          <w:szCs w:val="24"/>
        </w:rPr>
        <w:t xml:space="preserve">. </w:t>
      </w:r>
      <w:r w:rsidRPr="00A9015F">
        <w:rPr>
          <w:rFonts w:ascii="Times New Roman" w:eastAsia="Times New Roman" w:hAnsi="Times New Roman" w:cs="Times New Roman"/>
          <w:i/>
          <w:iCs/>
          <w:sz w:val="24"/>
          <w:szCs w:val="24"/>
        </w:rPr>
        <w:t xml:space="preserve">Panel A of Table </w:t>
      </w:r>
      <w:r w:rsidR="00071AF6">
        <w:rPr>
          <w:rFonts w:ascii="Times New Roman" w:eastAsia="Times New Roman" w:hAnsi="Times New Roman" w:cs="Times New Roman"/>
          <w:i/>
          <w:iCs/>
          <w:sz w:val="24"/>
          <w:szCs w:val="24"/>
        </w:rPr>
        <w:t>5</w:t>
      </w:r>
      <w:r w:rsidRPr="00A9015F">
        <w:rPr>
          <w:rFonts w:ascii="Times New Roman" w:eastAsia="Times New Roman" w:hAnsi="Times New Roman" w:cs="Times New Roman"/>
          <w:sz w:val="24"/>
          <w:szCs w:val="24"/>
        </w:rPr>
        <w:t xml:space="preserve"> reports the </w:t>
      </w:r>
      <w:r w:rsidR="00205250">
        <w:rPr>
          <w:rFonts w:ascii="Times New Roman" w:eastAsia="Times New Roman" w:hAnsi="Times New Roman" w:cs="Times New Roman"/>
          <w:sz w:val="24"/>
          <w:szCs w:val="24"/>
        </w:rPr>
        <w:t xml:space="preserve">comparison of the </w:t>
      </w:r>
      <w:r w:rsidRPr="00A9015F">
        <w:rPr>
          <w:rFonts w:ascii="Times New Roman" w:eastAsia="Times New Roman" w:hAnsi="Times New Roman" w:cs="Times New Roman"/>
          <w:sz w:val="24"/>
          <w:szCs w:val="24"/>
        </w:rPr>
        <w:t xml:space="preserve">univariate mean </w:t>
      </w:r>
      <w:r w:rsidR="00205250">
        <w:rPr>
          <w:rFonts w:ascii="Times New Roman" w:eastAsia="Times New Roman" w:hAnsi="Times New Roman" w:cs="Times New Roman"/>
          <w:sz w:val="24"/>
          <w:szCs w:val="24"/>
        </w:rPr>
        <w:t xml:space="preserve">for treatment and control banks along with t-statistics. </w:t>
      </w:r>
      <w:r w:rsidRPr="00A9015F">
        <w:rPr>
          <w:rFonts w:ascii="Times New Roman" w:eastAsia="Times New Roman" w:hAnsi="Times New Roman" w:cs="Times New Roman"/>
          <w:sz w:val="24"/>
          <w:szCs w:val="24"/>
        </w:rPr>
        <w:t xml:space="preserve">The </w:t>
      </w:r>
      <w:r w:rsidR="00205250">
        <w:rPr>
          <w:rFonts w:ascii="Times New Roman" w:eastAsia="Times New Roman" w:hAnsi="Times New Roman" w:cs="Times New Roman"/>
          <w:sz w:val="24"/>
          <w:szCs w:val="24"/>
        </w:rPr>
        <w:t>findings show that treatment and control banks are qualitatively similar based on the matching variables.</w:t>
      </w:r>
      <w:r w:rsidRPr="00A9015F">
        <w:rPr>
          <w:rFonts w:ascii="Times New Roman" w:eastAsia="Times New Roman" w:hAnsi="Times New Roman" w:cs="Times New Roman"/>
          <w:sz w:val="24"/>
          <w:szCs w:val="24"/>
        </w:rPr>
        <w:t xml:space="preserve"> </w:t>
      </w:r>
      <w:r w:rsidR="00205250" w:rsidRPr="00205250">
        <w:rPr>
          <w:rFonts w:ascii="Times New Roman" w:eastAsia="Times New Roman" w:hAnsi="Times New Roman" w:cs="Times New Roman"/>
          <w:i/>
          <w:iCs/>
          <w:sz w:val="24"/>
          <w:szCs w:val="24"/>
        </w:rPr>
        <w:t>Panel B of Table 5 reports</w:t>
      </w:r>
      <w:r w:rsidR="00205250">
        <w:rPr>
          <w:rFonts w:ascii="Times New Roman" w:eastAsia="Times New Roman" w:hAnsi="Times New Roman" w:cs="Times New Roman"/>
          <w:sz w:val="24"/>
          <w:szCs w:val="24"/>
        </w:rPr>
        <w:t xml:space="preserve"> PSM regression, analysing </w:t>
      </w:r>
      <w:r w:rsidRPr="00A9015F">
        <w:rPr>
          <w:rFonts w:ascii="Times New Roman" w:eastAsia="Times New Roman" w:hAnsi="Times New Roman" w:cs="Times New Roman"/>
          <w:sz w:val="24"/>
          <w:szCs w:val="24"/>
        </w:rPr>
        <w:t>whether th</w:t>
      </w:r>
      <w:r w:rsidR="00205250">
        <w:rPr>
          <w:rFonts w:ascii="Times New Roman" w:eastAsia="Times New Roman" w:hAnsi="Times New Roman" w:cs="Times New Roman"/>
          <w:sz w:val="24"/>
          <w:szCs w:val="24"/>
        </w:rPr>
        <w:t>e</w:t>
      </w:r>
      <w:r w:rsidRPr="00A9015F">
        <w:rPr>
          <w:rFonts w:ascii="Times New Roman" w:eastAsia="Times New Roman" w:hAnsi="Times New Roman" w:cs="Times New Roman"/>
          <w:sz w:val="24"/>
          <w:szCs w:val="24"/>
        </w:rPr>
        <w:t xml:space="preserve"> variation is due to INED attribute heterogeneity</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The </w:t>
      </w:r>
      <w:r w:rsidR="00205250" w:rsidRPr="00A9015F">
        <w:rPr>
          <w:rFonts w:ascii="Times New Roman" w:eastAsia="Times New Roman" w:hAnsi="Times New Roman" w:cs="Times New Roman"/>
          <w:sz w:val="24"/>
          <w:szCs w:val="24"/>
        </w:rPr>
        <w:t>findings</w:t>
      </w:r>
      <w:r w:rsidRPr="00A9015F">
        <w:rPr>
          <w:rFonts w:ascii="Times New Roman" w:eastAsia="Times New Roman" w:hAnsi="Times New Roman" w:cs="Times New Roman"/>
          <w:sz w:val="24"/>
          <w:szCs w:val="24"/>
        </w:rPr>
        <w:t xml:space="preserve"> </w:t>
      </w:r>
      <w:r w:rsidR="00205250" w:rsidRPr="00A9015F">
        <w:rPr>
          <w:rFonts w:ascii="Times New Roman" w:eastAsia="Times New Roman" w:hAnsi="Times New Roman" w:cs="Times New Roman"/>
          <w:sz w:val="24"/>
          <w:szCs w:val="24"/>
        </w:rPr>
        <w:t>imply</w:t>
      </w:r>
      <w:r w:rsidRPr="00A9015F">
        <w:rPr>
          <w:rFonts w:ascii="Times New Roman" w:eastAsia="Times New Roman" w:hAnsi="Times New Roman" w:cs="Times New Roman"/>
          <w:sz w:val="24"/>
          <w:szCs w:val="24"/>
        </w:rPr>
        <w:t xml:space="preserve"> that INDED's attribute decreases the amount of bank misconduct. These findings are consistent with our baseline results that INED's attribute heterogeneity leads to lower bank misconduct. </w:t>
      </w:r>
    </w:p>
    <w:p w14:paraId="2E946204" w14:textId="5FDC84CD" w:rsidR="0091538C"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 Insert Table </w:t>
      </w:r>
      <w:r w:rsidR="00205250">
        <w:rPr>
          <w:rFonts w:ascii="Times New Roman" w:eastAsia="Times New Roman" w:hAnsi="Times New Roman" w:cs="Times New Roman"/>
          <w:i/>
          <w:iCs/>
          <w:sz w:val="24"/>
          <w:szCs w:val="24"/>
        </w:rPr>
        <w:t>5</w:t>
      </w:r>
      <w:r w:rsidR="0091538C">
        <w:rPr>
          <w:rFonts w:ascii="Times New Roman" w:eastAsia="Times New Roman" w:hAnsi="Times New Roman" w:cs="Times New Roman"/>
          <w:i/>
          <w:iCs/>
          <w:sz w:val="24"/>
          <w:szCs w:val="24"/>
        </w:rPr>
        <w:t>.</w:t>
      </w:r>
      <w:r w:rsidRPr="00A9015F">
        <w:rPr>
          <w:rFonts w:ascii="Times New Roman" w:eastAsia="Times New Roman" w:hAnsi="Times New Roman" w:cs="Times New Roman"/>
          <w:i/>
          <w:iCs/>
          <w:sz w:val="24"/>
          <w:szCs w:val="24"/>
        </w:rPr>
        <w:t>5 here]</w:t>
      </w:r>
    </w:p>
    <w:p w14:paraId="582DE48D" w14:textId="77777777" w:rsidR="0091538C" w:rsidRDefault="0091538C">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22106E72" w14:textId="77777777" w:rsidR="00A9015F" w:rsidRPr="00A9015F" w:rsidRDefault="00A9015F" w:rsidP="00A9015F">
      <w:pPr>
        <w:spacing w:line="480" w:lineRule="auto"/>
        <w:jc w:val="center"/>
        <w:rPr>
          <w:rFonts w:ascii="Times New Roman" w:eastAsia="Times New Roman" w:hAnsi="Times New Roman" w:cs="Times New Roman"/>
          <w:i/>
          <w:iCs/>
          <w:sz w:val="24"/>
          <w:szCs w:val="24"/>
        </w:rPr>
      </w:pPr>
    </w:p>
    <w:p w14:paraId="0D80F279" w14:textId="2B61FD19" w:rsidR="00A9015F" w:rsidRDefault="00963CA8" w:rsidP="00963CA8">
      <w:pPr>
        <w:pStyle w:val="Heading3"/>
        <w:rPr>
          <w:rFonts w:ascii="Times New Roman" w:hAnsi="Times New Roman" w:cs="Times New Roman"/>
          <w:b/>
          <w:bCs/>
          <w:color w:val="000000" w:themeColor="text1"/>
        </w:rPr>
      </w:pPr>
      <w:bookmarkStart w:id="154" w:name="_Toc145616224"/>
      <w:r w:rsidRPr="00963CA8">
        <w:rPr>
          <w:rFonts w:ascii="Times New Roman" w:hAnsi="Times New Roman" w:cs="Times New Roman"/>
          <w:b/>
          <w:bCs/>
          <w:color w:val="000000" w:themeColor="text1"/>
        </w:rPr>
        <w:t>5.5.3</w:t>
      </w:r>
      <w:r w:rsidR="00A9015F" w:rsidRPr="00963CA8">
        <w:rPr>
          <w:rFonts w:ascii="Times New Roman" w:hAnsi="Times New Roman" w:cs="Times New Roman"/>
          <w:b/>
          <w:bCs/>
          <w:color w:val="000000" w:themeColor="text1"/>
        </w:rPr>
        <w:t xml:space="preserve"> Heterogeneity in the Attributes of Independent Non-Executive Directors (INEDs) and Bank Risk – Post-2009 Impact</w:t>
      </w:r>
      <w:bookmarkEnd w:id="154"/>
    </w:p>
    <w:p w14:paraId="4D98647C" w14:textId="77777777" w:rsidR="00963CA8" w:rsidRPr="00963CA8" w:rsidRDefault="00963CA8" w:rsidP="00963CA8"/>
    <w:p w14:paraId="26E2B638" w14:textId="48BEC6B3"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The banking industry is the most regulated business globally; however, the increase in frequency and size of recent misconduct cases have intensified the efforts of regulators and related agencies to focus on this crucial issue. Regulators are responsible for taking necessary steps to reduce bank misconduct to protect the financial system's integrity, which can put bank customers at a disadvantage due to information asymmetry (Gaudio et al., 2022). </w:t>
      </w:r>
      <w:r w:rsidR="00EE33D1">
        <w:rPr>
          <w:rFonts w:ascii="Times New Roman" w:eastAsia="Times New Roman" w:hAnsi="Times New Roman" w:cs="Times New Roman"/>
          <w:sz w:val="24"/>
          <w:szCs w:val="24"/>
        </w:rPr>
        <w:t>M</w:t>
      </w:r>
      <w:r w:rsidR="00EE33D1" w:rsidRPr="00A9015F">
        <w:rPr>
          <w:rFonts w:ascii="Times New Roman" w:eastAsia="Times New Roman" w:hAnsi="Times New Roman" w:cs="Times New Roman"/>
          <w:sz w:val="24"/>
          <w:szCs w:val="24"/>
        </w:rPr>
        <w:t xml:space="preserve">isconduct risk has received increasing attention from regulators, especially after the </w:t>
      </w:r>
      <w:r w:rsidR="00EE33D1">
        <w:rPr>
          <w:rFonts w:ascii="Times New Roman" w:eastAsia="Times New Roman" w:hAnsi="Times New Roman" w:cs="Times New Roman"/>
          <w:sz w:val="24"/>
          <w:szCs w:val="24"/>
        </w:rPr>
        <w:t xml:space="preserve">GFC </w:t>
      </w:r>
      <w:r w:rsidR="00EE33D1" w:rsidRPr="00A9015F">
        <w:rPr>
          <w:rFonts w:ascii="Times New Roman" w:eastAsia="Times New Roman" w:hAnsi="Times New Roman" w:cs="Times New Roman"/>
          <w:sz w:val="24"/>
          <w:szCs w:val="24"/>
        </w:rPr>
        <w:t>200</w:t>
      </w:r>
      <w:r w:rsidR="00EE33D1">
        <w:rPr>
          <w:rFonts w:ascii="Times New Roman" w:eastAsia="Times New Roman" w:hAnsi="Times New Roman" w:cs="Times New Roman"/>
          <w:sz w:val="24"/>
          <w:szCs w:val="24"/>
        </w:rPr>
        <w:t>7-2009</w:t>
      </w:r>
      <w:r w:rsidR="00EE33D1" w:rsidRPr="00A9015F">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In this regard, regulators have introduced a complex web of consumer protection rules resulting in reduced financial misconduct (Barakat and Hussainey, 2013; Cumming et al., 2015; Bermpei, Kalyvas and Nguyen, 2018; Amiram et al., 2018). These laws include criminal penalties, job loss, and jail sentences. The consequences of these laws are not limited to financial impacts but also result in reputational loss, lower firm value and growth prospects (Karpoff et al., 2008; Cumming et al., 2015; Zaman et al., 2021).</w:t>
      </w:r>
      <w:r w:rsidR="00EE33D1" w:rsidRPr="00EE33D1">
        <w:rPr>
          <w:rFonts w:ascii="Times New Roman" w:eastAsia="Times New Roman" w:hAnsi="Times New Roman" w:cs="Times New Roman"/>
          <w:sz w:val="24"/>
          <w:szCs w:val="24"/>
        </w:rPr>
        <w:t xml:space="preserve"> </w:t>
      </w:r>
      <w:r w:rsidR="00EE33D1" w:rsidRPr="00A9015F">
        <w:rPr>
          <w:rFonts w:ascii="Times New Roman" w:eastAsia="Times New Roman" w:hAnsi="Times New Roman" w:cs="Times New Roman"/>
          <w:sz w:val="24"/>
          <w:szCs w:val="24"/>
        </w:rPr>
        <w:t>Karpoff et al. (2008) shows that in the U.S., 93% of the managers involved in misconduct lose their jobs, 28% face criminal penalties, and an average jail sentence of 4.3 years.</w:t>
      </w:r>
    </w:p>
    <w:p w14:paraId="627546E7" w14:textId="4243D5F6"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On the other hand, weak regulations and enforcement result in low financial market trading, lower levels of financial market participation and low economic value of the firms (see, e.g., La Porta et al., 1997, 1998, 2002, 2006; Giannetti and Wang, 2014). Prior research also points out that the occurrence of misconduct varies over time as the regulation changes. In the U.S., there have been five changes in financial misconduct regulations beginning in the 1990s, i.e.  Securities Enforcement and Penny Stock Reform Act of 1990, the implementation of the U.S. Sentencing Commission Guidelines for crimes by organizations in November 1991, the Private Securities Litigation Reform Act of 1995, the Sarbanes-Oxley Act of 2002, and the Dodd-Frank Act of 2010 (Amiram et al., 2018). Cohen et al. (2008) report that earnings management rose steadily in the years preceding Sarbanes-Oxley's passage, primarily in poorly performing industries. Prior studies have examined the consequences of illegal behaviour by studying the market reaction to violations of regulations and have shown the negative impacts of such behaviour on financial performance (Bhagat, Bizjak, and Coles, 1998) and the reputation of the offending institution (Fiordelisi, Soana, and Schwizer, 2013; Zeidan, 2013). </w:t>
      </w:r>
    </w:p>
    <w:p w14:paraId="482DED79" w14:textId="0BB13844"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Furthermore, the literature also shows an increase in board independence after the financial crisis of 2007-2009 (Vallascas et al., 2017). We follow Mollah et al. (2021) to test the shift towards board independence and its effect on </w:t>
      </w:r>
      <w:r w:rsidR="00205250">
        <w:rPr>
          <w:rFonts w:ascii="Times New Roman" w:eastAsia="Times New Roman" w:hAnsi="Times New Roman" w:cs="Times New Roman"/>
          <w:sz w:val="24"/>
          <w:szCs w:val="24"/>
        </w:rPr>
        <w:t>INED</w:t>
      </w:r>
      <w:r w:rsidRPr="00A9015F">
        <w:rPr>
          <w:rFonts w:ascii="Times New Roman" w:eastAsia="Times New Roman" w:hAnsi="Times New Roman" w:cs="Times New Roman"/>
          <w:sz w:val="24"/>
          <w:szCs w:val="24"/>
        </w:rPr>
        <w:t xml:space="preserve"> </w:t>
      </w:r>
      <w:r w:rsidR="00205250">
        <w:rPr>
          <w:rFonts w:ascii="Times New Roman" w:eastAsia="Times New Roman" w:hAnsi="Times New Roman" w:cs="Times New Roman"/>
          <w:sz w:val="24"/>
          <w:szCs w:val="24"/>
        </w:rPr>
        <w:t xml:space="preserve">attribute </w:t>
      </w:r>
      <w:r w:rsidRPr="00A9015F">
        <w:rPr>
          <w:rFonts w:ascii="Times New Roman" w:eastAsia="Times New Roman" w:hAnsi="Times New Roman" w:cs="Times New Roman"/>
          <w:sz w:val="24"/>
          <w:szCs w:val="24"/>
        </w:rPr>
        <w:t xml:space="preserve">heterogeneity. We first show that </w:t>
      </w:r>
      <w:r w:rsidR="00205250">
        <w:rPr>
          <w:rFonts w:ascii="Times New Roman" w:eastAsia="Times New Roman" w:hAnsi="Times New Roman" w:cs="Times New Roman"/>
          <w:sz w:val="24"/>
          <w:szCs w:val="24"/>
        </w:rPr>
        <w:t>INED’s attribute</w:t>
      </w:r>
      <w:r w:rsidRPr="00A9015F">
        <w:rPr>
          <w:rFonts w:ascii="Times New Roman" w:eastAsia="Times New Roman" w:hAnsi="Times New Roman" w:cs="Times New Roman"/>
          <w:sz w:val="24"/>
          <w:szCs w:val="24"/>
        </w:rPr>
        <w:t xml:space="preserve"> heterogeneity increased after the financial crisis (see figure 1)—we then examine the impact of independent directors' heterogeneity after the financial crisis. We run our baseline model (equation 2) using a dummy variable post-2009, interacting it with the INED heterogeneity index. </w:t>
      </w:r>
      <w:r w:rsidR="00205250">
        <w:rPr>
          <w:rFonts w:ascii="Times New Roman" w:eastAsia="Times New Roman" w:hAnsi="Times New Roman" w:cs="Times New Roman"/>
          <w:sz w:val="24"/>
          <w:szCs w:val="24"/>
        </w:rPr>
        <w:t>We report t</w:t>
      </w:r>
      <w:r w:rsidRPr="00A9015F">
        <w:rPr>
          <w:rFonts w:ascii="Times New Roman" w:eastAsia="Times New Roman" w:hAnsi="Times New Roman" w:cs="Times New Roman"/>
          <w:sz w:val="24"/>
          <w:szCs w:val="24"/>
        </w:rPr>
        <w:t xml:space="preserve">he results in </w:t>
      </w:r>
      <w:r w:rsidRPr="00A9015F">
        <w:rPr>
          <w:rFonts w:ascii="Times New Roman" w:eastAsia="Times New Roman" w:hAnsi="Times New Roman" w:cs="Times New Roman"/>
          <w:i/>
          <w:iCs/>
          <w:sz w:val="24"/>
          <w:szCs w:val="24"/>
        </w:rPr>
        <w:t>Table</w:t>
      </w:r>
      <w:r w:rsidR="00205250">
        <w:rPr>
          <w:rFonts w:ascii="Times New Roman" w:eastAsia="Times New Roman" w:hAnsi="Times New Roman" w:cs="Times New Roman"/>
          <w:i/>
          <w:iCs/>
          <w:sz w:val="24"/>
          <w:szCs w:val="24"/>
        </w:rPr>
        <w:t xml:space="preserve"> </w:t>
      </w:r>
      <w:r w:rsidR="0091538C">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6.</w:t>
      </w:r>
      <w:r w:rsidRPr="00A9015F">
        <w:rPr>
          <w:rFonts w:ascii="Times New Roman" w:eastAsia="Times New Roman" w:hAnsi="Times New Roman" w:cs="Times New Roman"/>
          <w:b/>
          <w:bCs/>
          <w:i/>
          <w:iCs/>
          <w:sz w:val="24"/>
          <w:szCs w:val="24"/>
        </w:rPr>
        <w:t xml:space="preserve"> </w:t>
      </w:r>
    </w:p>
    <w:p w14:paraId="24FC27D4" w14:textId="78C1BC8A"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Our results show that the interaction term </w:t>
      </w:r>
      <w:r w:rsidR="00205250">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Post 2009 * INED heterogeneity index) </w:t>
      </w:r>
      <w:r w:rsidR="00205250">
        <w:rPr>
          <w:rFonts w:ascii="Times New Roman" w:eastAsia="Times New Roman" w:hAnsi="Times New Roman" w:cs="Times New Roman"/>
          <w:sz w:val="24"/>
          <w:szCs w:val="24"/>
        </w:rPr>
        <w:t>has a negative relationship with</w:t>
      </w:r>
      <w:r w:rsidRPr="00A9015F">
        <w:rPr>
          <w:rFonts w:ascii="Times New Roman" w:eastAsia="Times New Roman" w:hAnsi="Times New Roman" w:cs="Times New Roman"/>
          <w:sz w:val="24"/>
          <w:szCs w:val="24"/>
        </w:rPr>
        <w:t xml:space="preserve"> bank misconduct. The results </w:t>
      </w:r>
      <w:r w:rsidR="00205250" w:rsidRPr="00A9015F">
        <w:rPr>
          <w:rFonts w:ascii="Times New Roman" w:eastAsia="Times New Roman" w:hAnsi="Times New Roman" w:cs="Times New Roman"/>
          <w:sz w:val="24"/>
          <w:szCs w:val="24"/>
        </w:rPr>
        <w:t>imply</w:t>
      </w:r>
      <w:r w:rsidRPr="00A9015F">
        <w:rPr>
          <w:rFonts w:ascii="Times New Roman" w:eastAsia="Times New Roman" w:hAnsi="Times New Roman" w:cs="Times New Roman"/>
          <w:sz w:val="24"/>
          <w:szCs w:val="24"/>
        </w:rPr>
        <w:t xml:space="preserve"> that independent director heterogeneity has significantly changed independent directors' behaviour towards bank misconduct. The results also show that regulatory enforcement of bank misconduct after the financial crisis has substantially mitigated bank misconduct and improved director monitoring. The results are in line with similar studies gauging the impact of independent director's heterogeneity on bank risk-taking (Mollah et al., 2021) and the impact of regulation on bank misconduct (Cohen et al., 2008)</w:t>
      </w:r>
    </w:p>
    <w:p w14:paraId="7890C6EE" w14:textId="07DF0715" w:rsidR="00071AF6"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[Insert Table</w:t>
      </w:r>
      <w:r w:rsidR="0091538C">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6 here]</w:t>
      </w:r>
    </w:p>
    <w:p w14:paraId="74AAF99E" w14:textId="77777777" w:rsidR="00071AF6" w:rsidRDefault="00071AF6">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76F1B09A" w14:textId="77777777" w:rsidR="00A9015F" w:rsidRPr="00A9015F" w:rsidRDefault="00A9015F" w:rsidP="00A9015F">
      <w:pPr>
        <w:spacing w:line="480" w:lineRule="auto"/>
        <w:jc w:val="center"/>
        <w:rPr>
          <w:rFonts w:ascii="Times New Roman" w:eastAsia="Times New Roman" w:hAnsi="Times New Roman" w:cs="Times New Roman"/>
          <w:b/>
          <w:bCs/>
          <w:sz w:val="24"/>
          <w:szCs w:val="24"/>
        </w:rPr>
      </w:pPr>
    </w:p>
    <w:p w14:paraId="652C8D46" w14:textId="608BE0F5" w:rsidR="00A9015F" w:rsidRDefault="00963CA8" w:rsidP="00963CA8">
      <w:pPr>
        <w:pStyle w:val="Heading3"/>
        <w:rPr>
          <w:rFonts w:ascii="Times New Roman" w:hAnsi="Times New Roman" w:cs="Times New Roman"/>
          <w:b/>
          <w:bCs/>
          <w:color w:val="000000" w:themeColor="text1"/>
        </w:rPr>
      </w:pPr>
      <w:bookmarkStart w:id="155" w:name="_Toc145616225"/>
      <w:r w:rsidRPr="00963CA8">
        <w:rPr>
          <w:rFonts w:ascii="Times New Roman" w:hAnsi="Times New Roman" w:cs="Times New Roman"/>
          <w:b/>
          <w:bCs/>
          <w:color w:val="000000" w:themeColor="text1"/>
        </w:rPr>
        <w:t>5.5</w:t>
      </w:r>
      <w:r w:rsidR="00A9015F" w:rsidRPr="00963CA8">
        <w:rPr>
          <w:rFonts w:ascii="Times New Roman" w:hAnsi="Times New Roman" w:cs="Times New Roman"/>
          <w:b/>
          <w:bCs/>
          <w:color w:val="000000" w:themeColor="text1"/>
        </w:rPr>
        <w:t>.4 Channel Analysis</w:t>
      </w:r>
      <w:bookmarkEnd w:id="155"/>
    </w:p>
    <w:p w14:paraId="150F5F60" w14:textId="77777777" w:rsidR="00963CA8" w:rsidRPr="00963CA8" w:rsidRDefault="00963CA8" w:rsidP="00963CA8"/>
    <w:p w14:paraId="79349729" w14:textId="18533283"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According to stakeholder agency theory</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corporate violation</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w:t>
      </w:r>
      <w:r w:rsidR="00071AF6" w:rsidRPr="00A9015F">
        <w:rPr>
          <w:rFonts w:ascii="Times New Roman" w:eastAsia="Times New Roman" w:hAnsi="Times New Roman" w:cs="Times New Roman"/>
          <w:sz w:val="24"/>
          <w:szCs w:val="24"/>
        </w:rPr>
        <w:t>e.g.,</w:t>
      </w:r>
      <w:r w:rsidRPr="00A9015F">
        <w:rPr>
          <w:rFonts w:ascii="Times New Roman" w:eastAsia="Times New Roman" w:hAnsi="Times New Roman" w:cs="Times New Roman"/>
          <w:sz w:val="24"/>
          <w:szCs w:val="24"/>
        </w:rPr>
        <w:t xml:space="preserve"> misconduct</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is an agency issue between stakeholder</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and management (Jensen and Meckling, 1976; Fama and Jensen, 1983). Furthermore, with </w:t>
      </w:r>
      <w:r w:rsidR="00205250">
        <w:rPr>
          <w:rFonts w:ascii="Times New Roman" w:eastAsia="Times New Roman" w:hAnsi="Times New Roman" w:cs="Times New Roman"/>
          <w:sz w:val="24"/>
          <w:szCs w:val="24"/>
        </w:rPr>
        <w:t>information asymmetry, it becomes difficult for equity holders to monitor managers and other stakeholders (debtor holder</w:t>
      </w:r>
      <w:r w:rsidR="00963CA8">
        <w:rPr>
          <w:rFonts w:ascii="Times New Roman" w:eastAsia="Times New Roman" w:hAnsi="Times New Roman" w:cs="Times New Roman"/>
          <w:sz w:val="24"/>
          <w:szCs w:val="24"/>
        </w:rPr>
        <w:t>s, customers, taxpayers</w:t>
      </w:r>
      <w:r w:rsidR="00205250">
        <w:rPr>
          <w:rFonts w:ascii="Times New Roman" w:eastAsia="Times New Roman" w:hAnsi="Times New Roman" w:cs="Times New Roman"/>
          <w:sz w:val="24"/>
          <w:szCs w:val="24"/>
        </w:rPr>
        <w:t>) to control banks from shifting risk</w:t>
      </w:r>
      <w:r w:rsidRPr="00A9015F">
        <w:rPr>
          <w:rFonts w:ascii="Times New Roman" w:eastAsia="Times New Roman" w:hAnsi="Times New Roman" w:cs="Times New Roman"/>
          <w:sz w:val="24"/>
          <w:szCs w:val="24"/>
        </w:rPr>
        <w:t xml:space="preserve"> (John et al</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2016). In such circumstances, it </w:t>
      </w:r>
      <w:r w:rsidR="00205250">
        <w:rPr>
          <w:rFonts w:ascii="Times New Roman" w:eastAsia="Times New Roman" w:hAnsi="Times New Roman" w:cs="Times New Roman"/>
          <w:sz w:val="24"/>
          <w:szCs w:val="24"/>
        </w:rPr>
        <w:t xml:space="preserve">is </w:t>
      </w:r>
      <w:r w:rsidRPr="00A9015F">
        <w:rPr>
          <w:rFonts w:ascii="Times New Roman" w:eastAsia="Times New Roman" w:hAnsi="Times New Roman" w:cs="Times New Roman"/>
          <w:sz w:val="24"/>
          <w:szCs w:val="24"/>
        </w:rPr>
        <w:t>the legal responsibility of directors, especially independent directors</w:t>
      </w:r>
      <w:r w:rsidR="00205250">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to supervise agents and protect stakeholder</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interest</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(Hills and Jones, 1992). However, despite the legal </w:t>
      </w:r>
      <w:r w:rsidR="00205250">
        <w:rPr>
          <w:rFonts w:ascii="Times New Roman" w:eastAsia="Times New Roman" w:hAnsi="Times New Roman" w:cs="Times New Roman"/>
          <w:sz w:val="24"/>
          <w:szCs w:val="24"/>
        </w:rPr>
        <w:t>obligation</w:t>
      </w:r>
      <w:r w:rsidRPr="00A9015F">
        <w:rPr>
          <w:rFonts w:ascii="Times New Roman" w:eastAsia="Times New Roman" w:hAnsi="Times New Roman" w:cs="Times New Roman"/>
          <w:sz w:val="24"/>
          <w:szCs w:val="24"/>
        </w:rPr>
        <w:t>, directors face constraint</w:t>
      </w:r>
      <w:r w:rsidR="00205250">
        <w:rPr>
          <w:rFonts w:ascii="Times New Roman" w:eastAsia="Times New Roman" w:hAnsi="Times New Roman" w:cs="Times New Roman"/>
          <w:sz w:val="24"/>
          <w:szCs w:val="24"/>
        </w:rPr>
        <w:t>s in performing their responsibilities due to various circumstances, e.g.,</w:t>
      </w:r>
      <w:r w:rsidRPr="00A9015F">
        <w:rPr>
          <w:rFonts w:ascii="Times New Roman" w:eastAsia="Times New Roman" w:hAnsi="Times New Roman" w:cs="Times New Roman"/>
          <w:sz w:val="24"/>
          <w:szCs w:val="24"/>
        </w:rPr>
        <w:t xml:space="preserve"> powerful CEO, lack of experience, knowledge and sometimes limited resources (Jain and Zaman, 2020; Zaman et al., 2021). Prior literature finds the solution to stakeholder agency problem through </w:t>
      </w:r>
      <w:r w:rsidR="00205250">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 xml:space="preserve">formation of </w:t>
      </w:r>
      <w:r w:rsidR="00205250">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heterogenous board which results in enhanced board monitoring and effectiveness (Akram et al., 2020; Haynes and Hillman, 2010)  </w:t>
      </w:r>
    </w:p>
    <w:p w14:paraId="7197ECD6" w14:textId="1C0B4B4E"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Thus, based on stakeholder agency theory and previous literature, we further examine our proposition of whether independent director heterogeneity leads to lower misconduct- in the presence of information asymmetry. </w:t>
      </w:r>
      <w:r w:rsidR="00205250">
        <w:rPr>
          <w:rFonts w:ascii="Times New Roman" w:eastAsia="Times New Roman" w:hAnsi="Times New Roman" w:cs="Times New Roman"/>
          <w:sz w:val="24"/>
          <w:szCs w:val="24"/>
        </w:rPr>
        <w:t xml:space="preserve">We approach this issue by first analysing the direct relationship between the INED heterogeneity index and </w:t>
      </w:r>
      <w:r w:rsidRPr="00A9015F">
        <w:rPr>
          <w:rFonts w:ascii="Times New Roman" w:eastAsia="Times New Roman" w:hAnsi="Times New Roman" w:cs="Times New Roman"/>
          <w:sz w:val="24"/>
          <w:szCs w:val="24"/>
        </w:rPr>
        <w:t>information asymmetry</w:t>
      </w:r>
      <w:r w:rsidR="00205250">
        <w:rPr>
          <w:rFonts w:ascii="Times New Roman" w:eastAsia="Times New Roman" w:hAnsi="Times New Roman" w:cs="Times New Roman"/>
          <w:sz w:val="24"/>
          <w:szCs w:val="24"/>
        </w:rPr>
        <w:t xml:space="preserve">. As a </w:t>
      </w:r>
      <w:r w:rsidRPr="00A9015F">
        <w:rPr>
          <w:rFonts w:ascii="Times New Roman" w:eastAsia="Times New Roman" w:hAnsi="Times New Roman" w:cs="Times New Roman"/>
          <w:sz w:val="24"/>
          <w:szCs w:val="24"/>
        </w:rPr>
        <w:t>second</w:t>
      </w:r>
      <w:r w:rsidR="00205250">
        <w:rPr>
          <w:rFonts w:ascii="Times New Roman" w:eastAsia="Times New Roman" w:hAnsi="Times New Roman" w:cs="Times New Roman"/>
          <w:sz w:val="24"/>
          <w:szCs w:val="24"/>
        </w:rPr>
        <w:t xml:space="preserve"> step</w:t>
      </w:r>
      <w:r w:rsidRPr="00A9015F">
        <w:rPr>
          <w:rFonts w:ascii="Times New Roman" w:eastAsia="Times New Roman" w:hAnsi="Times New Roman" w:cs="Times New Roman"/>
          <w:sz w:val="24"/>
          <w:szCs w:val="24"/>
        </w:rPr>
        <w:t>, we re-</w:t>
      </w:r>
      <w:r w:rsidR="00205250" w:rsidRPr="00A9015F">
        <w:rPr>
          <w:rFonts w:ascii="Times New Roman" w:eastAsia="Times New Roman" w:hAnsi="Times New Roman" w:cs="Times New Roman"/>
          <w:sz w:val="24"/>
          <w:szCs w:val="24"/>
        </w:rPr>
        <w:t>examine</w:t>
      </w:r>
      <w:r w:rsidRPr="00A9015F">
        <w:rPr>
          <w:rFonts w:ascii="Times New Roman" w:eastAsia="Times New Roman" w:hAnsi="Times New Roman" w:cs="Times New Roman"/>
          <w:sz w:val="24"/>
          <w:szCs w:val="24"/>
        </w:rPr>
        <w:t xml:space="preserve"> the </w:t>
      </w:r>
      <w:r w:rsidR="00205250">
        <w:rPr>
          <w:rFonts w:ascii="Times New Roman" w:eastAsia="Times New Roman" w:hAnsi="Times New Roman" w:cs="Times New Roman"/>
          <w:sz w:val="24"/>
          <w:szCs w:val="24"/>
        </w:rPr>
        <w:t xml:space="preserve">relationship between the INED heterogeneity index and </w:t>
      </w:r>
      <w:r w:rsidRPr="00A9015F">
        <w:rPr>
          <w:rFonts w:ascii="Times New Roman" w:eastAsia="Times New Roman" w:hAnsi="Times New Roman" w:cs="Times New Roman"/>
          <w:sz w:val="24"/>
          <w:szCs w:val="24"/>
        </w:rPr>
        <w:t xml:space="preserve">bank misconduct based on </w:t>
      </w:r>
      <w:r w:rsidR="00205250">
        <w:rPr>
          <w:rFonts w:ascii="Times New Roman" w:eastAsia="Times New Roman" w:hAnsi="Times New Roman" w:cs="Times New Roman"/>
          <w:sz w:val="24"/>
          <w:szCs w:val="24"/>
        </w:rPr>
        <w:t xml:space="preserve">high/low </w:t>
      </w:r>
      <w:r w:rsidRPr="00A9015F">
        <w:rPr>
          <w:rFonts w:ascii="Times New Roman" w:eastAsia="Times New Roman" w:hAnsi="Times New Roman" w:cs="Times New Roman"/>
          <w:sz w:val="24"/>
          <w:szCs w:val="24"/>
        </w:rPr>
        <w:t xml:space="preserve">information asymmetry. </w:t>
      </w:r>
    </w:p>
    <w:p w14:paraId="6C65D223" w14:textId="2FA30875"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We </w:t>
      </w:r>
      <w:r w:rsidR="00205250">
        <w:rPr>
          <w:rFonts w:ascii="Times New Roman" w:eastAsia="Times New Roman" w:hAnsi="Times New Roman" w:cs="Times New Roman"/>
          <w:sz w:val="24"/>
          <w:szCs w:val="24"/>
        </w:rPr>
        <w:t>calculate</w:t>
      </w:r>
      <w:r w:rsidRPr="00A9015F">
        <w:rPr>
          <w:rFonts w:ascii="Times New Roman" w:eastAsia="Times New Roman" w:hAnsi="Times New Roman" w:cs="Times New Roman"/>
          <w:sz w:val="24"/>
          <w:szCs w:val="24"/>
        </w:rPr>
        <w:t xml:space="preserve"> information asymmetry as the difference between the bid and ask spread (Howe and Lin, 1992; Malik et al., 2020) and the dispersion of analysts' forecasts (Mollah et al., 2021; Mattei and Platikanova, 2017). We expect </w:t>
      </w:r>
      <w:r w:rsidR="00205250">
        <w:rPr>
          <w:rFonts w:ascii="Times New Roman" w:eastAsia="Times New Roman" w:hAnsi="Times New Roman" w:cs="Times New Roman"/>
          <w:sz w:val="24"/>
          <w:szCs w:val="24"/>
        </w:rPr>
        <w:t>that</w:t>
      </w:r>
      <w:r w:rsidR="00205250" w:rsidRPr="00205250">
        <w:rPr>
          <w:rFonts w:ascii="Times New Roman" w:eastAsia="Times New Roman" w:hAnsi="Times New Roman" w:cs="Times New Roman"/>
          <w:sz w:val="24"/>
          <w:szCs w:val="24"/>
        </w:rPr>
        <w:t xml:space="preserve"> </w:t>
      </w:r>
      <w:r w:rsidR="00205250" w:rsidRPr="00A9015F">
        <w:rPr>
          <w:rFonts w:ascii="Times New Roman" w:eastAsia="Times New Roman" w:hAnsi="Times New Roman" w:cs="Times New Roman"/>
          <w:sz w:val="24"/>
          <w:szCs w:val="24"/>
        </w:rPr>
        <w:t>INED heterogeneity should reduce information asymmetry through more varied viewpoints and greater access to information</w:t>
      </w:r>
      <w:r w:rsidR="00205250">
        <w:rPr>
          <w:rFonts w:ascii="Times New Roman" w:eastAsia="Times New Roman" w:hAnsi="Times New Roman" w:cs="Times New Roman"/>
          <w:sz w:val="24"/>
          <w:szCs w:val="24"/>
        </w:rPr>
        <w:t xml:space="preserve">; thus, we expect a </w:t>
      </w:r>
      <w:r w:rsidRPr="00A9015F">
        <w:rPr>
          <w:rFonts w:ascii="Times New Roman" w:eastAsia="Times New Roman" w:hAnsi="Times New Roman" w:cs="Times New Roman"/>
          <w:sz w:val="24"/>
          <w:szCs w:val="24"/>
        </w:rPr>
        <w:t xml:space="preserve">negative relationship between the INED heterogeneity index and information asymmetry </w:t>
      </w:r>
      <w:r w:rsidR="00205250">
        <w:rPr>
          <w:rFonts w:ascii="Times New Roman" w:eastAsia="Times New Roman" w:hAnsi="Times New Roman" w:cs="Times New Roman"/>
          <w:sz w:val="24"/>
          <w:szCs w:val="24"/>
        </w:rPr>
        <w:t>measures</w:t>
      </w:r>
      <w:r w:rsidRPr="00A9015F">
        <w:rPr>
          <w:rFonts w:ascii="Times New Roman" w:eastAsia="Times New Roman" w:hAnsi="Times New Roman" w:cs="Times New Roman"/>
          <w:sz w:val="24"/>
          <w:szCs w:val="24"/>
        </w:rPr>
        <w:t xml:space="preserve">. We also </w:t>
      </w:r>
      <w:r w:rsidR="00205250">
        <w:rPr>
          <w:rFonts w:ascii="Times New Roman" w:eastAsia="Times New Roman" w:hAnsi="Times New Roman" w:cs="Times New Roman"/>
          <w:sz w:val="24"/>
          <w:szCs w:val="24"/>
        </w:rPr>
        <w:t xml:space="preserve">anticipate a </w:t>
      </w:r>
      <w:r w:rsidRPr="00A9015F">
        <w:rPr>
          <w:rFonts w:ascii="Times New Roman" w:eastAsia="Times New Roman" w:hAnsi="Times New Roman" w:cs="Times New Roman"/>
          <w:sz w:val="24"/>
          <w:szCs w:val="24"/>
        </w:rPr>
        <w:t xml:space="preserve">stronger negative relationship between the INED heterogeneity index and </w:t>
      </w:r>
      <w:r w:rsidR="00205250">
        <w:rPr>
          <w:rFonts w:ascii="Times New Roman" w:eastAsia="Times New Roman" w:hAnsi="Times New Roman" w:cs="Times New Roman"/>
          <w:sz w:val="24"/>
          <w:szCs w:val="24"/>
        </w:rPr>
        <w:t xml:space="preserve">bank misconduct for </w:t>
      </w:r>
      <w:r w:rsidRPr="00A9015F">
        <w:rPr>
          <w:rFonts w:ascii="Times New Roman" w:eastAsia="Times New Roman" w:hAnsi="Times New Roman" w:cs="Times New Roman"/>
          <w:sz w:val="24"/>
          <w:szCs w:val="24"/>
        </w:rPr>
        <w:t xml:space="preserve">banks with </w:t>
      </w:r>
      <w:r w:rsidR="00205250">
        <w:rPr>
          <w:rFonts w:ascii="Times New Roman" w:eastAsia="Times New Roman" w:hAnsi="Times New Roman" w:cs="Times New Roman"/>
          <w:sz w:val="24"/>
          <w:szCs w:val="24"/>
        </w:rPr>
        <w:t>high</w:t>
      </w:r>
      <w:r w:rsidRPr="00A9015F">
        <w:rPr>
          <w:rFonts w:ascii="Times New Roman" w:eastAsia="Times New Roman" w:hAnsi="Times New Roman" w:cs="Times New Roman"/>
          <w:sz w:val="24"/>
          <w:szCs w:val="24"/>
        </w:rPr>
        <w:t xml:space="preserve"> information asymmetry. </w:t>
      </w:r>
      <w:r w:rsidR="00205250">
        <w:rPr>
          <w:rFonts w:ascii="Times New Roman" w:eastAsia="Times New Roman" w:hAnsi="Times New Roman" w:cs="Times New Roman"/>
          <w:sz w:val="24"/>
          <w:szCs w:val="24"/>
        </w:rPr>
        <w:t xml:space="preserve">The results are reported </w:t>
      </w:r>
      <w:r w:rsidRPr="00A9015F">
        <w:rPr>
          <w:rFonts w:ascii="Times New Roman" w:eastAsia="Times New Roman" w:hAnsi="Times New Roman" w:cs="Times New Roman"/>
          <w:sz w:val="24"/>
          <w:szCs w:val="24"/>
        </w:rPr>
        <w:t xml:space="preserve">in </w:t>
      </w:r>
      <w:r w:rsidRPr="00A9015F">
        <w:rPr>
          <w:rFonts w:ascii="Times New Roman" w:eastAsia="Times New Roman" w:hAnsi="Times New Roman" w:cs="Times New Roman"/>
          <w:i/>
          <w:iCs/>
          <w:sz w:val="24"/>
          <w:szCs w:val="24"/>
        </w:rPr>
        <w:t xml:space="preserve">Table </w:t>
      </w:r>
      <w:r w:rsidR="00205250">
        <w:rPr>
          <w:rFonts w:ascii="Times New Roman" w:eastAsia="Times New Roman" w:hAnsi="Times New Roman" w:cs="Times New Roman"/>
          <w:i/>
          <w:iCs/>
          <w:sz w:val="24"/>
          <w:szCs w:val="24"/>
        </w:rPr>
        <w:t>5</w:t>
      </w:r>
      <w:r w:rsidR="0091538C">
        <w:rPr>
          <w:rFonts w:ascii="Times New Roman" w:eastAsia="Times New Roman" w:hAnsi="Times New Roman" w:cs="Times New Roman"/>
          <w:i/>
          <w:iCs/>
          <w:sz w:val="24"/>
          <w:szCs w:val="24"/>
        </w:rPr>
        <w:t>.</w:t>
      </w:r>
      <w:r w:rsidRPr="00A9015F">
        <w:rPr>
          <w:rFonts w:ascii="Times New Roman" w:eastAsia="Times New Roman" w:hAnsi="Times New Roman" w:cs="Times New Roman"/>
          <w:i/>
          <w:iCs/>
          <w:sz w:val="24"/>
          <w:szCs w:val="24"/>
        </w:rPr>
        <w:t>7</w:t>
      </w:r>
      <w:r w:rsidRPr="00A9015F">
        <w:rPr>
          <w:rFonts w:ascii="Times New Roman" w:eastAsia="Times New Roman" w:hAnsi="Times New Roman" w:cs="Times New Roman"/>
          <w:sz w:val="24"/>
          <w:szCs w:val="24"/>
        </w:rPr>
        <w:t xml:space="preserve">. Panel A </w:t>
      </w:r>
      <w:r w:rsidR="00205250">
        <w:rPr>
          <w:rFonts w:ascii="Times New Roman" w:eastAsia="Times New Roman" w:hAnsi="Times New Roman" w:cs="Times New Roman"/>
          <w:sz w:val="24"/>
          <w:szCs w:val="24"/>
        </w:rPr>
        <w:t xml:space="preserve">reports the result of the relationship between </w:t>
      </w:r>
      <w:r w:rsidRPr="00A9015F">
        <w:rPr>
          <w:rFonts w:ascii="Times New Roman" w:eastAsia="Times New Roman" w:hAnsi="Times New Roman" w:cs="Times New Roman"/>
          <w:sz w:val="24"/>
          <w:szCs w:val="24"/>
        </w:rPr>
        <w:t>information asymmetry and the INED heterogeneity index</w:t>
      </w:r>
      <w:r w:rsidR="00205250">
        <w:rPr>
          <w:rFonts w:ascii="Times New Roman" w:eastAsia="Times New Roman" w:hAnsi="Times New Roman" w:cs="Times New Roman"/>
          <w:sz w:val="24"/>
          <w:szCs w:val="24"/>
        </w:rPr>
        <w:t xml:space="preserve">, and the results show a significant reduction in </w:t>
      </w:r>
      <w:r w:rsidRPr="00A9015F">
        <w:rPr>
          <w:rFonts w:ascii="Times New Roman" w:eastAsia="Times New Roman" w:hAnsi="Times New Roman" w:cs="Times New Roman"/>
          <w:sz w:val="24"/>
          <w:szCs w:val="24"/>
        </w:rPr>
        <w:t>information asymmetry</w:t>
      </w:r>
      <w:r w:rsidR="00205250">
        <w:rPr>
          <w:rFonts w:ascii="Times New Roman" w:eastAsia="Times New Roman" w:hAnsi="Times New Roman" w:cs="Times New Roman"/>
          <w:sz w:val="24"/>
          <w:szCs w:val="24"/>
        </w:rPr>
        <w:t xml:space="preserve"> due to INED attribute heterogeneity</w:t>
      </w:r>
      <w:r w:rsidRPr="00A9015F">
        <w:rPr>
          <w:rFonts w:ascii="Times New Roman" w:eastAsia="Times New Roman" w:hAnsi="Times New Roman" w:cs="Times New Roman"/>
          <w:sz w:val="24"/>
          <w:szCs w:val="24"/>
        </w:rPr>
        <w:t xml:space="preserve">. </w:t>
      </w:r>
      <w:r w:rsidR="00205250">
        <w:rPr>
          <w:rFonts w:ascii="Times New Roman" w:eastAsia="Times New Roman" w:hAnsi="Times New Roman" w:cs="Times New Roman"/>
          <w:sz w:val="24"/>
          <w:szCs w:val="24"/>
        </w:rPr>
        <w:t xml:space="preserve">Panel B of Table 5.7 reports the results of INED attribute heterogeneity and bank misconduct in </w:t>
      </w:r>
      <w:r w:rsidRPr="00A9015F">
        <w:rPr>
          <w:rFonts w:ascii="Times New Roman" w:eastAsia="Times New Roman" w:hAnsi="Times New Roman" w:cs="Times New Roman"/>
          <w:sz w:val="24"/>
          <w:szCs w:val="24"/>
        </w:rPr>
        <w:t xml:space="preserve">high-low information asymmetry. </w:t>
      </w:r>
      <w:r w:rsidR="00205250">
        <w:rPr>
          <w:rFonts w:ascii="Times New Roman" w:eastAsia="Times New Roman" w:hAnsi="Times New Roman" w:cs="Times New Roman"/>
          <w:sz w:val="24"/>
          <w:szCs w:val="24"/>
        </w:rPr>
        <w:t xml:space="preserve">The results, per our expectations, show that INED attribute heterogeneity reduces bank misconduct in banks with high information asymmetry. </w:t>
      </w:r>
      <w:r w:rsidRPr="00A9015F">
        <w:rPr>
          <w:rFonts w:ascii="Times New Roman" w:eastAsia="Times New Roman" w:hAnsi="Times New Roman" w:cs="Times New Roman"/>
          <w:sz w:val="24"/>
          <w:szCs w:val="24"/>
        </w:rPr>
        <w:t xml:space="preserve">Overall, </w:t>
      </w:r>
      <w:r w:rsidR="00205250">
        <w:rPr>
          <w:rFonts w:ascii="Times New Roman" w:eastAsia="Times New Roman" w:hAnsi="Times New Roman" w:cs="Times New Roman"/>
          <w:sz w:val="24"/>
          <w:szCs w:val="24"/>
        </w:rPr>
        <w:t xml:space="preserve">we can conclude that </w:t>
      </w:r>
      <w:r w:rsidRPr="00A9015F">
        <w:rPr>
          <w:rFonts w:ascii="Times New Roman" w:eastAsia="Times New Roman" w:hAnsi="Times New Roman" w:cs="Times New Roman"/>
          <w:sz w:val="24"/>
          <w:szCs w:val="24"/>
        </w:rPr>
        <w:t>the risk-averse behaviour of INEDs is channelled through the mitigation of information asymmetry.</w:t>
      </w:r>
    </w:p>
    <w:p w14:paraId="3A802672" w14:textId="103B2B2F" w:rsidR="00A9015F" w:rsidRPr="00A9015F" w:rsidRDefault="00A9015F" w:rsidP="00071AF6">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[Insert Table</w:t>
      </w:r>
      <w:r w:rsidR="00205250">
        <w:rPr>
          <w:rFonts w:ascii="Times New Roman" w:eastAsia="Times New Roman" w:hAnsi="Times New Roman" w:cs="Times New Roman"/>
          <w:i/>
          <w:iCs/>
          <w:sz w:val="24"/>
          <w:szCs w:val="24"/>
        </w:rPr>
        <w:t>5</w:t>
      </w:r>
      <w:r w:rsidR="0091538C">
        <w:rPr>
          <w:rFonts w:ascii="Times New Roman" w:eastAsia="Times New Roman" w:hAnsi="Times New Roman" w:cs="Times New Roman"/>
          <w:i/>
          <w:iCs/>
          <w:sz w:val="24"/>
          <w:szCs w:val="24"/>
        </w:rPr>
        <w:t>.</w:t>
      </w:r>
      <w:r w:rsidRPr="00A9015F">
        <w:rPr>
          <w:rFonts w:ascii="Times New Roman" w:eastAsia="Times New Roman" w:hAnsi="Times New Roman" w:cs="Times New Roman"/>
          <w:i/>
          <w:iCs/>
          <w:sz w:val="24"/>
          <w:szCs w:val="24"/>
        </w:rPr>
        <w:t>7 here]</w:t>
      </w:r>
    </w:p>
    <w:p w14:paraId="614FA606" w14:textId="4DADC882" w:rsidR="00A9015F" w:rsidRPr="00A9015F" w:rsidRDefault="00963CA8" w:rsidP="00A9015F">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5.5.5</w:t>
      </w:r>
      <w:r w:rsidR="00A9015F" w:rsidRPr="00A9015F">
        <w:rPr>
          <w:rFonts w:ascii="Times New Roman" w:eastAsia="Times New Roman" w:hAnsi="Times New Roman" w:cs="Times New Roman"/>
          <w:b/>
          <w:bCs/>
          <w:sz w:val="24"/>
          <w:szCs w:val="24"/>
        </w:rPr>
        <w:t xml:space="preserve"> Robustness</w:t>
      </w:r>
    </w:p>
    <w:p w14:paraId="47A12060" w14:textId="77777777"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In this section, we conduct further analysis to confirm that INED directors' heterogeneity leads to lower bank misconduct. We test the robustness of our main results by using: i) alternative measures of bank misconduct, ii) a binomial regression model taking the dependent variable as a dummy variable iii) using an alternative proxy for heterogeneity index. We use the same control variables as our baseline regression, including year and bank fixed effects. All the standard errors are clustered at the bank level. The results are reported in Table 8. </w:t>
      </w:r>
    </w:p>
    <w:p w14:paraId="0B63E7CF" w14:textId="1EF1F19B"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Following Zaman et al. (2021),  we use ln(</w:t>
      </w:r>
      <w:r w:rsidR="00071AF6">
        <w:rPr>
          <w:rFonts w:ascii="Times New Roman" w:eastAsia="Times New Roman" w:hAnsi="Times New Roman" w:cs="Times New Roman"/>
          <w:sz w:val="24"/>
          <w:szCs w:val="24"/>
        </w:rPr>
        <w:t>n</w:t>
      </w:r>
      <w:r w:rsidRPr="00A9015F">
        <w:rPr>
          <w:rFonts w:ascii="Times New Roman" w:eastAsia="Times New Roman" w:hAnsi="Times New Roman" w:cs="Times New Roman"/>
          <w:sz w:val="24"/>
          <w:szCs w:val="24"/>
        </w:rPr>
        <w:t xml:space="preserve">umber of </w:t>
      </w:r>
      <w:r w:rsidR="00071AF6">
        <w:rPr>
          <w:rFonts w:ascii="Times New Roman" w:eastAsia="Times New Roman" w:hAnsi="Times New Roman" w:cs="Times New Roman"/>
          <w:sz w:val="24"/>
          <w:szCs w:val="24"/>
        </w:rPr>
        <w:t>p</w:t>
      </w:r>
      <w:r w:rsidRPr="00A9015F">
        <w:rPr>
          <w:rFonts w:ascii="Times New Roman" w:eastAsia="Times New Roman" w:hAnsi="Times New Roman" w:cs="Times New Roman"/>
          <w:sz w:val="24"/>
          <w:szCs w:val="24"/>
        </w:rPr>
        <w:t xml:space="preserve">enalties ) as a proxy for bank misconduct. The result is reported in </w:t>
      </w:r>
      <w:r w:rsidRPr="00A9015F">
        <w:rPr>
          <w:rFonts w:ascii="Times New Roman" w:eastAsia="Times New Roman" w:hAnsi="Times New Roman" w:cs="Times New Roman"/>
          <w:i/>
          <w:iCs/>
          <w:sz w:val="24"/>
          <w:szCs w:val="24"/>
        </w:rPr>
        <w:t>Model (1) Table 8</w:t>
      </w:r>
      <w:r w:rsidRPr="00A9015F">
        <w:rPr>
          <w:rFonts w:ascii="Times New Roman" w:eastAsia="Times New Roman" w:hAnsi="Times New Roman" w:cs="Times New Roman"/>
          <w:sz w:val="24"/>
          <w:szCs w:val="24"/>
        </w:rPr>
        <w:t xml:space="preserve">. The coefficient estimate is negative and statistically significant at the 1% significance level, confirming our baseline results. Some researchers prefer the number of fines over the total fines to capture bank misconduct (Arnaboldi et al., 2021; Nguyen et al., 2016; Liu, 2018; Cumming, 2015). The rationale is that the </w:t>
      </w:r>
      <w:r w:rsidR="00205250">
        <w:rPr>
          <w:rFonts w:ascii="Times New Roman" w:eastAsia="Times New Roman" w:hAnsi="Times New Roman" w:cs="Times New Roman"/>
          <w:sz w:val="24"/>
          <w:szCs w:val="24"/>
        </w:rPr>
        <w:t xml:space="preserve">total fine amount does not represent the actual intensity of misconduct as the amount of fine imposed can be subject to the regulator’s </w:t>
      </w:r>
      <w:r w:rsidRPr="00A9015F">
        <w:rPr>
          <w:rFonts w:ascii="Times New Roman" w:eastAsia="Times New Roman" w:hAnsi="Times New Roman" w:cs="Times New Roman"/>
          <w:sz w:val="24"/>
          <w:szCs w:val="24"/>
        </w:rPr>
        <w:t>prejudice due to political reasons and the systemic nature of the financial institutions</w:t>
      </w:r>
      <w:r w:rsidR="00205250">
        <w:rPr>
          <w:rFonts w:ascii="Times New Roman" w:eastAsia="Times New Roman" w:hAnsi="Times New Roman" w:cs="Times New Roman"/>
          <w:sz w:val="24"/>
          <w:szCs w:val="24"/>
        </w:rPr>
        <w:t xml:space="preserve"> (Arnaboldi et al., 2021)</w:t>
      </w:r>
      <w:r w:rsidRPr="00A9015F">
        <w:rPr>
          <w:rFonts w:ascii="Times New Roman" w:eastAsia="Times New Roman" w:hAnsi="Times New Roman" w:cs="Times New Roman"/>
          <w:sz w:val="24"/>
          <w:szCs w:val="24"/>
        </w:rPr>
        <w:t xml:space="preserve">. </w:t>
      </w:r>
      <w:r w:rsidR="00205250">
        <w:rPr>
          <w:rFonts w:ascii="Times New Roman" w:eastAsia="Times New Roman" w:hAnsi="Times New Roman" w:cs="Times New Roman"/>
          <w:sz w:val="24"/>
          <w:szCs w:val="24"/>
        </w:rPr>
        <w:t>Moreover, there is a strong chance that penalty amounts are negotiable</w:t>
      </w:r>
      <w:r w:rsidRPr="00A9015F">
        <w:rPr>
          <w:rFonts w:ascii="Times New Roman" w:eastAsia="Times New Roman" w:hAnsi="Times New Roman" w:cs="Times New Roman"/>
          <w:sz w:val="24"/>
          <w:szCs w:val="24"/>
        </w:rPr>
        <w:t xml:space="preserve"> </w:t>
      </w:r>
      <w:r w:rsidR="00205250" w:rsidRPr="00A9015F">
        <w:rPr>
          <w:rFonts w:ascii="Times New Roman" w:eastAsia="Times New Roman" w:hAnsi="Times New Roman" w:cs="Times New Roman"/>
          <w:sz w:val="24"/>
          <w:szCs w:val="24"/>
        </w:rPr>
        <w:t>among</w:t>
      </w:r>
      <w:r w:rsidRPr="00A9015F">
        <w:rPr>
          <w:rFonts w:ascii="Times New Roman" w:eastAsia="Times New Roman" w:hAnsi="Times New Roman" w:cs="Times New Roman"/>
          <w:sz w:val="24"/>
          <w:szCs w:val="24"/>
        </w:rPr>
        <w:t xml:space="preserve"> regulatory agencies and banks depending on the banks' willingness to settle the claims. However, Model (2) findings confirm our hypothesis that INED attribute heterogeneity significantly reduces bank misconduct, even accounting for alternative proxy for bank misconduct.</w:t>
      </w:r>
    </w:p>
    <w:p w14:paraId="12C09704" w14:textId="77777777"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 In </w:t>
      </w:r>
      <w:r w:rsidRPr="00A9015F">
        <w:rPr>
          <w:rFonts w:ascii="Times New Roman" w:eastAsia="Times New Roman" w:hAnsi="Times New Roman" w:cs="Times New Roman"/>
          <w:i/>
          <w:iCs/>
          <w:sz w:val="24"/>
          <w:szCs w:val="24"/>
        </w:rPr>
        <w:t>Model (3)</w:t>
      </w:r>
      <w:r w:rsidRPr="00A9015F">
        <w:rPr>
          <w:rFonts w:ascii="Times New Roman" w:eastAsia="Times New Roman" w:hAnsi="Times New Roman" w:cs="Times New Roman"/>
          <w:sz w:val="24"/>
          <w:szCs w:val="24"/>
        </w:rPr>
        <w:t>, we argue that heterogeneity becomes more relevant when it reaches a certain threshold (Arnaboldi et al., 2020). The most common argument in this regard is that women when going a critical mass of three, have more influence over corporate decision-making (Atif et al., 2021). Prior literature addresses the issue of non-linearity using the threshold of the board features above and below a certain level (Cumming et al., 2015; Arnaboldi et al., 2021). We only use thresholds (above and below the median) for INED heterogeneity attributes. Our results show that more gender heterogeneity (above median), more financial experts heterogeneity (above median) and low tenure heterogeneity (below median) have a significant negative impact on bank misconduct</w:t>
      </w:r>
      <w:r w:rsidRPr="00A9015F">
        <w:rPr>
          <w:rFonts w:ascii="Times New Roman" w:eastAsia="Times New Roman" w:hAnsi="Times New Roman" w:cs="Times New Roman"/>
          <w:sz w:val="24"/>
          <w:szCs w:val="24"/>
          <w:vertAlign w:val="superscript"/>
        </w:rPr>
        <w:footnoteReference w:id="14"/>
      </w:r>
      <w:r w:rsidRPr="00A9015F">
        <w:rPr>
          <w:rFonts w:ascii="Times New Roman" w:eastAsia="Times New Roman" w:hAnsi="Times New Roman" w:cs="Times New Roman"/>
          <w:sz w:val="24"/>
          <w:szCs w:val="24"/>
        </w:rPr>
        <w:t xml:space="preserve">. We form an index based on these variables. The results show that the negative relationship between the INED director's attribute heterogeneity remains consistent even after incorporating the linearity issue. </w:t>
      </w:r>
    </w:p>
    <w:p w14:paraId="016E2B61" w14:textId="5F6664EA" w:rsidR="00E30E2D" w:rsidRDefault="00A9015F" w:rsidP="00A9015F">
      <w:pPr>
        <w:spacing w:line="480" w:lineRule="auto"/>
        <w:jc w:val="center"/>
        <w:rPr>
          <w:rFonts w:ascii="Times New Roman" w:eastAsia="Times New Roman" w:hAnsi="Times New Roman" w:cs="Times New Roman"/>
          <w:i/>
          <w:iCs/>
          <w:sz w:val="24"/>
          <w:szCs w:val="24"/>
        </w:rPr>
      </w:pPr>
      <w:r w:rsidRPr="00A9015F">
        <w:rPr>
          <w:rFonts w:ascii="Times New Roman" w:eastAsia="Times New Roman" w:hAnsi="Times New Roman" w:cs="Times New Roman"/>
          <w:i/>
          <w:iCs/>
          <w:sz w:val="24"/>
          <w:szCs w:val="24"/>
        </w:rPr>
        <w:t xml:space="preserve">[ Insert Table </w:t>
      </w:r>
      <w:r w:rsidR="0091538C">
        <w:rPr>
          <w:rFonts w:ascii="Times New Roman" w:eastAsia="Times New Roman" w:hAnsi="Times New Roman" w:cs="Times New Roman"/>
          <w:i/>
          <w:iCs/>
          <w:sz w:val="24"/>
          <w:szCs w:val="24"/>
        </w:rPr>
        <w:t>5.</w:t>
      </w:r>
      <w:r w:rsidRPr="00A9015F">
        <w:rPr>
          <w:rFonts w:ascii="Times New Roman" w:eastAsia="Times New Roman" w:hAnsi="Times New Roman" w:cs="Times New Roman"/>
          <w:i/>
          <w:iCs/>
          <w:sz w:val="24"/>
          <w:szCs w:val="24"/>
        </w:rPr>
        <w:t>8 here]</w:t>
      </w:r>
    </w:p>
    <w:p w14:paraId="763A4942" w14:textId="77777777" w:rsidR="00E30E2D" w:rsidRDefault="00E30E2D">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2C15E7B2" w14:textId="77777777" w:rsidR="00A9015F" w:rsidRPr="00A9015F" w:rsidRDefault="00A9015F" w:rsidP="00A9015F">
      <w:pPr>
        <w:spacing w:line="480" w:lineRule="auto"/>
        <w:jc w:val="center"/>
        <w:rPr>
          <w:rFonts w:ascii="Times New Roman" w:eastAsia="Times New Roman" w:hAnsi="Times New Roman" w:cs="Times New Roman"/>
          <w:i/>
          <w:iCs/>
          <w:sz w:val="24"/>
          <w:szCs w:val="24"/>
        </w:rPr>
      </w:pPr>
    </w:p>
    <w:p w14:paraId="7A82E12E" w14:textId="670385E8" w:rsidR="00A9015F" w:rsidRDefault="00A9015F" w:rsidP="00963CA8">
      <w:pPr>
        <w:pStyle w:val="Heading2"/>
      </w:pPr>
      <w:bookmarkStart w:id="156" w:name="_Toc145616226"/>
      <w:r w:rsidRPr="00A9015F">
        <w:t>5</w:t>
      </w:r>
      <w:r w:rsidR="00963CA8">
        <w:t>.6</w:t>
      </w:r>
      <w:r w:rsidRPr="00A9015F">
        <w:t>. Conclusion</w:t>
      </w:r>
      <w:bookmarkEnd w:id="156"/>
    </w:p>
    <w:p w14:paraId="67AC2A8E" w14:textId="77777777" w:rsidR="00963CA8" w:rsidRPr="00963CA8" w:rsidRDefault="00963CA8" w:rsidP="00963CA8"/>
    <w:p w14:paraId="0A05A3B7" w14:textId="047805CA"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Despite the efforts of the regulators to improve the governance of U.S. banks and bank holding companies, financial misconducts are still prevalent and pose a threat to corporate stakeholders. Our study identifies that focusing only on </w:t>
      </w:r>
      <w:r w:rsidR="00205250">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presence of independent directors and finding its impact on corporate outcome</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is not an appropriate measure to gauge independent director</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effectiveness. Our rationale for adopting diversity among independent directors is based on economic and social psychology literature that recommends diversity moderates group decisions (Bernile et al., 2018). Using a heterogeneity index based on diversity in gender, financial expertise, and tenure of independent directors, we show that </w:t>
      </w:r>
      <w:r w:rsidR="00205250">
        <w:rPr>
          <w:rFonts w:ascii="Times New Roman" w:eastAsia="Times New Roman" w:hAnsi="Times New Roman" w:cs="Times New Roman"/>
          <w:sz w:val="24"/>
          <w:szCs w:val="24"/>
        </w:rPr>
        <w:t>more diversity</w:t>
      </w:r>
      <w:r w:rsidRPr="00A9015F">
        <w:rPr>
          <w:rFonts w:ascii="Times New Roman" w:eastAsia="Times New Roman" w:hAnsi="Times New Roman" w:cs="Times New Roman"/>
          <w:sz w:val="24"/>
          <w:szCs w:val="24"/>
        </w:rPr>
        <w:t xml:space="preserve"> in INED attributes </w:t>
      </w:r>
      <w:r w:rsidR="00205250">
        <w:rPr>
          <w:rFonts w:ascii="Times New Roman" w:eastAsia="Times New Roman" w:hAnsi="Times New Roman" w:cs="Times New Roman"/>
          <w:sz w:val="24"/>
          <w:szCs w:val="24"/>
        </w:rPr>
        <w:t>results in</w:t>
      </w:r>
      <w:r w:rsidRPr="00A9015F">
        <w:rPr>
          <w:rFonts w:ascii="Times New Roman" w:eastAsia="Times New Roman" w:hAnsi="Times New Roman" w:cs="Times New Roman"/>
          <w:sz w:val="24"/>
          <w:szCs w:val="24"/>
        </w:rPr>
        <w:t xml:space="preserve"> lower bank misconduct. The</w:t>
      </w:r>
      <w:r w:rsidR="00205250">
        <w:rPr>
          <w:rFonts w:ascii="Times New Roman" w:eastAsia="Times New Roman" w:hAnsi="Times New Roman" w:cs="Times New Roman"/>
          <w:sz w:val="24"/>
          <w:szCs w:val="24"/>
        </w:rPr>
        <w:t xml:space="preserve"> finding remains consistent even after addressing robustness and endogeneity </w:t>
      </w:r>
      <w:r w:rsidRPr="00A9015F">
        <w:rPr>
          <w:rFonts w:ascii="Times New Roman" w:eastAsia="Times New Roman" w:hAnsi="Times New Roman" w:cs="Times New Roman"/>
          <w:sz w:val="24"/>
          <w:szCs w:val="24"/>
        </w:rPr>
        <w:t xml:space="preserve">concerns. We further provide evidence that increasing regulatory scrutiny has made banks more aware of appropriately structuring their boards. Our result shows that heterogeneity among INED attributes has significantly reduced bank misconduct after the financial crisis of 2007-2009. This finding highlights </w:t>
      </w:r>
      <w:r w:rsidR="00205250">
        <w:rPr>
          <w:rFonts w:ascii="Times New Roman" w:eastAsia="Times New Roman" w:hAnsi="Times New Roman" w:cs="Times New Roman"/>
          <w:sz w:val="24"/>
          <w:szCs w:val="24"/>
        </w:rPr>
        <w:t>the importance of internal bank</w:t>
      </w:r>
      <w:r w:rsidRPr="00A9015F">
        <w:rPr>
          <w:rFonts w:ascii="Times New Roman" w:eastAsia="Times New Roman" w:hAnsi="Times New Roman" w:cs="Times New Roman"/>
          <w:sz w:val="24"/>
          <w:szCs w:val="24"/>
        </w:rPr>
        <w:t xml:space="preserve"> governance </w:t>
      </w:r>
      <w:r w:rsidR="00205250">
        <w:rPr>
          <w:rFonts w:ascii="Times New Roman" w:eastAsia="Times New Roman" w:hAnsi="Times New Roman" w:cs="Times New Roman"/>
          <w:sz w:val="24"/>
          <w:szCs w:val="24"/>
        </w:rPr>
        <w:t xml:space="preserve">for implementing </w:t>
      </w:r>
      <w:r w:rsidRPr="00A9015F">
        <w:rPr>
          <w:rFonts w:ascii="Times New Roman" w:eastAsia="Times New Roman" w:hAnsi="Times New Roman" w:cs="Times New Roman"/>
          <w:sz w:val="24"/>
          <w:szCs w:val="24"/>
        </w:rPr>
        <w:t>regulation</w:t>
      </w:r>
      <w:r w:rsidR="00205250">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Finally, we look at the potential channels through which INED attribute heterogeneity may reduce bank misconduct. Our analysis provides evidence </w:t>
      </w:r>
      <w:r w:rsidR="00B25DE3">
        <w:rPr>
          <w:rFonts w:ascii="Times New Roman" w:eastAsia="Times New Roman" w:hAnsi="Times New Roman" w:cs="Times New Roman"/>
          <w:sz w:val="24"/>
          <w:szCs w:val="24"/>
        </w:rPr>
        <w:t>supporting</w:t>
      </w:r>
      <w:r w:rsidRPr="00A9015F">
        <w:rPr>
          <w:rFonts w:ascii="Times New Roman" w:eastAsia="Times New Roman" w:hAnsi="Times New Roman" w:cs="Times New Roman"/>
          <w:sz w:val="24"/>
          <w:szCs w:val="24"/>
        </w:rPr>
        <w:t xml:space="preserve"> improvements in information asymmetry as a channel through which INED attribute heterogeneity reduces bank misconduct. </w:t>
      </w:r>
    </w:p>
    <w:p w14:paraId="15666831" w14:textId="477E5E7F"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Our paper has important implications for managers and policymakers. Our findings suggest that for independent directors to be more effective, importance should be given to the diversity among independent directors on the board concerning gender, financial expertise, and tenure. Appoint</w:t>
      </w:r>
      <w:r w:rsidR="00B25DE3">
        <w:rPr>
          <w:rFonts w:ascii="Times New Roman" w:eastAsia="Times New Roman" w:hAnsi="Times New Roman" w:cs="Times New Roman"/>
          <w:sz w:val="24"/>
          <w:szCs w:val="24"/>
        </w:rPr>
        <w:t>ing</w:t>
      </w:r>
      <w:r w:rsidRPr="00A9015F">
        <w:rPr>
          <w:rFonts w:ascii="Times New Roman" w:eastAsia="Times New Roman" w:hAnsi="Times New Roman" w:cs="Times New Roman"/>
          <w:sz w:val="24"/>
          <w:szCs w:val="24"/>
        </w:rPr>
        <w:t xml:space="preserve"> independent directors following the diversity principle can substantially reduce </w:t>
      </w:r>
      <w:r w:rsidR="00B25DE3">
        <w:rPr>
          <w:rFonts w:ascii="Times New Roman" w:eastAsia="Times New Roman" w:hAnsi="Times New Roman" w:cs="Times New Roman"/>
          <w:sz w:val="24"/>
          <w:szCs w:val="24"/>
        </w:rPr>
        <w:t>stakeholder agency problem</w:t>
      </w:r>
      <w:r w:rsidRPr="00A9015F">
        <w:rPr>
          <w:rFonts w:ascii="Times New Roman" w:eastAsia="Times New Roman" w:hAnsi="Times New Roman" w:cs="Times New Roman"/>
          <w:sz w:val="24"/>
          <w:szCs w:val="24"/>
        </w:rPr>
        <w:t xml:space="preserve">s. Moreover, diversity among INED attributes compliments the regulatory efforts (Sarbanes -Oxley Act 2002), which advocates for </w:t>
      </w:r>
      <w:r w:rsidR="00B25DE3">
        <w:rPr>
          <w:rFonts w:ascii="Times New Roman" w:eastAsia="Times New Roman" w:hAnsi="Times New Roman" w:cs="Times New Roman"/>
          <w:sz w:val="24"/>
          <w:szCs w:val="24"/>
        </w:rPr>
        <w:t xml:space="preserve">a </w:t>
      </w:r>
      <w:r w:rsidRPr="00A9015F">
        <w:rPr>
          <w:rFonts w:ascii="Times New Roman" w:eastAsia="Times New Roman" w:hAnsi="Times New Roman" w:cs="Times New Roman"/>
          <w:sz w:val="24"/>
          <w:szCs w:val="24"/>
        </w:rPr>
        <w:t xml:space="preserve">more independent board. </w:t>
      </w:r>
    </w:p>
    <w:p w14:paraId="43DA0904" w14:textId="77777777" w:rsidR="00963CA8"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This study has certain limitations. Firstly, we have taken financial misconduct cases as reported in Violation Tracker following Arnaboldi et al. (2021) and Zaman et al.(2021). </w:t>
      </w:r>
      <w:r w:rsidR="00963CA8">
        <w:rPr>
          <w:rFonts w:ascii="Times New Roman" w:eastAsia="Times New Roman" w:hAnsi="Times New Roman" w:cs="Times New Roman"/>
          <w:sz w:val="24"/>
          <w:szCs w:val="24"/>
        </w:rPr>
        <w:t>Due to financial constraints, we could only use the free database available for the public. However, t</w:t>
      </w:r>
      <w:r w:rsidRPr="00A9015F">
        <w:rPr>
          <w:rFonts w:ascii="Times New Roman" w:eastAsia="Times New Roman" w:hAnsi="Times New Roman" w:cs="Times New Roman"/>
          <w:sz w:val="24"/>
          <w:szCs w:val="24"/>
        </w:rPr>
        <w:t>he literature on bank misconduct uses different databases</w:t>
      </w:r>
      <w:r w:rsidR="00963CA8">
        <w:rPr>
          <w:rFonts w:ascii="Times New Roman" w:eastAsia="Times New Roman" w:hAnsi="Times New Roman" w:cs="Times New Roman"/>
          <w:sz w:val="24"/>
          <w:szCs w:val="24"/>
        </w:rPr>
        <w:t>. T</w:t>
      </w:r>
      <w:r w:rsidRPr="00A9015F">
        <w:rPr>
          <w:rFonts w:ascii="Times New Roman" w:eastAsia="Times New Roman" w:hAnsi="Times New Roman" w:cs="Times New Roman"/>
          <w:sz w:val="24"/>
          <w:szCs w:val="24"/>
        </w:rPr>
        <w:t>hus, we suggest that future research consider alternative sources reporting financial misconduct to investigate the suggestions of this study.</w:t>
      </w:r>
    </w:p>
    <w:p w14:paraId="14B7E8EF" w14:textId="376591EA" w:rsidR="00A9015F" w:rsidRPr="00A9015F" w:rsidRDefault="00A9015F" w:rsidP="00A9015F">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Furthermore, Violation Tracker holds limited information about the U.S. banking industry. The study on bank misconduct in </w:t>
      </w:r>
      <w:r w:rsidR="00963CA8">
        <w:rPr>
          <w:rFonts w:ascii="Times New Roman" w:eastAsia="Times New Roman" w:hAnsi="Times New Roman" w:cs="Times New Roman"/>
          <w:sz w:val="24"/>
          <w:szCs w:val="24"/>
        </w:rPr>
        <w:t xml:space="preserve">the </w:t>
      </w:r>
      <w:r w:rsidRPr="00A9015F">
        <w:rPr>
          <w:rFonts w:ascii="Times New Roman" w:eastAsia="Times New Roman" w:hAnsi="Times New Roman" w:cs="Times New Roman"/>
          <w:sz w:val="24"/>
          <w:szCs w:val="24"/>
        </w:rPr>
        <w:t>U.S</w:t>
      </w:r>
      <w:r w:rsidR="00963CA8">
        <w:rPr>
          <w:rFonts w:ascii="Times New Roman" w:eastAsia="Times New Roman" w:hAnsi="Times New Roman" w:cs="Times New Roman"/>
          <w:sz w:val="24"/>
          <w:szCs w:val="24"/>
        </w:rPr>
        <w:t>.</w:t>
      </w:r>
      <w:r w:rsidRPr="00A9015F">
        <w:rPr>
          <w:rFonts w:ascii="Times New Roman" w:eastAsia="Times New Roman" w:hAnsi="Times New Roman" w:cs="Times New Roman"/>
          <w:sz w:val="24"/>
          <w:szCs w:val="24"/>
        </w:rPr>
        <w:t xml:space="preserve"> can be improved with the availability of more data. Finally, our study </w:t>
      </w:r>
      <w:r w:rsidR="00963CA8">
        <w:rPr>
          <w:rFonts w:ascii="Times New Roman" w:eastAsia="Times New Roman" w:hAnsi="Times New Roman" w:cs="Times New Roman"/>
          <w:sz w:val="24"/>
          <w:szCs w:val="24"/>
        </w:rPr>
        <w:t>cannot</w:t>
      </w:r>
      <w:r w:rsidRPr="00A9015F">
        <w:rPr>
          <w:rFonts w:ascii="Times New Roman" w:eastAsia="Times New Roman" w:hAnsi="Times New Roman" w:cs="Times New Roman"/>
          <w:sz w:val="24"/>
          <w:szCs w:val="24"/>
        </w:rPr>
        <w:t xml:space="preserve"> capture the firms that engage in misconduct but are not caught. </w:t>
      </w:r>
      <w:r w:rsidR="00963CA8">
        <w:rPr>
          <w:rFonts w:ascii="Times New Roman" w:eastAsia="Times New Roman" w:hAnsi="Times New Roman" w:cs="Times New Roman"/>
          <w:sz w:val="24"/>
          <w:szCs w:val="24"/>
        </w:rPr>
        <w:t>Hence, our results are based on the penalties identified by the regulatory authorities.</w:t>
      </w:r>
    </w:p>
    <w:p w14:paraId="539B6505" w14:textId="77777777" w:rsidR="00A9015F" w:rsidRPr="00A9015F" w:rsidRDefault="00A9015F" w:rsidP="00A9015F">
      <w:pPr>
        <w:spacing w:line="480" w:lineRule="auto"/>
        <w:jc w:val="both"/>
        <w:rPr>
          <w:rFonts w:ascii="Times New Roman" w:eastAsia="Times New Roman" w:hAnsi="Times New Roman" w:cs="Times New Roman"/>
          <w:sz w:val="24"/>
          <w:szCs w:val="24"/>
        </w:rPr>
      </w:pPr>
    </w:p>
    <w:p w14:paraId="1C05590C" w14:textId="2AA712B4" w:rsidR="00071AF6" w:rsidRPr="001278ED" w:rsidRDefault="00A9015F" w:rsidP="001278ED">
      <w:pPr>
        <w:jc w:val="center"/>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br w:type="page"/>
      </w:r>
      <w:r w:rsidR="00071AF6" w:rsidRPr="00071AF6">
        <w:rPr>
          <w:rFonts w:ascii="Times New Roman" w:hAnsi="Times New Roman" w:cs="Times New Roman"/>
          <w:b/>
          <w:bCs/>
          <w:sz w:val="32"/>
          <w:szCs w:val="32"/>
        </w:rPr>
        <w:t>Reference</w:t>
      </w:r>
    </w:p>
    <w:p w14:paraId="1435D8BC" w14:textId="77777777" w:rsidR="00071AF6" w:rsidRDefault="00071AF6" w:rsidP="00071AF6">
      <w:pPr>
        <w:pStyle w:val="NormalWeb"/>
        <w:ind w:left="142"/>
        <w:jc w:val="both"/>
      </w:pPr>
      <w:r>
        <w:t xml:space="preserve">A. A. Zaid, M., Wang, M., Adib, M., Sahyouni, A., &amp; T. F. Abuhijleh, S. (2020). Boardroom nationality and gender diversity: Implications for corporate sustainability performance. </w:t>
      </w:r>
      <w:r>
        <w:rPr>
          <w:i/>
          <w:iCs/>
        </w:rPr>
        <w:t>Journal of Cleaner Production</w:t>
      </w:r>
      <w:r>
        <w:t xml:space="preserve">, </w:t>
      </w:r>
      <w:r>
        <w:rPr>
          <w:i/>
          <w:iCs/>
        </w:rPr>
        <w:t>251</w:t>
      </w:r>
      <w:r>
        <w:t>.</w:t>
      </w:r>
    </w:p>
    <w:p w14:paraId="70C860B0" w14:textId="77777777" w:rsidR="00071AF6" w:rsidRDefault="00071AF6" w:rsidP="00071AF6">
      <w:pPr>
        <w:pStyle w:val="NormalWeb"/>
        <w:ind w:left="142"/>
        <w:jc w:val="both"/>
      </w:pPr>
      <w:r>
        <w:t xml:space="preserve">Acharya, V., Engle, R., &amp; Richardson, M. (2012). Capital shortfall: A new approach to ranking and regulating systemic risks. </w:t>
      </w:r>
      <w:r>
        <w:rPr>
          <w:i/>
          <w:iCs/>
        </w:rPr>
        <w:t>American Economic Review</w:t>
      </w:r>
      <w:r>
        <w:t xml:space="preserve">, </w:t>
      </w:r>
      <w:r>
        <w:rPr>
          <w:i/>
          <w:iCs/>
        </w:rPr>
        <w:t>102</w:t>
      </w:r>
      <w:r>
        <w:t xml:space="preserve">(3), 59–64. </w:t>
      </w:r>
    </w:p>
    <w:p w14:paraId="52322936" w14:textId="77777777" w:rsidR="00071AF6" w:rsidRDefault="00071AF6" w:rsidP="00071AF6">
      <w:pPr>
        <w:pStyle w:val="NormalWeb"/>
        <w:ind w:left="142"/>
        <w:jc w:val="both"/>
      </w:pPr>
      <w:r>
        <w:t xml:space="preserve">Adams, R. B. (2012). Governance and the Financial Crisis. </w:t>
      </w:r>
      <w:r>
        <w:rPr>
          <w:i/>
          <w:iCs/>
        </w:rPr>
        <w:t>International Review of Finance</w:t>
      </w:r>
      <w:r>
        <w:t xml:space="preserve">, </w:t>
      </w:r>
      <w:r>
        <w:rPr>
          <w:i/>
          <w:iCs/>
        </w:rPr>
        <w:t>12</w:t>
      </w:r>
      <w:r>
        <w:t xml:space="preserve">(1), 7–38. </w:t>
      </w:r>
    </w:p>
    <w:p w14:paraId="6963DE65" w14:textId="77777777" w:rsidR="00071AF6" w:rsidRDefault="00071AF6" w:rsidP="00071AF6">
      <w:pPr>
        <w:pStyle w:val="NormalWeb"/>
        <w:ind w:left="142"/>
        <w:jc w:val="both"/>
      </w:pPr>
      <w:r>
        <w:t xml:space="preserve">Adams, R. B., &amp; Ferreira, D. (2009). Women in the boardroom and their impact on governance and performance. </w:t>
      </w:r>
      <w:r>
        <w:rPr>
          <w:i/>
          <w:iCs/>
        </w:rPr>
        <w:t>Journal of Financial Economics</w:t>
      </w:r>
      <w:r>
        <w:t xml:space="preserve">, </w:t>
      </w:r>
      <w:r>
        <w:rPr>
          <w:i/>
          <w:iCs/>
        </w:rPr>
        <w:t>94</w:t>
      </w:r>
      <w:r>
        <w:t xml:space="preserve">(2), 291–309. </w:t>
      </w:r>
    </w:p>
    <w:p w14:paraId="3757CA78" w14:textId="77777777" w:rsidR="00071AF6" w:rsidRDefault="00071AF6" w:rsidP="00071AF6">
      <w:pPr>
        <w:pStyle w:val="NormalWeb"/>
        <w:ind w:left="142"/>
        <w:jc w:val="both"/>
      </w:pPr>
      <w:r>
        <w:t xml:space="preserve">Adams, R. B., &amp; Mehran, H. (2012). Bank board structure and performance: Evidence for large bank holding companies. </w:t>
      </w:r>
      <w:r>
        <w:rPr>
          <w:i/>
          <w:iCs/>
        </w:rPr>
        <w:t>Journal of Financial Intermediation</w:t>
      </w:r>
      <w:r>
        <w:t xml:space="preserve">, </w:t>
      </w:r>
      <w:r>
        <w:rPr>
          <w:i/>
          <w:iCs/>
        </w:rPr>
        <w:t>21</w:t>
      </w:r>
      <w:r>
        <w:t xml:space="preserve">(2), 243–267. </w:t>
      </w:r>
    </w:p>
    <w:p w14:paraId="3DFF2826" w14:textId="77777777" w:rsidR="00071AF6" w:rsidRDefault="00071AF6" w:rsidP="00071AF6">
      <w:pPr>
        <w:pStyle w:val="NormalWeb"/>
        <w:ind w:left="142"/>
        <w:jc w:val="both"/>
      </w:pPr>
      <w:r>
        <w:t xml:space="preserve">Adams, R. B., Hermalin, B. E., &amp; Weisbach, M. S. (2010). The role of boards of directors in corporate governance: A conceptual framework and survey. </w:t>
      </w:r>
      <w:r>
        <w:rPr>
          <w:i/>
          <w:iCs/>
        </w:rPr>
        <w:t>Journal of Economic Literature</w:t>
      </w:r>
      <w:r>
        <w:t xml:space="preserve">, </w:t>
      </w:r>
      <w:r>
        <w:rPr>
          <w:i/>
          <w:iCs/>
        </w:rPr>
        <w:t>48</w:t>
      </w:r>
      <w:r>
        <w:t xml:space="preserve">(1), 58–107. </w:t>
      </w:r>
    </w:p>
    <w:p w14:paraId="00B40962" w14:textId="77777777" w:rsidR="00071AF6" w:rsidRDefault="00071AF6" w:rsidP="00071AF6">
      <w:pPr>
        <w:pStyle w:val="NormalWeb"/>
        <w:ind w:left="142"/>
        <w:jc w:val="both"/>
      </w:pPr>
      <w:r>
        <w:t xml:space="preserve">Adusei, M., Akomea, S. Y., &amp; Poku, K. (2017). Board and management gender diversity and financial performance of microfinance institutions. </w:t>
      </w:r>
      <w:r>
        <w:rPr>
          <w:i/>
          <w:iCs/>
        </w:rPr>
        <w:t>Cogent Business and Management</w:t>
      </w:r>
      <w:r>
        <w:t xml:space="preserve">, </w:t>
      </w:r>
      <w:r>
        <w:rPr>
          <w:i/>
          <w:iCs/>
        </w:rPr>
        <w:t>4</w:t>
      </w:r>
      <w:r>
        <w:t xml:space="preserve">(1), 1–14. </w:t>
      </w:r>
    </w:p>
    <w:p w14:paraId="15D8A455" w14:textId="77777777" w:rsidR="00071AF6" w:rsidRDefault="00071AF6" w:rsidP="00071AF6">
      <w:pPr>
        <w:pStyle w:val="NormalWeb"/>
        <w:ind w:left="142"/>
        <w:jc w:val="both"/>
      </w:pPr>
      <w:r>
        <w:t xml:space="preserve">Aebi, V., Sabato, G., &amp; Schmid, M. (2012). Risk management, corporate governance, and bank performance in the financial crisis. </w:t>
      </w:r>
      <w:r>
        <w:rPr>
          <w:i/>
          <w:iCs/>
        </w:rPr>
        <w:t>Journal of Banking and Finance</w:t>
      </w:r>
      <w:r>
        <w:t xml:space="preserve">, </w:t>
      </w:r>
      <w:r>
        <w:rPr>
          <w:i/>
          <w:iCs/>
        </w:rPr>
        <w:t>36</w:t>
      </w:r>
      <w:r>
        <w:t xml:space="preserve">(12), 3213–3226. </w:t>
      </w:r>
    </w:p>
    <w:p w14:paraId="33251F68" w14:textId="77777777" w:rsidR="00071AF6" w:rsidRDefault="00071AF6" w:rsidP="00071AF6">
      <w:pPr>
        <w:pStyle w:val="NormalWeb"/>
        <w:ind w:left="142"/>
        <w:jc w:val="both"/>
      </w:pPr>
      <w:r>
        <w:t xml:space="preserve">Agrawal, A., &amp; Chadha, S. (2005). Corporate governance and accounting scandals. </w:t>
      </w:r>
      <w:r>
        <w:rPr>
          <w:i/>
          <w:iCs/>
        </w:rPr>
        <w:t>Journal of Law and Economics</w:t>
      </w:r>
      <w:r>
        <w:t xml:space="preserve">, </w:t>
      </w:r>
      <w:r>
        <w:rPr>
          <w:i/>
          <w:iCs/>
        </w:rPr>
        <w:t>48</w:t>
      </w:r>
      <w:r>
        <w:t xml:space="preserve">(2), 371–406. </w:t>
      </w:r>
    </w:p>
    <w:p w14:paraId="3232A58C" w14:textId="77777777" w:rsidR="00071AF6" w:rsidRDefault="00071AF6" w:rsidP="00071AF6">
      <w:pPr>
        <w:pStyle w:val="NormalWeb"/>
        <w:ind w:left="142"/>
        <w:jc w:val="both"/>
      </w:pPr>
      <w:r w:rsidRPr="00141438">
        <w:t xml:space="preserve">Akram, F., Abrar ul Haq, M., Natarajan, V. K., &amp; Chellakan, R. S. (2020). Board heterogeneity and corporate performance: An insight beyond agency issues. </w:t>
      </w:r>
      <w:r w:rsidRPr="00141438">
        <w:rPr>
          <w:i/>
          <w:iCs/>
        </w:rPr>
        <w:t>Cogent Business and Management</w:t>
      </w:r>
      <w:r w:rsidRPr="00141438">
        <w:t xml:space="preserve">, </w:t>
      </w:r>
      <w:r w:rsidRPr="00141438">
        <w:rPr>
          <w:i/>
          <w:iCs/>
        </w:rPr>
        <w:t>7</w:t>
      </w:r>
      <w:r w:rsidRPr="00141438">
        <w:t>(1).1-15</w:t>
      </w:r>
    </w:p>
    <w:p w14:paraId="5C05B600" w14:textId="77777777" w:rsidR="00071AF6" w:rsidRDefault="00071AF6" w:rsidP="00071AF6">
      <w:pPr>
        <w:pStyle w:val="NormalWeb"/>
        <w:ind w:left="142"/>
        <w:jc w:val="both"/>
      </w:pPr>
      <w:r>
        <w:t xml:space="preserve">Alexander, C. R., &amp; Cohen, M. A. (1999). Why do corporations become criminals? Ownership, hidden actions, and crime as an agency cost. </w:t>
      </w:r>
      <w:r>
        <w:rPr>
          <w:i/>
          <w:iCs/>
        </w:rPr>
        <w:t>Journal of Corporate Finance</w:t>
      </w:r>
      <w:r>
        <w:t xml:space="preserve">, </w:t>
      </w:r>
      <w:r>
        <w:rPr>
          <w:i/>
          <w:iCs/>
        </w:rPr>
        <w:t>5</w:t>
      </w:r>
      <w:r>
        <w:t xml:space="preserve">(1), 1–34. </w:t>
      </w:r>
    </w:p>
    <w:p w14:paraId="622400CB" w14:textId="77777777" w:rsidR="00071AF6" w:rsidRDefault="00071AF6" w:rsidP="00071AF6">
      <w:pPr>
        <w:pStyle w:val="NormalWeb"/>
        <w:ind w:left="142"/>
        <w:jc w:val="both"/>
      </w:pPr>
      <w:r>
        <w:t xml:space="preserve">Amiram, D., Bozanic, Z., Cox, J. D., Dupont, Q., Karpoff, J. M., &amp; Sloan, R. (2018). Financial reporting fraud and other forms of misconduct: a multidisciplinary review of the literature. </w:t>
      </w:r>
      <w:r>
        <w:rPr>
          <w:i/>
          <w:iCs/>
        </w:rPr>
        <w:t>Review of Accounting Studies</w:t>
      </w:r>
      <w:r>
        <w:t xml:space="preserve">, </w:t>
      </w:r>
      <w:r>
        <w:rPr>
          <w:i/>
          <w:iCs/>
        </w:rPr>
        <w:t>23</w:t>
      </w:r>
      <w:r>
        <w:t xml:space="preserve">(2), 732–783. </w:t>
      </w:r>
    </w:p>
    <w:p w14:paraId="1A3F455D" w14:textId="77777777" w:rsidR="00071AF6" w:rsidRDefault="00071AF6" w:rsidP="00071AF6">
      <w:pPr>
        <w:pStyle w:val="NormalWeb"/>
        <w:ind w:left="142"/>
        <w:jc w:val="both"/>
      </w:pPr>
      <w:r>
        <w:t xml:space="preserve">Anderson, R. C., Mansi, S. A., &amp; Reeb, D. M. (2004). Board characteristics, accounting report integrity, and the cost of debt. </w:t>
      </w:r>
      <w:r>
        <w:rPr>
          <w:i/>
          <w:iCs/>
        </w:rPr>
        <w:t>Journal of Accounting and Economics</w:t>
      </w:r>
      <w:r>
        <w:t xml:space="preserve">, </w:t>
      </w:r>
      <w:r>
        <w:rPr>
          <w:i/>
          <w:iCs/>
        </w:rPr>
        <w:t>37</w:t>
      </w:r>
      <w:r>
        <w:t xml:space="preserve">(3), 315–342. </w:t>
      </w:r>
    </w:p>
    <w:p w14:paraId="0854BD8E" w14:textId="77777777" w:rsidR="00071AF6" w:rsidRDefault="00071AF6" w:rsidP="00071AF6">
      <w:pPr>
        <w:pStyle w:val="NormalWeb"/>
        <w:ind w:left="142"/>
        <w:jc w:val="both"/>
      </w:pPr>
      <w:r>
        <w:t xml:space="preserve">Anderson, R. C., Reeb, D. M., Upadhyay, A., &amp; Zhao, W. (2011). The Economics of Director Heterogeneity. </w:t>
      </w:r>
      <w:r>
        <w:rPr>
          <w:i/>
          <w:iCs/>
        </w:rPr>
        <w:t>Financial Management</w:t>
      </w:r>
      <w:r>
        <w:t xml:space="preserve">, </w:t>
      </w:r>
      <w:r>
        <w:rPr>
          <w:i/>
          <w:iCs/>
        </w:rPr>
        <w:t>40</w:t>
      </w:r>
      <w:r>
        <w:t xml:space="preserve">(1), 5–38. </w:t>
      </w:r>
    </w:p>
    <w:p w14:paraId="35F8AFFA" w14:textId="77777777" w:rsidR="00071AF6" w:rsidRDefault="00071AF6" w:rsidP="00071AF6">
      <w:pPr>
        <w:pStyle w:val="NormalWeb"/>
        <w:ind w:left="142"/>
        <w:jc w:val="both"/>
      </w:pPr>
      <w:r>
        <w:t xml:space="preserve">Arnaboldi, F., Casu, B., Gallo, A., Kalotychou, E., &amp; Sarkisyan, A. (2021). Gender diversity and bank misconduct. </w:t>
      </w:r>
      <w:r>
        <w:rPr>
          <w:i/>
          <w:iCs/>
        </w:rPr>
        <w:t>Journal of Corporate Finance</w:t>
      </w:r>
      <w:r>
        <w:t xml:space="preserve">, </w:t>
      </w:r>
      <w:r>
        <w:rPr>
          <w:i/>
          <w:iCs/>
        </w:rPr>
        <w:t>71</w:t>
      </w:r>
      <w:r>
        <w:t xml:space="preserve">, 1–30. </w:t>
      </w:r>
    </w:p>
    <w:p w14:paraId="2083D6EC" w14:textId="77777777" w:rsidR="00071AF6" w:rsidRDefault="00071AF6" w:rsidP="00071AF6">
      <w:pPr>
        <w:pStyle w:val="NormalWeb"/>
        <w:ind w:left="142"/>
        <w:jc w:val="both"/>
      </w:pPr>
      <w:r>
        <w:t xml:space="preserve">Arnaboldi, F., Casu, B., Kalotychou, E., &amp; Sarkisyan, A. (2020). The performance effects of board heterogeneity: what works for EU banks? </w:t>
      </w:r>
      <w:r>
        <w:rPr>
          <w:i/>
          <w:iCs/>
        </w:rPr>
        <w:t>European Journal of Finance</w:t>
      </w:r>
      <w:r>
        <w:t xml:space="preserve">, </w:t>
      </w:r>
      <w:r>
        <w:rPr>
          <w:i/>
          <w:iCs/>
        </w:rPr>
        <w:t>26</w:t>
      </w:r>
      <w:r>
        <w:t xml:space="preserve">(10), 897–924. </w:t>
      </w:r>
    </w:p>
    <w:p w14:paraId="7CD8F20C" w14:textId="77777777" w:rsidR="00071AF6" w:rsidRPr="00141438" w:rsidRDefault="00071AF6" w:rsidP="00071AF6">
      <w:pPr>
        <w:pStyle w:val="NormalWeb"/>
        <w:ind w:left="142"/>
        <w:jc w:val="both"/>
      </w:pPr>
      <w:r w:rsidRPr="00141438">
        <w:t xml:space="preserve">Atif, M., Hossain, M., Alam, M. S., &amp; Goergen, M. (2021). Does board gender diversity affect renewable energy consumption? </w:t>
      </w:r>
      <w:r w:rsidRPr="00141438">
        <w:rPr>
          <w:i/>
          <w:iCs/>
        </w:rPr>
        <w:t>Journal of Corporate Finance</w:t>
      </w:r>
      <w:r w:rsidRPr="00141438">
        <w:t xml:space="preserve">, </w:t>
      </w:r>
      <w:r w:rsidRPr="00141438">
        <w:rPr>
          <w:i/>
          <w:iCs/>
        </w:rPr>
        <w:t>66</w:t>
      </w:r>
      <w:r w:rsidRPr="00141438">
        <w:t>(May), 1-29</w:t>
      </w:r>
    </w:p>
    <w:p w14:paraId="29CAC027" w14:textId="77777777" w:rsidR="00071AF6" w:rsidRPr="00141438" w:rsidRDefault="00071AF6" w:rsidP="00071AF6">
      <w:pPr>
        <w:pStyle w:val="NormalWeb"/>
        <w:ind w:left="142"/>
        <w:jc w:val="both"/>
      </w:pPr>
      <w:r w:rsidRPr="00141438">
        <w:t xml:space="preserve">Avci, S. B., Schipani, C. A., &amp; Seyhun, H. N. (2018). Do independent directors curb financial fraud? the evidence and proposals for further reform. </w:t>
      </w:r>
      <w:r w:rsidRPr="00141438">
        <w:rPr>
          <w:i/>
          <w:iCs/>
        </w:rPr>
        <w:t>Indiana Law Journal</w:t>
      </w:r>
      <w:r w:rsidRPr="00141438">
        <w:t xml:space="preserve">, </w:t>
      </w:r>
      <w:r w:rsidRPr="00141438">
        <w:rPr>
          <w:i/>
          <w:iCs/>
        </w:rPr>
        <w:t>93</w:t>
      </w:r>
      <w:r w:rsidRPr="00141438">
        <w:t>(3), 757–805.</w:t>
      </w:r>
    </w:p>
    <w:p w14:paraId="623A7381" w14:textId="77777777" w:rsidR="00071AF6" w:rsidRDefault="00071AF6" w:rsidP="00071AF6">
      <w:pPr>
        <w:pStyle w:val="NormalWeb"/>
        <w:ind w:left="142"/>
        <w:jc w:val="both"/>
      </w:pPr>
      <w:r w:rsidRPr="00141438">
        <w:t xml:space="preserve">Baghdadi, G. A., Nguyen, L. H. G., &amp; Podolski, E. J. (2020). Board co-option and default risk. </w:t>
      </w:r>
      <w:r w:rsidRPr="00141438">
        <w:rPr>
          <w:i/>
          <w:iCs/>
        </w:rPr>
        <w:t>Journal of Corporate Finance</w:t>
      </w:r>
      <w:r w:rsidRPr="00141438">
        <w:t xml:space="preserve">, </w:t>
      </w:r>
      <w:r w:rsidRPr="00141438">
        <w:rPr>
          <w:i/>
          <w:iCs/>
        </w:rPr>
        <w:t>64</w:t>
      </w:r>
      <w:r w:rsidRPr="00141438">
        <w:t>(July), 1-21.</w:t>
      </w:r>
      <w:r>
        <w:t xml:space="preserve"> </w:t>
      </w:r>
    </w:p>
    <w:p w14:paraId="776E05CF" w14:textId="77777777" w:rsidR="00071AF6" w:rsidRDefault="00071AF6" w:rsidP="00071AF6">
      <w:pPr>
        <w:pStyle w:val="NormalWeb"/>
        <w:ind w:left="142"/>
        <w:jc w:val="both"/>
      </w:pPr>
      <w:r>
        <w:t xml:space="preserve">Barakat, A., &amp; Hussainey, K. (2013). Bank governance, regulation, supervision, and risk reporting: Evidence from operational risk disclosures in European banks. </w:t>
      </w:r>
      <w:r>
        <w:rPr>
          <w:i/>
          <w:iCs/>
        </w:rPr>
        <w:t>International Review of Financial Analysis</w:t>
      </w:r>
      <w:r>
        <w:t xml:space="preserve">, </w:t>
      </w:r>
      <w:r>
        <w:rPr>
          <w:i/>
          <w:iCs/>
        </w:rPr>
        <w:t>30</w:t>
      </w:r>
      <w:r>
        <w:t xml:space="preserve">, 254–273. </w:t>
      </w:r>
    </w:p>
    <w:p w14:paraId="52E1D042" w14:textId="77777777" w:rsidR="00071AF6" w:rsidRDefault="00071AF6" w:rsidP="00071AF6">
      <w:pPr>
        <w:pStyle w:val="NormalWeb"/>
        <w:ind w:left="142"/>
        <w:jc w:val="both"/>
      </w:pPr>
      <w:r>
        <w:t xml:space="preserve">Baranchuk, N., &amp; Dybvig, P. H. (2009). Consensus in diverse corporate boards. </w:t>
      </w:r>
      <w:r>
        <w:rPr>
          <w:i/>
          <w:iCs/>
        </w:rPr>
        <w:t>Review of Financial Studies</w:t>
      </w:r>
      <w:r>
        <w:t xml:space="preserve">, </w:t>
      </w:r>
      <w:r>
        <w:rPr>
          <w:i/>
          <w:iCs/>
        </w:rPr>
        <w:t>22</w:t>
      </w:r>
      <w:r>
        <w:t xml:space="preserve">(2), 715–747. </w:t>
      </w:r>
    </w:p>
    <w:p w14:paraId="3BFF49C5" w14:textId="77777777" w:rsidR="00071AF6" w:rsidRDefault="00071AF6" w:rsidP="00071AF6">
      <w:pPr>
        <w:pStyle w:val="NormalWeb"/>
        <w:ind w:left="142"/>
        <w:jc w:val="both"/>
      </w:pPr>
      <w:r w:rsidRPr="009E69CE">
        <w:rPr>
          <w:lang w:val="de-DE"/>
        </w:rPr>
        <w:t xml:space="preserve">Barber, B. M., &amp; Odean, T. (2001). </w:t>
      </w:r>
      <w:r>
        <w:t xml:space="preserve">Boys will be boys: Gender, overconfidence, and common stock investment. </w:t>
      </w:r>
      <w:r>
        <w:rPr>
          <w:i/>
          <w:iCs/>
        </w:rPr>
        <w:t>Quarterly Journal of Economics</w:t>
      </w:r>
      <w:r>
        <w:t xml:space="preserve">, </w:t>
      </w:r>
      <w:r>
        <w:rPr>
          <w:i/>
          <w:iCs/>
        </w:rPr>
        <w:t>116</w:t>
      </w:r>
      <w:r>
        <w:t xml:space="preserve">(1), 261–292. </w:t>
      </w:r>
    </w:p>
    <w:p w14:paraId="4BBDE395" w14:textId="77777777" w:rsidR="00071AF6" w:rsidRDefault="00071AF6" w:rsidP="00071AF6">
      <w:pPr>
        <w:pStyle w:val="NormalWeb"/>
        <w:ind w:left="142"/>
        <w:jc w:val="both"/>
      </w:pPr>
      <w:r>
        <w:t xml:space="preserve">Beasley, M. S. (1996). An empirical analysis of the relation between the board of director composition and financial statement fraud. </w:t>
      </w:r>
      <w:r>
        <w:rPr>
          <w:i/>
          <w:iCs/>
        </w:rPr>
        <w:t>Accounting Review</w:t>
      </w:r>
      <w:r>
        <w:t xml:space="preserve">, </w:t>
      </w:r>
      <w:r>
        <w:rPr>
          <w:i/>
          <w:iCs/>
        </w:rPr>
        <w:t>71</w:t>
      </w:r>
      <w:r>
        <w:t xml:space="preserve">(4), 443–465. </w:t>
      </w:r>
    </w:p>
    <w:p w14:paraId="4ED09CE0" w14:textId="77777777" w:rsidR="00071AF6" w:rsidRDefault="00071AF6" w:rsidP="00071AF6">
      <w:pPr>
        <w:pStyle w:val="NormalWeb"/>
        <w:ind w:left="142"/>
        <w:jc w:val="both"/>
      </w:pPr>
      <w:r>
        <w:t xml:space="preserve">Bermpei, T., Kalyvas, A., &amp; Nguyen, T. C. (2018). Does institutional quality condition the effect of bank regulations and supervision on bank stability? Evidence from emerging and developing economies. </w:t>
      </w:r>
      <w:r>
        <w:rPr>
          <w:i/>
          <w:iCs/>
        </w:rPr>
        <w:t>International Review of Financial Analysis</w:t>
      </w:r>
      <w:r>
        <w:t xml:space="preserve">, </w:t>
      </w:r>
      <w:r>
        <w:rPr>
          <w:i/>
          <w:iCs/>
        </w:rPr>
        <w:t>59</w:t>
      </w:r>
      <w:r>
        <w:t xml:space="preserve">(June), 255–275. </w:t>
      </w:r>
    </w:p>
    <w:p w14:paraId="341F1DBC" w14:textId="77777777" w:rsidR="00071AF6" w:rsidRDefault="00071AF6" w:rsidP="00071AF6">
      <w:pPr>
        <w:pStyle w:val="NormalWeb"/>
        <w:ind w:left="142"/>
        <w:jc w:val="both"/>
      </w:pPr>
      <w:r>
        <w:t xml:space="preserve">Bernardi, R. A., Bosco, S. M., &amp; Columb, V. L. (2009). Does female representation on boards of directors associate with the most ethical companies list. </w:t>
      </w:r>
      <w:r>
        <w:rPr>
          <w:i/>
          <w:iCs/>
        </w:rPr>
        <w:t>Corporate Reputation Review</w:t>
      </w:r>
      <w:r>
        <w:t xml:space="preserve">, </w:t>
      </w:r>
      <w:r>
        <w:rPr>
          <w:i/>
          <w:iCs/>
        </w:rPr>
        <w:t>12</w:t>
      </w:r>
      <w:r>
        <w:t xml:space="preserve">(3), 270–280. </w:t>
      </w:r>
    </w:p>
    <w:p w14:paraId="28C47F67" w14:textId="77777777" w:rsidR="00071AF6" w:rsidRDefault="00071AF6" w:rsidP="00071AF6">
      <w:pPr>
        <w:pStyle w:val="NormalWeb"/>
        <w:ind w:left="142"/>
        <w:jc w:val="both"/>
      </w:pPr>
      <w:r>
        <w:t xml:space="preserve">Bernile, G., Bhagwat, V., &amp; Yonker, S. (2018). Board diversity, firm risk, and corporate policies. </w:t>
      </w:r>
      <w:r>
        <w:rPr>
          <w:i/>
          <w:iCs/>
        </w:rPr>
        <w:t>Journal of Financial Economics</w:t>
      </w:r>
      <w:r>
        <w:t xml:space="preserve">, </w:t>
      </w:r>
      <w:r>
        <w:rPr>
          <w:i/>
          <w:iCs/>
        </w:rPr>
        <w:t>127</w:t>
      </w:r>
      <w:r>
        <w:t xml:space="preserve">(3), 588–612. </w:t>
      </w:r>
    </w:p>
    <w:p w14:paraId="15585E8C" w14:textId="77777777" w:rsidR="00071AF6" w:rsidRDefault="00071AF6" w:rsidP="00071AF6">
      <w:pPr>
        <w:pStyle w:val="NormalWeb"/>
        <w:ind w:left="142"/>
        <w:jc w:val="both"/>
      </w:pPr>
      <w:r w:rsidRPr="00A44CF8">
        <w:t xml:space="preserve">Bhagat, S., Bizjak, J., &amp; Coles, J. L. (1998). The Shareholder Wealth Implications of Corporate Lawsuits. </w:t>
      </w:r>
      <w:r w:rsidRPr="00A44CF8">
        <w:rPr>
          <w:i/>
          <w:iCs/>
        </w:rPr>
        <w:t>Financial Management</w:t>
      </w:r>
      <w:r w:rsidRPr="00A44CF8">
        <w:t xml:space="preserve">, </w:t>
      </w:r>
      <w:r w:rsidRPr="00A44CF8">
        <w:rPr>
          <w:i/>
          <w:iCs/>
        </w:rPr>
        <w:t>27</w:t>
      </w:r>
      <w:r w:rsidRPr="00A44CF8">
        <w:t>(4), 5-27.</w:t>
      </w:r>
    </w:p>
    <w:p w14:paraId="7A2FE950" w14:textId="77777777" w:rsidR="00071AF6" w:rsidRDefault="00071AF6" w:rsidP="00071AF6">
      <w:pPr>
        <w:pStyle w:val="NormalWeb"/>
        <w:ind w:left="142"/>
        <w:jc w:val="both"/>
      </w:pPr>
      <w:r>
        <w:t xml:space="preserve">Boivie, S., Bednar, M. K., Aguilera, R. V., &amp; Andrus, J. L. (2016). Are Boards Designed to Fail? The Implausibility of Effective Board Monitoring. </w:t>
      </w:r>
      <w:r>
        <w:rPr>
          <w:i/>
          <w:iCs/>
        </w:rPr>
        <w:t>Academy of Management Annals</w:t>
      </w:r>
      <w:r>
        <w:t xml:space="preserve">, </w:t>
      </w:r>
      <w:r>
        <w:rPr>
          <w:i/>
          <w:iCs/>
        </w:rPr>
        <w:t>10</w:t>
      </w:r>
      <w:r>
        <w:t xml:space="preserve">(1), 319–407. </w:t>
      </w:r>
    </w:p>
    <w:p w14:paraId="1B1694B5" w14:textId="77777777" w:rsidR="00071AF6" w:rsidRDefault="00071AF6" w:rsidP="00071AF6">
      <w:pPr>
        <w:pStyle w:val="NormalWeb"/>
        <w:ind w:left="142"/>
        <w:jc w:val="both"/>
      </w:pPr>
      <w:r>
        <w:t xml:space="preserve">Boivie, S., Bednar, M. K., Aguilera, R. V., &amp; Andrus, J. L. (2016). Are Boards Designed to Fail? The Implausibility of Effective Board Monitoring. </w:t>
      </w:r>
      <w:r>
        <w:rPr>
          <w:i/>
          <w:iCs/>
        </w:rPr>
        <w:t>Academy of Management Annals</w:t>
      </w:r>
      <w:r>
        <w:t xml:space="preserve">, </w:t>
      </w:r>
      <w:r>
        <w:rPr>
          <w:i/>
          <w:iCs/>
        </w:rPr>
        <w:t>10</w:t>
      </w:r>
      <w:r>
        <w:t xml:space="preserve">(1), 319–407. </w:t>
      </w:r>
    </w:p>
    <w:p w14:paraId="4C5393EF" w14:textId="77777777" w:rsidR="00071AF6" w:rsidRDefault="00071AF6" w:rsidP="00071AF6">
      <w:pPr>
        <w:pStyle w:val="NormalWeb"/>
        <w:ind w:left="142"/>
        <w:jc w:val="both"/>
      </w:pPr>
      <w:r>
        <w:t xml:space="preserve">Brammer, S., Millington, A., &amp; Pavelin, S. (2009). Corporate reputation and women on the board. </w:t>
      </w:r>
      <w:r>
        <w:rPr>
          <w:i/>
          <w:iCs/>
        </w:rPr>
        <w:t>British Journal of Management</w:t>
      </w:r>
      <w:r>
        <w:t xml:space="preserve">, </w:t>
      </w:r>
      <w:r>
        <w:rPr>
          <w:i/>
          <w:iCs/>
        </w:rPr>
        <w:t>20</w:t>
      </w:r>
      <w:r>
        <w:t xml:space="preserve">(1), 17–29. </w:t>
      </w:r>
    </w:p>
    <w:p w14:paraId="3D5F09CC" w14:textId="77777777" w:rsidR="00071AF6" w:rsidRDefault="00071AF6" w:rsidP="00071AF6">
      <w:pPr>
        <w:pStyle w:val="NormalWeb"/>
        <w:ind w:left="142"/>
        <w:jc w:val="both"/>
      </w:pPr>
      <w:r>
        <w:t>Buchannan, B. (1974). Building Organizational Commitment : The Socialization of Managers in Work Organizations Author ( s ): Bruce Buchanan II Source : Administrative Science Quarterly , 9(4), 533-546.</w:t>
      </w:r>
    </w:p>
    <w:p w14:paraId="0207A603" w14:textId="77777777" w:rsidR="00071AF6" w:rsidRDefault="00071AF6" w:rsidP="00071AF6">
      <w:pPr>
        <w:pStyle w:val="NormalWeb"/>
        <w:ind w:left="142"/>
        <w:jc w:val="both"/>
      </w:pPr>
      <w:r>
        <w:t xml:space="preserve">Burke, J. J., Hoitash, R., &amp; Hoitash, U. (2019). The Heterogeneity of Board-Level Sustainability Committees and Corporate Social Performance. </w:t>
      </w:r>
      <w:r>
        <w:rPr>
          <w:i/>
          <w:iCs/>
        </w:rPr>
        <w:t>Journal of Business Ethics</w:t>
      </w:r>
      <w:r>
        <w:t xml:space="preserve">, </w:t>
      </w:r>
      <w:r>
        <w:rPr>
          <w:i/>
          <w:iCs/>
        </w:rPr>
        <w:t>154</w:t>
      </w:r>
      <w:r>
        <w:t xml:space="preserve">(4), 1161–1186. </w:t>
      </w:r>
    </w:p>
    <w:p w14:paraId="7A787ED4" w14:textId="77777777" w:rsidR="00071AF6" w:rsidRDefault="00071AF6" w:rsidP="00071AF6">
      <w:pPr>
        <w:pStyle w:val="NormalWeb"/>
        <w:ind w:left="142"/>
        <w:jc w:val="both"/>
      </w:pPr>
      <w:r>
        <w:t xml:space="preserve">Byrnes, J. P. (1999). Gender differences in risk taking: A meta-analysis. In </w:t>
      </w:r>
      <w:r>
        <w:rPr>
          <w:i/>
          <w:iCs/>
        </w:rPr>
        <w:t>Psychological Bulletin</w:t>
      </w:r>
      <w:r>
        <w:t xml:space="preserve"> ,125(3), 367–386.</w:t>
      </w:r>
    </w:p>
    <w:p w14:paraId="7BA67EA1" w14:textId="77777777" w:rsidR="00071AF6" w:rsidRDefault="00071AF6" w:rsidP="00071AF6">
      <w:pPr>
        <w:pStyle w:val="NormalWeb"/>
        <w:ind w:left="142"/>
        <w:jc w:val="both"/>
      </w:pPr>
      <w:r>
        <w:t xml:space="preserve">Cai, J., Garner, J. L., &amp; Walkling, R. A. (2009). Electing directors. </w:t>
      </w:r>
      <w:r>
        <w:rPr>
          <w:i/>
          <w:iCs/>
        </w:rPr>
        <w:t>Journal of Finance</w:t>
      </w:r>
      <w:r>
        <w:t xml:space="preserve">, </w:t>
      </w:r>
      <w:r>
        <w:rPr>
          <w:i/>
          <w:iCs/>
        </w:rPr>
        <w:t>64</w:t>
      </w:r>
      <w:r>
        <w:t xml:space="preserve">(5), 2389–2421. </w:t>
      </w:r>
    </w:p>
    <w:p w14:paraId="3D54E1BF" w14:textId="77777777" w:rsidR="00071AF6" w:rsidRDefault="00071AF6" w:rsidP="00071AF6">
      <w:pPr>
        <w:pStyle w:val="NormalWeb"/>
        <w:ind w:left="142"/>
        <w:jc w:val="both"/>
      </w:pPr>
      <w:r>
        <w:t xml:space="preserve">Carlson, R. (1972). Understanding Women: Implications for Personality Theory and Research. </w:t>
      </w:r>
      <w:r>
        <w:rPr>
          <w:i/>
          <w:iCs/>
        </w:rPr>
        <w:t>Journal of Social Issues</w:t>
      </w:r>
      <w:r>
        <w:t xml:space="preserve">, </w:t>
      </w:r>
      <w:r>
        <w:rPr>
          <w:i/>
          <w:iCs/>
        </w:rPr>
        <w:t>28</w:t>
      </w:r>
      <w:r>
        <w:t xml:space="preserve">(2), 17–32. </w:t>
      </w:r>
    </w:p>
    <w:p w14:paraId="7C652E94" w14:textId="77777777" w:rsidR="00071AF6" w:rsidRDefault="00071AF6" w:rsidP="00071AF6">
      <w:pPr>
        <w:pStyle w:val="NormalWeb"/>
        <w:ind w:left="142"/>
        <w:jc w:val="both"/>
      </w:pPr>
      <w:r>
        <w:t xml:space="preserve">Carnahan, S., Agarwal, R., &amp; Campbell, B. (2010). The Effect of Firm Compensation Structures on the Mobility and Entrepreneurship of Extreme Performers. </w:t>
      </w:r>
      <w:r>
        <w:rPr>
          <w:i/>
          <w:iCs/>
        </w:rPr>
        <w:t>Business</w:t>
      </w:r>
      <w:r>
        <w:t xml:space="preserve">, </w:t>
      </w:r>
      <w:r>
        <w:rPr>
          <w:i/>
          <w:iCs/>
        </w:rPr>
        <w:t>920</w:t>
      </w:r>
      <w:r>
        <w:t xml:space="preserve">(October), 1–43. </w:t>
      </w:r>
    </w:p>
    <w:p w14:paraId="50B8EDEF" w14:textId="77777777" w:rsidR="00071AF6" w:rsidRDefault="00071AF6" w:rsidP="00071AF6">
      <w:pPr>
        <w:pStyle w:val="NormalWeb"/>
        <w:ind w:left="142"/>
        <w:jc w:val="both"/>
      </w:pPr>
      <w:r>
        <w:t xml:space="preserve">Carpenter, M. A., &amp; James D. (2016) The Strategic Context of External Network Ties : Examining the Impact of Director Appointments on Board Involvement in Strategic Decision Making. </w:t>
      </w:r>
      <w:r w:rsidRPr="00B62A21">
        <w:rPr>
          <w:i/>
          <w:iCs/>
        </w:rPr>
        <w:t>Academy of Management Journal</w:t>
      </w:r>
      <w:r>
        <w:t xml:space="preserve">, </w:t>
      </w:r>
      <w:r>
        <w:rPr>
          <w:i/>
          <w:iCs/>
        </w:rPr>
        <w:t>44</w:t>
      </w:r>
      <w:r>
        <w:t>(4), 639–660.</w:t>
      </w:r>
    </w:p>
    <w:p w14:paraId="618CC190" w14:textId="77777777" w:rsidR="00071AF6" w:rsidRDefault="00071AF6" w:rsidP="00071AF6">
      <w:pPr>
        <w:pStyle w:val="NormalWeb"/>
        <w:ind w:left="142"/>
        <w:jc w:val="both"/>
      </w:pPr>
      <w:r>
        <w:t xml:space="preserve">Carter, D. A., D’Souza, F., Simkins, B. J., &amp; Simpson, W. G. (2010). The gender and ethnic diversity of US boards and board committees and firm financial performance. </w:t>
      </w:r>
      <w:r>
        <w:rPr>
          <w:i/>
          <w:iCs/>
        </w:rPr>
        <w:t>Corporate Governance: An International Review</w:t>
      </w:r>
      <w:r>
        <w:t xml:space="preserve">, </w:t>
      </w:r>
      <w:r>
        <w:rPr>
          <w:i/>
          <w:iCs/>
        </w:rPr>
        <w:t>18</w:t>
      </w:r>
      <w:r>
        <w:t xml:space="preserve">(5), 396–414. </w:t>
      </w:r>
    </w:p>
    <w:p w14:paraId="6FEAA60C" w14:textId="77777777" w:rsidR="00071AF6" w:rsidRPr="009E69CE" w:rsidRDefault="00071AF6" w:rsidP="00071AF6">
      <w:pPr>
        <w:pStyle w:val="NormalWeb"/>
        <w:ind w:left="142"/>
        <w:jc w:val="both"/>
        <w:rPr>
          <w:lang w:val="pt-PT"/>
        </w:rPr>
      </w:pPr>
      <w:r>
        <w:t xml:space="preserve">Carter, D. A., Simkins, B. J., &amp; Simpson, W. G. (2003). Corporate governance, board diversity, and firm value. </w:t>
      </w:r>
      <w:r w:rsidRPr="009E69CE">
        <w:rPr>
          <w:i/>
          <w:iCs/>
          <w:lang w:val="pt-PT"/>
        </w:rPr>
        <w:t>Financial Review</w:t>
      </w:r>
      <w:r w:rsidRPr="009E69CE">
        <w:rPr>
          <w:lang w:val="pt-PT"/>
        </w:rPr>
        <w:t xml:space="preserve">, </w:t>
      </w:r>
      <w:r w:rsidRPr="009E69CE">
        <w:rPr>
          <w:i/>
          <w:iCs/>
          <w:lang w:val="pt-PT"/>
        </w:rPr>
        <w:t>38</w:t>
      </w:r>
      <w:r w:rsidRPr="009E69CE">
        <w:rPr>
          <w:lang w:val="pt-PT"/>
        </w:rPr>
        <w:t xml:space="preserve">(1), 33–53. </w:t>
      </w:r>
    </w:p>
    <w:p w14:paraId="17F11A6A" w14:textId="77777777" w:rsidR="00071AF6" w:rsidRDefault="00071AF6" w:rsidP="00071AF6">
      <w:pPr>
        <w:pStyle w:val="NormalWeb"/>
        <w:ind w:left="142"/>
        <w:jc w:val="both"/>
      </w:pPr>
      <w:r w:rsidRPr="009E69CE">
        <w:rPr>
          <w:lang w:val="pt-PT"/>
        </w:rPr>
        <w:t xml:space="preserve">Cavaco, S., Crifo, P., Rebérioux, A., &amp; Roudaut, G. (2017). </w:t>
      </w:r>
      <w:r>
        <w:t xml:space="preserve">Independent directors: Less informed but better selected than affiliated board members? </w:t>
      </w:r>
      <w:r>
        <w:rPr>
          <w:i/>
          <w:iCs/>
        </w:rPr>
        <w:t>Journal of Corporate Finance</w:t>
      </w:r>
      <w:r>
        <w:t xml:space="preserve">, </w:t>
      </w:r>
      <w:r>
        <w:rPr>
          <w:i/>
          <w:iCs/>
        </w:rPr>
        <w:t>43</w:t>
      </w:r>
      <w:r>
        <w:t xml:space="preserve">, 106–121. </w:t>
      </w:r>
    </w:p>
    <w:p w14:paraId="178F1852" w14:textId="77777777" w:rsidR="00071AF6" w:rsidRDefault="00071AF6" w:rsidP="00071AF6">
      <w:pPr>
        <w:pStyle w:val="NormalWeb"/>
        <w:ind w:left="142"/>
        <w:jc w:val="both"/>
      </w:pPr>
      <w:r>
        <w:t xml:space="preserve">Cejka, M. A., &amp; Eagly, A. H. (1999). Gender-stereotypic images of occupations correspond to the sex segregation of employment. </w:t>
      </w:r>
      <w:r>
        <w:rPr>
          <w:i/>
          <w:iCs/>
        </w:rPr>
        <w:t>Personality and Social Psychology Bulletin</w:t>
      </w:r>
      <w:r>
        <w:t xml:space="preserve">, </w:t>
      </w:r>
      <w:r>
        <w:rPr>
          <w:i/>
          <w:iCs/>
        </w:rPr>
        <w:t>25</w:t>
      </w:r>
      <w:r>
        <w:t xml:space="preserve">(4), 413–423. </w:t>
      </w:r>
    </w:p>
    <w:p w14:paraId="67A4C406" w14:textId="77777777" w:rsidR="00071AF6" w:rsidRDefault="00071AF6" w:rsidP="00071AF6">
      <w:pPr>
        <w:pStyle w:val="NormalWeb"/>
        <w:ind w:left="142"/>
        <w:jc w:val="both"/>
      </w:pPr>
      <w:r>
        <w:t xml:space="preserve">Chattopadhyay, P., George, E., &amp; Shulman, A. D. (2008). The asymmetrical influence of sex dissimilarity in distributive vs. collocated work groups. </w:t>
      </w:r>
      <w:r>
        <w:rPr>
          <w:i/>
          <w:iCs/>
        </w:rPr>
        <w:t>Organization Science</w:t>
      </w:r>
      <w:r>
        <w:t xml:space="preserve">, </w:t>
      </w:r>
      <w:r>
        <w:rPr>
          <w:i/>
          <w:iCs/>
        </w:rPr>
        <w:t>19</w:t>
      </w:r>
      <w:r>
        <w:t xml:space="preserve">(4), 581–593. </w:t>
      </w:r>
    </w:p>
    <w:p w14:paraId="370109E6" w14:textId="77777777" w:rsidR="00071AF6" w:rsidRDefault="00071AF6" w:rsidP="00071AF6">
      <w:pPr>
        <w:pStyle w:val="NormalWeb"/>
        <w:ind w:left="142"/>
        <w:jc w:val="both"/>
      </w:pPr>
      <w:r>
        <w:t xml:space="preserve">Chen, G., Firth, M., Gao, D. N., &amp; Rui, O. M. (2006). Ownership structure, corporate governance, and fraud: Evidence from China. </w:t>
      </w:r>
      <w:r>
        <w:rPr>
          <w:i/>
          <w:iCs/>
        </w:rPr>
        <w:t>Journal of Corporate Finance</w:t>
      </w:r>
      <w:r>
        <w:t xml:space="preserve">, </w:t>
      </w:r>
      <w:r>
        <w:rPr>
          <w:i/>
          <w:iCs/>
        </w:rPr>
        <w:t>12</w:t>
      </w:r>
      <w:r>
        <w:t xml:space="preserve">(3), 424–448. </w:t>
      </w:r>
    </w:p>
    <w:p w14:paraId="3DE58FBA" w14:textId="77777777" w:rsidR="00071AF6" w:rsidRDefault="00071AF6" w:rsidP="00071AF6">
      <w:pPr>
        <w:pStyle w:val="NormalWeb"/>
        <w:ind w:left="142"/>
        <w:jc w:val="both"/>
      </w:pPr>
      <w:r>
        <w:t xml:space="preserve">Cliff, J. E. (1998). Does one size fit all? exploring the relationship between attitudes towards growth, gender, and business size. </w:t>
      </w:r>
      <w:r>
        <w:rPr>
          <w:i/>
          <w:iCs/>
        </w:rPr>
        <w:t>Journal of Business Venturing</w:t>
      </w:r>
      <w:r>
        <w:t xml:space="preserve">, </w:t>
      </w:r>
      <w:r>
        <w:rPr>
          <w:i/>
          <w:iCs/>
        </w:rPr>
        <w:t>13</w:t>
      </w:r>
      <w:r>
        <w:t xml:space="preserve">(6), 523–542. </w:t>
      </w:r>
    </w:p>
    <w:p w14:paraId="2AC79DE0" w14:textId="77777777" w:rsidR="00071AF6" w:rsidRDefault="00071AF6" w:rsidP="00071AF6">
      <w:pPr>
        <w:pStyle w:val="NormalWeb"/>
        <w:ind w:left="142"/>
        <w:jc w:val="both"/>
      </w:pPr>
      <w:r>
        <w:t xml:space="preserve">Cohen, D. A., Dey, A., &amp; Lys, T. Z. (2008). Real and accrual-based earnings management in the pre- and post-Sarbanes-Oxley periods. </w:t>
      </w:r>
      <w:r>
        <w:rPr>
          <w:i/>
          <w:iCs/>
        </w:rPr>
        <w:t>Accounting Review</w:t>
      </w:r>
      <w:r>
        <w:t xml:space="preserve">, </w:t>
      </w:r>
      <w:r>
        <w:rPr>
          <w:i/>
          <w:iCs/>
        </w:rPr>
        <w:t>83</w:t>
      </w:r>
      <w:r>
        <w:t xml:space="preserve">(3), 757–787. </w:t>
      </w:r>
    </w:p>
    <w:p w14:paraId="470062E8" w14:textId="77777777" w:rsidR="00071AF6" w:rsidRDefault="00071AF6" w:rsidP="00071AF6">
      <w:pPr>
        <w:pStyle w:val="NormalWeb"/>
        <w:ind w:left="142"/>
        <w:jc w:val="both"/>
      </w:pPr>
      <w:r>
        <w:t xml:space="preserve">Cohen, J. R., Pant, L. W., &amp; Sharp, D. J. (2001). An examination of differences in ethical decision-making between Canadian business students and accounting professionals. </w:t>
      </w:r>
      <w:r>
        <w:rPr>
          <w:i/>
          <w:iCs/>
        </w:rPr>
        <w:t>Journal of Business Ethics</w:t>
      </w:r>
      <w:r>
        <w:t xml:space="preserve">, </w:t>
      </w:r>
      <w:r>
        <w:rPr>
          <w:i/>
          <w:iCs/>
        </w:rPr>
        <w:t>30</w:t>
      </w:r>
      <w:r>
        <w:t xml:space="preserve">(4), 319–336. </w:t>
      </w:r>
    </w:p>
    <w:p w14:paraId="74DF3186" w14:textId="77777777" w:rsidR="00071AF6" w:rsidRDefault="00071AF6" w:rsidP="00071AF6">
      <w:pPr>
        <w:pStyle w:val="NormalWeb"/>
        <w:ind w:left="142"/>
        <w:jc w:val="both"/>
      </w:pPr>
      <w:r>
        <w:t xml:space="preserve">Coles, J. L., Daniel, N. D., &amp; Naveen, L. (2014). Co-opted boards. </w:t>
      </w:r>
      <w:r>
        <w:rPr>
          <w:i/>
          <w:iCs/>
        </w:rPr>
        <w:t>Review of Financial Studies</w:t>
      </w:r>
      <w:r>
        <w:t xml:space="preserve">, </w:t>
      </w:r>
      <w:r>
        <w:rPr>
          <w:i/>
          <w:iCs/>
        </w:rPr>
        <w:t>27</w:t>
      </w:r>
      <w:r>
        <w:t xml:space="preserve">(6), 1751–1796. </w:t>
      </w:r>
    </w:p>
    <w:p w14:paraId="317BDA51" w14:textId="77777777" w:rsidR="00071AF6" w:rsidRDefault="00071AF6" w:rsidP="00071AF6">
      <w:pPr>
        <w:pStyle w:val="NormalWeb"/>
        <w:ind w:left="142"/>
        <w:jc w:val="both"/>
      </w:pPr>
      <w:r>
        <w:t xml:space="preserve">Cui, J., Jo, H., &amp; Na, H. (2018). Does Corporate Social Responsibility Affect Information Asymmetry? </w:t>
      </w:r>
      <w:r>
        <w:rPr>
          <w:i/>
          <w:iCs/>
        </w:rPr>
        <w:t>Journal of Business Ethics</w:t>
      </w:r>
      <w:r>
        <w:t xml:space="preserve">, </w:t>
      </w:r>
      <w:r>
        <w:rPr>
          <w:i/>
          <w:iCs/>
        </w:rPr>
        <w:t>148</w:t>
      </w:r>
      <w:r>
        <w:t xml:space="preserve">(3), 549–572. </w:t>
      </w:r>
    </w:p>
    <w:p w14:paraId="777319FB" w14:textId="77777777" w:rsidR="00071AF6" w:rsidRDefault="00071AF6" w:rsidP="00071AF6">
      <w:pPr>
        <w:pStyle w:val="NormalWeb"/>
        <w:ind w:left="142"/>
        <w:jc w:val="both"/>
      </w:pPr>
      <w:r w:rsidRPr="009E69CE">
        <w:rPr>
          <w:lang w:val="de-DE"/>
        </w:rPr>
        <w:t xml:space="preserve">Cumming, D., Dannhauser, R., &amp; Johan, S. (2015). </w:t>
      </w:r>
      <w:r>
        <w:t xml:space="preserve">Financial market misconduct and agency conflicts: A synthesis and future directions. </w:t>
      </w:r>
      <w:r>
        <w:rPr>
          <w:i/>
          <w:iCs/>
        </w:rPr>
        <w:t>Journal of Corporate Finance</w:t>
      </w:r>
      <w:r>
        <w:t xml:space="preserve">, </w:t>
      </w:r>
      <w:r>
        <w:rPr>
          <w:i/>
          <w:iCs/>
        </w:rPr>
        <w:t>34</w:t>
      </w:r>
      <w:r>
        <w:t xml:space="preserve">, 150–168. </w:t>
      </w:r>
    </w:p>
    <w:p w14:paraId="15B8BA1B" w14:textId="77777777" w:rsidR="00071AF6" w:rsidRDefault="00071AF6" w:rsidP="00071AF6">
      <w:pPr>
        <w:pStyle w:val="NormalWeb"/>
        <w:ind w:left="142"/>
        <w:jc w:val="both"/>
      </w:pPr>
      <w:r>
        <w:t xml:space="preserve">Dawson, L. M. (2018). Ethical differences between the sales profession. </w:t>
      </w:r>
      <w:r>
        <w:rPr>
          <w:i/>
          <w:iCs/>
        </w:rPr>
        <w:t>Journal of Business Ethics</w:t>
      </w:r>
      <w:r>
        <w:t xml:space="preserve">, </w:t>
      </w:r>
      <w:r>
        <w:rPr>
          <w:i/>
          <w:iCs/>
        </w:rPr>
        <w:t>16</w:t>
      </w:r>
      <w:r>
        <w:t>(11), 1143–1152.</w:t>
      </w:r>
    </w:p>
    <w:p w14:paraId="6AC86477" w14:textId="77777777" w:rsidR="00071AF6" w:rsidRDefault="00071AF6" w:rsidP="00071AF6">
      <w:pPr>
        <w:pStyle w:val="NormalWeb"/>
        <w:ind w:left="142"/>
        <w:jc w:val="both"/>
      </w:pPr>
      <w:r>
        <w:t xml:space="preserve">Del Gaudio, B. L., Salerno, D., Sampagnaro, G., &amp; Verdoliva, V. (2022). Misconduct risk in banking services: Does a propensity to be sanctioned exist? </w:t>
      </w:r>
      <w:r>
        <w:rPr>
          <w:i/>
          <w:iCs/>
        </w:rPr>
        <w:t>International Review of Financial Analysis</w:t>
      </w:r>
      <w:r>
        <w:t xml:space="preserve">, </w:t>
      </w:r>
      <w:r>
        <w:rPr>
          <w:i/>
          <w:iCs/>
        </w:rPr>
        <w:t>81</w:t>
      </w:r>
      <w:r>
        <w:t xml:space="preserve">(February), 1–12. </w:t>
      </w:r>
    </w:p>
    <w:p w14:paraId="24C30E16" w14:textId="77777777" w:rsidR="00071AF6" w:rsidRDefault="00071AF6" w:rsidP="00071AF6">
      <w:pPr>
        <w:pStyle w:val="NormalWeb"/>
        <w:ind w:left="142"/>
        <w:jc w:val="both"/>
      </w:pPr>
      <w:r>
        <w:t xml:space="preserve">Dhaliwal, D., Naiker, V., &amp; Navissi, F. (2010). The association between accruals quality and the characteristics of accounting experts and mix of expertise on audit committees. </w:t>
      </w:r>
      <w:r>
        <w:rPr>
          <w:i/>
          <w:iCs/>
        </w:rPr>
        <w:t>Contemporary Accounting Research</w:t>
      </w:r>
      <w:r>
        <w:t xml:space="preserve">, </w:t>
      </w:r>
      <w:r>
        <w:rPr>
          <w:i/>
          <w:iCs/>
        </w:rPr>
        <w:t>27</w:t>
      </w:r>
      <w:r>
        <w:t xml:space="preserve">(3), 787–827. </w:t>
      </w:r>
    </w:p>
    <w:p w14:paraId="6A002859" w14:textId="77777777" w:rsidR="00071AF6" w:rsidRDefault="00071AF6" w:rsidP="00071AF6">
      <w:pPr>
        <w:pStyle w:val="NormalWeb"/>
        <w:ind w:left="142"/>
        <w:jc w:val="both"/>
      </w:pPr>
      <w:r>
        <w:t xml:space="preserve">Eagly, A. H., &amp; Carli, L. (2008). Women and the labyrinth of leadership. </w:t>
      </w:r>
      <w:r>
        <w:rPr>
          <w:i/>
          <w:iCs/>
        </w:rPr>
        <w:t>Harvard Business Review</w:t>
      </w:r>
      <w:r>
        <w:t xml:space="preserve">, </w:t>
      </w:r>
      <w:r>
        <w:rPr>
          <w:i/>
          <w:iCs/>
        </w:rPr>
        <w:t>1</w:t>
      </w:r>
      <w:r>
        <w:t xml:space="preserve">(May), 1–10. </w:t>
      </w:r>
    </w:p>
    <w:p w14:paraId="2318CDAD" w14:textId="77777777" w:rsidR="00071AF6" w:rsidRDefault="00071AF6" w:rsidP="00071AF6">
      <w:pPr>
        <w:pStyle w:val="NormalWeb"/>
        <w:ind w:left="142"/>
        <w:jc w:val="both"/>
      </w:pPr>
      <w:r>
        <w:t xml:space="preserve">Eagly, A. H., &amp; Johnson, B. T. (1990). Gender and leadership style: A meta-analysis part of the social psychology commons recommended citation. </w:t>
      </w:r>
      <w:r>
        <w:rPr>
          <w:i/>
          <w:iCs/>
        </w:rPr>
        <w:t>Psychological Bulletin</w:t>
      </w:r>
      <w:r>
        <w:t xml:space="preserve">, </w:t>
      </w:r>
      <w:r>
        <w:rPr>
          <w:i/>
          <w:iCs/>
        </w:rPr>
        <w:t>108</w:t>
      </w:r>
      <w:r>
        <w:t>(2), 233–256.</w:t>
      </w:r>
    </w:p>
    <w:p w14:paraId="09973C8B" w14:textId="77777777" w:rsidR="00071AF6" w:rsidRDefault="00071AF6" w:rsidP="00071AF6">
      <w:pPr>
        <w:pStyle w:val="NormalWeb"/>
        <w:ind w:left="142"/>
        <w:jc w:val="both"/>
      </w:pPr>
      <w:r>
        <w:t xml:space="preserve">Erhard, N. L., Werbel, J. D., &amp; Shrader, C. B. (2003). Board of director diversity and firm financial performance. </w:t>
      </w:r>
      <w:r>
        <w:rPr>
          <w:i/>
          <w:iCs/>
        </w:rPr>
        <w:t>Corporate Governance: An International Review</w:t>
      </w:r>
      <w:r>
        <w:t xml:space="preserve">, </w:t>
      </w:r>
      <w:r>
        <w:rPr>
          <w:i/>
          <w:iCs/>
        </w:rPr>
        <w:t>11</w:t>
      </w:r>
      <w:r>
        <w:t xml:space="preserve">(2), 102–111. </w:t>
      </w:r>
    </w:p>
    <w:p w14:paraId="09FA5A0B" w14:textId="77777777" w:rsidR="00071AF6" w:rsidRDefault="00071AF6" w:rsidP="00071AF6">
      <w:pPr>
        <w:pStyle w:val="NormalWeb"/>
        <w:ind w:left="142"/>
        <w:jc w:val="both"/>
      </w:pPr>
      <w:r>
        <w:t xml:space="preserve">Fama, E. F., &amp; Jensen, M. C. (1983). Agency Problems and Residual Claims. </w:t>
      </w:r>
      <w:r>
        <w:rPr>
          <w:i/>
          <w:iCs/>
        </w:rPr>
        <w:t>Journal of Law and Economics</w:t>
      </w:r>
      <w:r>
        <w:t xml:space="preserve">, </w:t>
      </w:r>
      <w:r>
        <w:rPr>
          <w:i/>
          <w:iCs/>
        </w:rPr>
        <w:t>1</w:t>
      </w:r>
      <w:r>
        <w:t>, 327–349.</w:t>
      </w:r>
    </w:p>
    <w:p w14:paraId="645D1EA7" w14:textId="77777777" w:rsidR="00071AF6" w:rsidRDefault="00071AF6" w:rsidP="00071AF6">
      <w:pPr>
        <w:pStyle w:val="NormalWeb"/>
        <w:ind w:left="142"/>
        <w:jc w:val="both"/>
      </w:pPr>
      <w:r>
        <w:t xml:space="preserve">Fang, Y., Francis, B., &amp; Hasan, I. (2018). Differences make a difference: Diversity in social learning and value creation. </w:t>
      </w:r>
      <w:r>
        <w:rPr>
          <w:i/>
          <w:iCs/>
        </w:rPr>
        <w:t>Journal of Corporate Finance</w:t>
      </w:r>
      <w:r>
        <w:t xml:space="preserve">, </w:t>
      </w:r>
      <w:r>
        <w:rPr>
          <w:i/>
          <w:iCs/>
        </w:rPr>
        <w:t>48</w:t>
      </w:r>
      <w:r>
        <w:t xml:space="preserve">, 474–491. </w:t>
      </w:r>
    </w:p>
    <w:p w14:paraId="636DD185" w14:textId="77777777" w:rsidR="00071AF6" w:rsidRDefault="00071AF6" w:rsidP="00071AF6">
      <w:pPr>
        <w:pStyle w:val="NormalWeb"/>
        <w:ind w:left="142"/>
        <w:jc w:val="both"/>
      </w:pPr>
      <w:r>
        <w:t xml:space="preserve">Fields, M. A., &amp; Keys, P. Y. (2003). The emergence of corporate governance from wall St. to Main St.: Outside directors, board diversity, earnings management, and managerial incentives to bear risk. </w:t>
      </w:r>
      <w:r>
        <w:rPr>
          <w:i/>
          <w:iCs/>
        </w:rPr>
        <w:t>Financial Review</w:t>
      </w:r>
      <w:r>
        <w:t xml:space="preserve">, </w:t>
      </w:r>
      <w:r>
        <w:rPr>
          <w:i/>
          <w:iCs/>
        </w:rPr>
        <w:t>38</w:t>
      </w:r>
      <w:r>
        <w:t xml:space="preserve">(1), 1–24. </w:t>
      </w:r>
    </w:p>
    <w:p w14:paraId="070BC7E4" w14:textId="77777777" w:rsidR="00071AF6" w:rsidRDefault="00071AF6" w:rsidP="00071AF6">
      <w:pPr>
        <w:pStyle w:val="NormalWeb"/>
        <w:ind w:left="142"/>
        <w:jc w:val="both"/>
      </w:pPr>
      <w:r>
        <w:t xml:space="preserve">Fiordelisi, F., Soana, M. G., &amp; Schwizer, P. (2013). The determinants of reputational risk in the banking sector. </w:t>
      </w:r>
      <w:r>
        <w:rPr>
          <w:i/>
          <w:iCs/>
        </w:rPr>
        <w:t>Journal of Banking and Finance</w:t>
      </w:r>
      <w:r>
        <w:t xml:space="preserve">, </w:t>
      </w:r>
      <w:r>
        <w:rPr>
          <w:i/>
          <w:iCs/>
        </w:rPr>
        <w:t>37</w:t>
      </w:r>
      <w:r>
        <w:t xml:space="preserve">(5), 1359–1371. </w:t>
      </w:r>
    </w:p>
    <w:p w14:paraId="6A0030DF" w14:textId="77777777" w:rsidR="00071AF6" w:rsidRDefault="00071AF6" w:rsidP="00071AF6">
      <w:pPr>
        <w:pStyle w:val="NormalWeb"/>
        <w:ind w:left="142"/>
        <w:jc w:val="both"/>
      </w:pPr>
      <w:r w:rsidRPr="009E69CE">
        <w:rPr>
          <w:lang w:val="it-IT"/>
        </w:rPr>
        <w:t xml:space="preserve">Giannetti, M., &amp; Wang, T. Y. U. E. (2016). </w:t>
      </w:r>
      <w:r>
        <w:t>Corporate Scandals and Household Stock Market Participation .</w:t>
      </w:r>
      <w:r>
        <w:rPr>
          <w:i/>
          <w:iCs/>
        </w:rPr>
        <w:t>The Journal of Finance</w:t>
      </w:r>
      <w:r>
        <w:t xml:space="preserve">, </w:t>
      </w:r>
      <w:r>
        <w:rPr>
          <w:i/>
          <w:iCs/>
        </w:rPr>
        <w:t>71</w:t>
      </w:r>
      <w:r>
        <w:t>(6), 2591–2636.</w:t>
      </w:r>
    </w:p>
    <w:p w14:paraId="245FB9F3" w14:textId="77777777" w:rsidR="00071AF6" w:rsidRDefault="00071AF6" w:rsidP="00071AF6">
      <w:pPr>
        <w:pStyle w:val="NormalWeb"/>
        <w:ind w:left="142"/>
        <w:jc w:val="both"/>
      </w:pPr>
      <w:r w:rsidRPr="00A44CF8">
        <w:t xml:space="preserve">Gilani, U., Keasey, K., &amp; Vallascas, F. (2021). Board financial expertise and the capital decisions of US banks. </w:t>
      </w:r>
      <w:r w:rsidRPr="00A44CF8">
        <w:rPr>
          <w:i/>
          <w:iCs/>
        </w:rPr>
        <w:t>Journal of Corporate Finance</w:t>
      </w:r>
      <w:r w:rsidRPr="00A44CF8">
        <w:t xml:space="preserve">, </w:t>
      </w:r>
      <w:r w:rsidRPr="00A44CF8">
        <w:rPr>
          <w:i/>
          <w:iCs/>
        </w:rPr>
        <w:t>71</w:t>
      </w:r>
      <w:r w:rsidRPr="00A44CF8">
        <w:t>(August), 1-23.</w:t>
      </w:r>
    </w:p>
    <w:p w14:paraId="076D5814" w14:textId="77777777" w:rsidR="00071AF6" w:rsidRDefault="00071AF6" w:rsidP="00071AF6">
      <w:pPr>
        <w:pStyle w:val="NormalWeb"/>
        <w:ind w:left="142"/>
        <w:jc w:val="both"/>
      </w:pPr>
      <w:r>
        <w:t xml:space="preserve">Glick, P. (1991). Trait-based and sex-based discrimination in occupational prestige, occupational salary, and hiring. </w:t>
      </w:r>
      <w:r>
        <w:rPr>
          <w:i/>
          <w:iCs/>
        </w:rPr>
        <w:t>Sex Roles</w:t>
      </w:r>
      <w:r>
        <w:t xml:space="preserve">, </w:t>
      </w:r>
      <w:r>
        <w:rPr>
          <w:i/>
          <w:iCs/>
        </w:rPr>
        <w:t>25</w:t>
      </w:r>
      <w:r>
        <w:t xml:space="preserve">(5–6), 351–378. </w:t>
      </w:r>
    </w:p>
    <w:p w14:paraId="08D89E9B" w14:textId="77777777" w:rsidR="00071AF6" w:rsidRDefault="00071AF6" w:rsidP="00071AF6">
      <w:pPr>
        <w:pStyle w:val="NormalWeb"/>
        <w:ind w:left="142"/>
        <w:jc w:val="both"/>
      </w:pPr>
      <w:r>
        <w:t xml:space="preserve">Gomez-Mejia, L. (1997). Reframing executive compensation: An assessment and outlook. </w:t>
      </w:r>
      <w:r>
        <w:rPr>
          <w:i/>
          <w:iCs/>
        </w:rPr>
        <w:t>Journal of Management</w:t>
      </w:r>
      <w:r>
        <w:t xml:space="preserve">, </w:t>
      </w:r>
      <w:r>
        <w:rPr>
          <w:i/>
          <w:iCs/>
        </w:rPr>
        <w:t>23</w:t>
      </w:r>
      <w:r>
        <w:t xml:space="preserve">(3), 291–374. </w:t>
      </w:r>
    </w:p>
    <w:p w14:paraId="794961A5" w14:textId="77777777" w:rsidR="00071AF6" w:rsidRDefault="00071AF6" w:rsidP="00071AF6">
      <w:pPr>
        <w:pStyle w:val="NormalWeb"/>
        <w:ind w:left="142"/>
        <w:jc w:val="both"/>
      </w:pPr>
      <w:r>
        <w:t xml:space="preserve">Gomez-mejia, L. R., &amp; Tosi, H. L. (1989). The Decoupling of CEO Pay and Performance: An Agency Theory Perspective. </w:t>
      </w:r>
      <w:r>
        <w:rPr>
          <w:i/>
          <w:iCs/>
        </w:rPr>
        <w:t>Administrative Science Quarterly</w:t>
      </w:r>
      <w:r>
        <w:t xml:space="preserve">, </w:t>
      </w:r>
      <w:r>
        <w:rPr>
          <w:i/>
          <w:iCs/>
        </w:rPr>
        <w:t>34</w:t>
      </w:r>
      <w:r>
        <w:t>(2), 169–189.</w:t>
      </w:r>
    </w:p>
    <w:p w14:paraId="0F33DFC5" w14:textId="77777777" w:rsidR="00071AF6" w:rsidRDefault="00071AF6" w:rsidP="00071AF6">
      <w:pPr>
        <w:pStyle w:val="NormalWeb"/>
        <w:ind w:left="142"/>
        <w:jc w:val="both"/>
      </w:pPr>
      <w:r w:rsidRPr="00A44CF8">
        <w:t xml:space="preserve">Gorshunov, M. A., Armenakis, A. A., Harris, S. G., &amp; Walker, H. J. (2021). Quad-qualified audit committee director: Implications for monitoring and reducing financial corruption. </w:t>
      </w:r>
      <w:r w:rsidRPr="00A44CF8">
        <w:rPr>
          <w:i/>
          <w:iCs/>
        </w:rPr>
        <w:t>Journal of Corporate Finance</w:t>
      </w:r>
      <w:r w:rsidRPr="00A44CF8">
        <w:t xml:space="preserve">, </w:t>
      </w:r>
      <w:r w:rsidRPr="00A44CF8">
        <w:rPr>
          <w:i/>
          <w:iCs/>
        </w:rPr>
        <w:t>66</w:t>
      </w:r>
      <w:r w:rsidRPr="00A44CF8">
        <w:t>, 1-25.</w:t>
      </w:r>
    </w:p>
    <w:p w14:paraId="541C4089" w14:textId="77777777" w:rsidR="00071AF6" w:rsidRDefault="00071AF6" w:rsidP="00071AF6">
      <w:pPr>
        <w:pStyle w:val="NormalWeb"/>
        <w:ind w:left="142"/>
        <w:jc w:val="both"/>
      </w:pPr>
      <w:r>
        <w:t xml:space="preserve">Hambrick, D. C., &amp; Jackson, E. M. (2000). Outside directors with a Stake: The linchpin in improving governance. </w:t>
      </w:r>
      <w:r>
        <w:rPr>
          <w:i/>
          <w:iCs/>
        </w:rPr>
        <w:t>California Management Review</w:t>
      </w:r>
      <w:r>
        <w:t xml:space="preserve">, </w:t>
      </w:r>
      <w:r>
        <w:rPr>
          <w:i/>
          <w:iCs/>
        </w:rPr>
        <w:t>42</w:t>
      </w:r>
      <w:r>
        <w:t xml:space="preserve">(4), 108–127. </w:t>
      </w:r>
    </w:p>
    <w:p w14:paraId="5AE4BBE8" w14:textId="77777777" w:rsidR="00071AF6" w:rsidRDefault="00071AF6" w:rsidP="00071AF6">
      <w:pPr>
        <w:pStyle w:val="NormalWeb"/>
        <w:ind w:left="142"/>
        <w:jc w:val="both"/>
      </w:pPr>
      <w:r w:rsidRPr="00A44CF8">
        <w:t xml:space="preserve">Hambrick, D. C., Misangyi, V. F., &amp; Park, C. (2014). The Quad Model for Identifying a Corporate Director’s Potential for Effective Monitoring. </w:t>
      </w:r>
      <w:r w:rsidRPr="00A44CF8">
        <w:rPr>
          <w:i/>
          <w:iCs/>
        </w:rPr>
        <w:t>Academy of Management Proceedings</w:t>
      </w:r>
      <w:r w:rsidRPr="00A44CF8">
        <w:t xml:space="preserve">, </w:t>
      </w:r>
      <w:r w:rsidRPr="00A44CF8">
        <w:rPr>
          <w:i/>
          <w:iCs/>
        </w:rPr>
        <w:t>2014</w:t>
      </w:r>
      <w:r w:rsidRPr="00A44CF8">
        <w:t>(1), 323-344.</w:t>
      </w:r>
    </w:p>
    <w:p w14:paraId="1409A1F4" w14:textId="77777777" w:rsidR="00071AF6" w:rsidRDefault="00071AF6" w:rsidP="00071AF6">
      <w:pPr>
        <w:pStyle w:val="NormalWeb"/>
        <w:ind w:left="142"/>
        <w:jc w:val="both"/>
      </w:pPr>
      <w:r>
        <w:t xml:space="preserve">Harris, M., &amp; Raviv, A. (2008). A theory of board control and size. </w:t>
      </w:r>
      <w:r>
        <w:rPr>
          <w:i/>
          <w:iCs/>
        </w:rPr>
        <w:t>Review of Financial Studies</w:t>
      </w:r>
      <w:r>
        <w:t xml:space="preserve">, </w:t>
      </w:r>
      <w:r>
        <w:rPr>
          <w:i/>
          <w:iCs/>
        </w:rPr>
        <w:t>21</w:t>
      </w:r>
      <w:r>
        <w:t xml:space="preserve">(4), 1797–1832. </w:t>
      </w:r>
    </w:p>
    <w:p w14:paraId="5096CBFB" w14:textId="77777777" w:rsidR="00071AF6" w:rsidRDefault="00071AF6" w:rsidP="00071AF6">
      <w:pPr>
        <w:pStyle w:val="NormalWeb"/>
        <w:ind w:left="142"/>
        <w:jc w:val="both"/>
      </w:pPr>
      <w:r>
        <w:t xml:space="preserve">Hermalin, B. E., &amp; Weisbach, M. S. (1998). Endogenously Chosen Boards of Directors and Their Monitoring of the CEO. </w:t>
      </w:r>
      <w:r>
        <w:rPr>
          <w:i/>
          <w:iCs/>
        </w:rPr>
        <w:t>American Economic Review</w:t>
      </w:r>
      <w:r>
        <w:t xml:space="preserve">, </w:t>
      </w:r>
      <w:r>
        <w:rPr>
          <w:i/>
          <w:iCs/>
        </w:rPr>
        <w:t>88</w:t>
      </w:r>
      <w:r>
        <w:t>(1), 96–118.</w:t>
      </w:r>
    </w:p>
    <w:p w14:paraId="441C3AD1" w14:textId="77777777" w:rsidR="00071AF6" w:rsidRDefault="00071AF6" w:rsidP="00071AF6">
      <w:pPr>
        <w:pStyle w:val="NormalWeb"/>
        <w:ind w:left="142"/>
        <w:jc w:val="both"/>
      </w:pPr>
      <w:r>
        <w:t xml:space="preserve">Hill, C. (1992). Stakeholder-agency theory. </w:t>
      </w:r>
      <w:r>
        <w:rPr>
          <w:i/>
          <w:iCs/>
        </w:rPr>
        <w:t>Journal of Management Studies</w:t>
      </w:r>
      <w:r>
        <w:t xml:space="preserve">, </w:t>
      </w:r>
      <w:r>
        <w:rPr>
          <w:i/>
          <w:iCs/>
        </w:rPr>
        <w:t>29</w:t>
      </w:r>
      <w:r>
        <w:t>(2), 131–154.</w:t>
      </w:r>
    </w:p>
    <w:p w14:paraId="0A094D94" w14:textId="77777777" w:rsidR="00071AF6" w:rsidRDefault="00071AF6" w:rsidP="00071AF6">
      <w:pPr>
        <w:pStyle w:val="NormalWeb"/>
        <w:ind w:left="142"/>
        <w:jc w:val="both"/>
      </w:pPr>
      <w:r w:rsidRPr="009E69CE">
        <w:rPr>
          <w:lang w:val="nl-NL"/>
        </w:rPr>
        <w:t xml:space="preserve">Hoever, I. J., Van Knippenberg, D., Van Ginkel, W. P., &amp; Barkema, H. G. (2010). </w:t>
      </w:r>
      <w:r>
        <w:t xml:space="preserve">Fostering team creativity: perspective taking as key to unlocking. </w:t>
      </w:r>
      <w:r>
        <w:rPr>
          <w:i/>
          <w:iCs/>
        </w:rPr>
        <w:t>Academy of Management Proceedings</w:t>
      </w:r>
      <w:r>
        <w:t>, 1–8.</w:t>
      </w:r>
    </w:p>
    <w:p w14:paraId="21F1DE97" w14:textId="77777777" w:rsidR="00071AF6" w:rsidRDefault="00071AF6" w:rsidP="00071AF6">
      <w:pPr>
        <w:pStyle w:val="NormalWeb"/>
        <w:ind w:left="142"/>
        <w:jc w:val="both"/>
      </w:pPr>
      <w:r>
        <w:t xml:space="preserve">Huse, M. (2000). Boards of directors in smes: A review and research agenda. </w:t>
      </w:r>
      <w:r>
        <w:rPr>
          <w:i/>
          <w:iCs/>
        </w:rPr>
        <w:t>Entrepreneurship and Regional Development</w:t>
      </w:r>
      <w:r>
        <w:t xml:space="preserve">, </w:t>
      </w:r>
      <w:r>
        <w:rPr>
          <w:i/>
          <w:iCs/>
        </w:rPr>
        <w:t>12</w:t>
      </w:r>
      <w:r>
        <w:t xml:space="preserve">(4), 271–290. </w:t>
      </w:r>
    </w:p>
    <w:p w14:paraId="56F506B1" w14:textId="77777777" w:rsidR="00071AF6" w:rsidRDefault="00071AF6" w:rsidP="00071AF6">
      <w:pPr>
        <w:pStyle w:val="NormalWeb"/>
        <w:ind w:left="142"/>
        <w:jc w:val="both"/>
      </w:pPr>
      <w:r>
        <w:t xml:space="preserve">Ibrahim, N., Angelidis, J., &amp; Tomic, I. M. (2009). Managers’ attitudes toward codes of ethics: Are there gender differences? </w:t>
      </w:r>
      <w:r>
        <w:rPr>
          <w:i/>
          <w:iCs/>
        </w:rPr>
        <w:t>Journal of Business Ethics</w:t>
      </w:r>
      <w:r>
        <w:t xml:space="preserve">, </w:t>
      </w:r>
      <w:r>
        <w:rPr>
          <w:i/>
          <w:iCs/>
        </w:rPr>
        <w:t>90</w:t>
      </w:r>
      <w:r>
        <w:t xml:space="preserve">, 343–353. </w:t>
      </w:r>
    </w:p>
    <w:p w14:paraId="110EAB37" w14:textId="77777777" w:rsidR="00071AF6" w:rsidRDefault="00071AF6" w:rsidP="00071AF6">
      <w:pPr>
        <w:pStyle w:val="NormalWeb"/>
        <w:ind w:left="142"/>
        <w:jc w:val="both"/>
      </w:pPr>
      <w:r>
        <w:t xml:space="preserve">Jain, T., &amp; Zaman, R. (2020). When Boards Matter: The Case of Corporate Social Irresponsibility. </w:t>
      </w:r>
      <w:r>
        <w:rPr>
          <w:i/>
          <w:iCs/>
        </w:rPr>
        <w:t>British Journal of Management</w:t>
      </w:r>
      <w:r>
        <w:t xml:space="preserve">, </w:t>
      </w:r>
      <w:r>
        <w:rPr>
          <w:i/>
          <w:iCs/>
        </w:rPr>
        <w:t>31</w:t>
      </w:r>
      <w:r>
        <w:t xml:space="preserve">(2), 365–386. </w:t>
      </w:r>
    </w:p>
    <w:p w14:paraId="7ACB1A91" w14:textId="77777777" w:rsidR="00071AF6" w:rsidRDefault="00071AF6" w:rsidP="00071AF6">
      <w:pPr>
        <w:pStyle w:val="NormalWeb"/>
        <w:ind w:left="142"/>
        <w:jc w:val="both"/>
      </w:pPr>
      <w:r>
        <w:t xml:space="preserve">Jiang, W., Wan, H., &amp; Zhao, S. (2016). Reputation concerns of independent directors: Evidence from individual director voting. </w:t>
      </w:r>
      <w:r>
        <w:rPr>
          <w:i/>
          <w:iCs/>
        </w:rPr>
        <w:t>Review of Financial Studies</w:t>
      </w:r>
      <w:r>
        <w:t xml:space="preserve">, </w:t>
      </w:r>
      <w:r>
        <w:rPr>
          <w:i/>
          <w:iCs/>
        </w:rPr>
        <w:t>29</w:t>
      </w:r>
      <w:r>
        <w:t xml:space="preserve">(3), 655–696. </w:t>
      </w:r>
    </w:p>
    <w:p w14:paraId="5CC738B7" w14:textId="77777777" w:rsidR="00071AF6" w:rsidRDefault="00071AF6" w:rsidP="00071AF6">
      <w:pPr>
        <w:pStyle w:val="NormalWeb"/>
        <w:ind w:left="142"/>
        <w:jc w:val="both"/>
      </w:pPr>
      <w:r>
        <w:t xml:space="preserve">John, K., De Masi, S., &amp; Paci, A. (2016). Corporate Governance in Banks. </w:t>
      </w:r>
      <w:r>
        <w:rPr>
          <w:i/>
          <w:iCs/>
        </w:rPr>
        <w:t>Corporate Governance: An International Review</w:t>
      </w:r>
      <w:r>
        <w:t xml:space="preserve">, </w:t>
      </w:r>
      <w:r>
        <w:rPr>
          <w:i/>
          <w:iCs/>
        </w:rPr>
        <w:t>24</w:t>
      </w:r>
      <w:r>
        <w:t xml:space="preserve">(3), 303–321. </w:t>
      </w:r>
    </w:p>
    <w:p w14:paraId="61D7B10D" w14:textId="77777777" w:rsidR="00071AF6" w:rsidRDefault="00071AF6" w:rsidP="00071AF6">
      <w:pPr>
        <w:pStyle w:val="NormalWeb"/>
        <w:ind w:left="142"/>
        <w:jc w:val="both"/>
      </w:pPr>
      <w:r>
        <w:t xml:space="preserve">Joo, M. H., Lawrence, E., &amp; Parhizgari, A. (2021). Securities litigation risk and board gender diversity. </w:t>
      </w:r>
      <w:r>
        <w:rPr>
          <w:i/>
          <w:iCs/>
        </w:rPr>
        <w:t>Journal of Corporate Finance</w:t>
      </w:r>
      <w:r>
        <w:t xml:space="preserve">, </w:t>
      </w:r>
      <w:r>
        <w:rPr>
          <w:i/>
          <w:iCs/>
        </w:rPr>
        <w:t>71</w:t>
      </w:r>
      <w:r>
        <w:t xml:space="preserve">, 1–30. </w:t>
      </w:r>
    </w:p>
    <w:p w14:paraId="2AB02122" w14:textId="77777777" w:rsidR="00071AF6" w:rsidRDefault="00071AF6" w:rsidP="00071AF6">
      <w:pPr>
        <w:pStyle w:val="NormalWeb"/>
        <w:ind w:left="142"/>
        <w:jc w:val="both"/>
      </w:pPr>
      <w:r>
        <w:t xml:space="preserve">Karpoff, J. M., Scott Lee, D., &amp; Martin, G. S. (2008). The consequences to managers for financial misrepresentation. </w:t>
      </w:r>
      <w:r>
        <w:rPr>
          <w:i/>
          <w:iCs/>
        </w:rPr>
        <w:t>Journal of Financial Economics</w:t>
      </w:r>
      <w:r>
        <w:t xml:space="preserve">, </w:t>
      </w:r>
      <w:r>
        <w:rPr>
          <w:i/>
          <w:iCs/>
        </w:rPr>
        <w:t>88</w:t>
      </w:r>
      <w:r>
        <w:t xml:space="preserve">(2), 193–215. </w:t>
      </w:r>
    </w:p>
    <w:p w14:paraId="41F3CDEC" w14:textId="77777777" w:rsidR="00071AF6" w:rsidRDefault="00071AF6" w:rsidP="00071AF6">
      <w:pPr>
        <w:pStyle w:val="NormalWeb"/>
        <w:ind w:left="142"/>
        <w:jc w:val="both"/>
      </w:pPr>
      <w:r>
        <w:t xml:space="preserve">Katz, R. (1982). The Effects of Group Longevity on Project Communication and Performance. </w:t>
      </w:r>
      <w:r>
        <w:rPr>
          <w:i/>
          <w:iCs/>
        </w:rPr>
        <w:t>Administrative Science Quarterly</w:t>
      </w:r>
      <w:r>
        <w:t xml:space="preserve">, </w:t>
      </w:r>
      <w:r>
        <w:rPr>
          <w:i/>
          <w:iCs/>
        </w:rPr>
        <w:t>27</w:t>
      </w:r>
      <w:r>
        <w:t>(1), 81–104.</w:t>
      </w:r>
    </w:p>
    <w:p w14:paraId="412FB5E5" w14:textId="77777777" w:rsidR="00071AF6" w:rsidRDefault="00071AF6" w:rsidP="00071AF6">
      <w:pPr>
        <w:pStyle w:val="NormalWeb"/>
        <w:ind w:left="142"/>
        <w:jc w:val="both"/>
      </w:pPr>
      <w:r>
        <w:t xml:space="preserve">Khanna, V., Kim, E. H., &amp; Lu, Y. (2015). CEO Connectedness and Corporate Fraud. </w:t>
      </w:r>
      <w:r>
        <w:rPr>
          <w:i/>
          <w:iCs/>
        </w:rPr>
        <w:t>Journal of Finance</w:t>
      </w:r>
      <w:r>
        <w:t xml:space="preserve">, </w:t>
      </w:r>
      <w:r>
        <w:rPr>
          <w:i/>
          <w:iCs/>
        </w:rPr>
        <w:t>70</w:t>
      </w:r>
      <w:r>
        <w:t xml:space="preserve">(3), 1203–1252. </w:t>
      </w:r>
    </w:p>
    <w:p w14:paraId="5E61DFE4" w14:textId="77777777" w:rsidR="00071AF6" w:rsidRDefault="00071AF6" w:rsidP="00071AF6">
      <w:pPr>
        <w:pStyle w:val="NormalWeb"/>
        <w:ind w:left="142"/>
        <w:jc w:val="both"/>
      </w:pPr>
      <w:r>
        <w:t xml:space="preserve">Konstantopoulos, I. (2017). </w:t>
      </w:r>
      <w:r>
        <w:rPr>
          <w:i/>
          <w:iCs/>
        </w:rPr>
        <w:t>Illiquidity: A study of how investing in Illiquid Assets can be profitable.</w:t>
      </w:r>
      <w:r>
        <w:t xml:space="preserve"> 1–38.</w:t>
      </w:r>
    </w:p>
    <w:p w14:paraId="6BD71587" w14:textId="77777777" w:rsidR="00071AF6" w:rsidRDefault="00071AF6" w:rsidP="00071AF6">
      <w:pPr>
        <w:pStyle w:val="NormalWeb"/>
        <w:ind w:left="142"/>
        <w:jc w:val="both"/>
      </w:pPr>
      <w:r>
        <w:t xml:space="preserve">Kosnik, R. D. (1990). Effects of Board Demography and Directors’ Incentives on Corporate Greenmail Decisions. </w:t>
      </w:r>
      <w:r>
        <w:rPr>
          <w:i/>
          <w:iCs/>
        </w:rPr>
        <w:t>The Academy of Management Journal</w:t>
      </w:r>
      <w:r>
        <w:t xml:space="preserve">, </w:t>
      </w:r>
      <w:r>
        <w:rPr>
          <w:i/>
          <w:iCs/>
        </w:rPr>
        <w:t>33</w:t>
      </w:r>
      <w:r>
        <w:t>(1), 129–150.</w:t>
      </w:r>
    </w:p>
    <w:p w14:paraId="3561C4DE" w14:textId="77777777" w:rsidR="00071AF6" w:rsidRDefault="00071AF6" w:rsidP="00071AF6">
      <w:pPr>
        <w:pStyle w:val="NormalWeb"/>
        <w:ind w:left="142"/>
        <w:jc w:val="both"/>
      </w:pPr>
      <w:r>
        <w:t xml:space="preserve">Lawrence J, A., Parker, S., &amp; Peters, G. F. (2004). Audit committee Characteristics and restatements. </w:t>
      </w:r>
      <w:r>
        <w:rPr>
          <w:i/>
          <w:iCs/>
        </w:rPr>
        <w:t>Auditing: A Journal of Practice &amp; Theory</w:t>
      </w:r>
      <w:r>
        <w:t xml:space="preserve">, </w:t>
      </w:r>
      <w:r>
        <w:rPr>
          <w:i/>
          <w:iCs/>
        </w:rPr>
        <w:t>23</w:t>
      </w:r>
      <w:r>
        <w:t>(1), 69–87.</w:t>
      </w:r>
    </w:p>
    <w:p w14:paraId="02CA56FD" w14:textId="77777777" w:rsidR="00071AF6" w:rsidRDefault="00071AF6" w:rsidP="00071AF6">
      <w:pPr>
        <w:pStyle w:val="NormalWeb"/>
        <w:ind w:left="142"/>
        <w:jc w:val="both"/>
      </w:pPr>
      <w:r>
        <w:t xml:space="preserve">Leaf, G. E. (2008). Through the labyrinth: the truth about how women become leaders. </w:t>
      </w:r>
      <w:r>
        <w:rPr>
          <w:i/>
          <w:iCs/>
        </w:rPr>
        <w:t>Choice Reviews Online</w:t>
      </w:r>
      <w:r>
        <w:t xml:space="preserve">, </w:t>
      </w:r>
      <w:r>
        <w:rPr>
          <w:i/>
          <w:iCs/>
        </w:rPr>
        <w:t>45</w:t>
      </w:r>
      <w:r>
        <w:t xml:space="preserve">(12), 2202–2202. </w:t>
      </w:r>
    </w:p>
    <w:p w14:paraId="2777CF53" w14:textId="77777777" w:rsidR="00071AF6" w:rsidRDefault="00071AF6" w:rsidP="00071AF6">
      <w:pPr>
        <w:pStyle w:val="NormalWeb"/>
        <w:ind w:left="142"/>
        <w:jc w:val="both"/>
      </w:pPr>
      <w:r>
        <w:t xml:space="preserve">Li, N., &amp; Wahid, A. S. (2018). Director Tenure Diversity and Board Monitoring Effectiveness. </w:t>
      </w:r>
      <w:r>
        <w:rPr>
          <w:i/>
          <w:iCs/>
        </w:rPr>
        <w:t>Contemporary Accounting Research</w:t>
      </w:r>
      <w:r>
        <w:t xml:space="preserve">, </w:t>
      </w:r>
      <w:r>
        <w:rPr>
          <w:i/>
          <w:iCs/>
        </w:rPr>
        <w:t>35</w:t>
      </w:r>
      <w:r>
        <w:t xml:space="preserve">(3), 1363–1394. </w:t>
      </w:r>
    </w:p>
    <w:p w14:paraId="3A596B76" w14:textId="77777777" w:rsidR="00071AF6" w:rsidRDefault="00071AF6" w:rsidP="00071AF6">
      <w:pPr>
        <w:pStyle w:val="NormalWeb"/>
        <w:ind w:left="142"/>
        <w:jc w:val="both"/>
      </w:pPr>
      <w:r>
        <w:t xml:space="preserve">Liu, C. (2018). Are women greener? Corporate gender diversity and environmental violations. </w:t>
      </w:r>
      <w:r>
        <w:rPr>
          <w:i/>
          <w:iCs/>
        </w:rPr>
        <w:t>Journal of Corporate Finance</w:t>
      </w:r>
      <w:r>
        <w:t xml:space="preserve">, </w:t>
      </w:r>
      <w:r>
        <w:rPr>
          <w:i/>
          <w:iCs/>
        </w:rPr>
        <w:t>52</w:t>
      </w:r>
      <w:r>
        <w:t xml:space="preserve">(February), 118–142. </w:t>
      </w:r>
    </w:p>
    <w:p w14:paraId="137C6337" w14:textId="77777777" w:rsidR="00071AF6" w:rsidRDefault="00071AF6" w:rsidP="00071AF6">
      <w:pPr>
        <w:pStyle w:val="NormalWeb"/>
        <w:ind w:left="142"/>
        <w:jc w:val="both"/>
      </w:pPr>
      <w:r>
        <w:t xml:space="preserve">Lo, A. W. Y., Wong, R. M. K., &amp; Firth, M. (2010). Can corporate governance deter management from manipulating earnings? Evidence from related-party sales transactions in China. </w:t>
      </w:r>
      <w:r>
        <w:rPr>
          <w:i/>
          <w:iCs/>
        </w:rPr>
        <w:t>Journal of Corporate Finance</w:t>
      </w:r>
      <w:r>
        <w:t xml:space="preserve">, </w:t>
      </w:r>
      <w:r>
        <w:rPr>
          <w:i/>
          <w:iCs/>
        </w:rPr>
        <w:t>16</w:t>
      </w:r>
      <w:r>
        <w:t xml:space="preserve">(2), 225–235. </w:t>
      </w:r>
    </w:p>
    <w:p w14:paraId="25F6E430" w14:textId="77777777" w:rsidR="00071AF6" w:rsidRDefault="00071AF6" w:rsidP="00071AF6">
      <w:pPr>
        <w:pStyle w:val="NormalWeb"/>
        <w:ind w:left="142"/>
        <w:jc w:val="both"/>
      </w:pPr>
      <w:r w:rsidRPr="009E69CE">
        <w:rPr>
          <w:lang w:val="es-ES_tradnl"/>
        </w:rPr>
        <w:t xml:space="preserve">Mahadeo, J. D., Soobaroyen, T., &amp; Hanuman, V. O. (2012). </w:t>
      </w:r>
      <w:r>
        <w:t xml:space="preserve">Board Composition and Financial Performance: Uncovering the Effects of Diversity in an Emerging Economy. </w:t>
      </w:r>
      <w:r>
        <w:rPr>
          <w:i/>
          <w:iCs/>
        </w:rPr>
        <w:t>Journal of Business Ethics</w:t>
      </w:r>
      <w:r>
        <w:t xml:space="preserve">, </w:t>
      </w:r>
      <w:r>
        <w:rPr>
          <w:i/>
          <w:iCs/>
        </w:rPr>
        <w:t>105</w:t>
      </w:r>
      <w:r>
        <w:t xml:space="preserve">(3), 375–388. </w:t>
      </w:r>
    </w:p>
    <w:p w14:paraId="0B9CC98D" w14:textId="77777777" w:rsidR="00071AF6" w:rsidRDefault="00071AF6" w:rsidP="00071AF6">
      <w:pPr>
        <w:pStyle w:val="NormalWeb"/>
        <w:ind w:left="142"/>
        <w:jc w:val="both"/>
      </w:pPr>
      <w:r w:rsidRPr="00A44CF8">
        <w:t xml:space="preserve">Malik, M. F., Nowland, J., &amp; Buckby, S. (2021). Voluntary adoption of board risk committees and financial constraints risk. </w:t>
      </w:r>
      <w:r w:rsidRPr="00A44CF8">
        <w:rPr>
          <w:i/>
          <w:iCs/>
        </w:rPr>
        <w:t>International Review of Financial Analysis</w:t>
      </w:r>
      <w:r w:rsidRPr="00A44CF8">
        <w:t xml:space="preserve">, </w:t>
      </w:r>
      <w:r w:rsidRPr="00A44CF8">
        <w:rPr>
          <w:i/>
          <w:iCs/>
        </w:rPr>
        <w:t>73</w:t>
      </w:r>
      <w:r w:rsidRPr="00A44CF8">
        <w:t>, 1-61</w:t>
      </w:r>
    </w:p>
    <w:p w14:paraId="18ECDDF9" w14:textId="77777777" w:rsidR="00071AF6" w:rsidRDefault="00071AF6" w:rsidP="00071AF6">
      <w:pPr>
        <w:pStyle w:val="NormalWeb"/>
        <w:ind w:left="142"/>
        <w:jc w:val="both"/>
      </w:pPr>
      <w:r w:rsidRPr="00A44CF8">
        <w:t xml:space="preserve">Malm, J., &amp; Mobbs, S. (2014). Independent Directors and Corporate Litigation. </w:t>
      </w:r>
      <w:r w:rsidRPr="00A44CF8">
        <w:rPr>
          <w:i/>
          <w:iCs/>
        </w:rPr>
        <w:t>SSRN Electronic Journal</w:t>
      </w:r>
      <w:r w:rsidRPr="00A44CF8">
        <w:t>, 10.2139/ssrn.2468536</w:t>
      </w:r>
      <w:r>
        <w:t xml:space="preserve">, </w:t>
      </w:r>
      <w:r w:rsidRPr="00A44CF8">
        <w:t>2-55.</w:t>
      </w:r>
    </w:p>
    <w:p w14:paraId="520C5254" w14:textId="77777777" w:rsidR="00071AF6" w:rsidRDefault="00071AF6" w:rsidP="00071AF6">
      <w:pPr>
        <w:pStyle w:val="NormalWeb"/>
        <w:ind w:left="142"/>
        <w:jc w:val="both"/>
      </w:pPr>
      <w:r>
        <w:t xml:space="preserve">Mason, E. S., &amp; Mudrack, P. E. (1996). Gender and ethical orientation: A test of gender and occupational socialization theories. </w:t>
      </w:r>
      <w:r>
        <w:rPr>
          <w:i/>
          <w:iCs/>
        </w:rPr>
        <w:t>Journal of Business Ethics</w:t>
      </w:r>
      <w:r>
        <w:t xml:space="preserve">, </w:t>
      </w:r>
      <w:r>
        <w:rPr>
          <w:i/>
          <w:iCs/>
        </w:rPr>
        <w:t>15</w:t>
      </w:r>
      <w:r>
        <w:t xml:space="preserve">(6), 599–604. </w:t>
      </w:r>
    </w:p>
    <w:p w14:paraId="3DBF352F" w14:textId="77777777" w:rsidR="00071AF6" w:rsidRDefault="00071AF6" w:rsidP="00071AF6">
      <w:pPr>
        <w:pStyle w:val="NormalWeb"/>
        <w:ind w:left="142"/>
        <w:jc w:val="both"/>
      </w:pPr>
      <w:r>
        <w:t xml:space="preserve">Mattei, M. M., &amp; Platikanova, P. (2017). Do product market threats affect analyst forecast precision? </w:t>
      </w:r>
      <w:r>
        <w:rPr>
          <w:i/>
          <w:iCs/>
        </w:rPr>
        <w:t>Review of Accounting Studies</w:t>
      </w:r>
      <w:r>
        <w:t xml:space="preserve">, </w:t>
      </w:r>
      <w:r>
        <w:rPr>
          <w:i/>
          <w:iCs/>
        </w:rPr>
        <w:t>22</w:t>
      </w:r>
      <w:r>
        <w:t xml:space="preserve">(4), 1628–1665. </w:t>
      </w:r>
    </w:p>
    <w:p w14:paraId="6B682FA7" w14:textId="77777777" w:rsidR="00071AF6" w:rsidRDefault="00071AF6" w:rsidP="00071AF6">
      <w:pPr>
        <w:pStyle w:val="NormalWeb"/>
        <w:ind w:left="142"/>
        <w:jc w:val="both"/>
      </w:pPr>
      <w:r>
        <w:t xml:space="preserve">Midavaine, J., Dolfsma, W., &amp; Aalbers, R. (2016). Board diversity and R&amp;D investment. </w:t>
      </w:r>
      <w:r>
        <w:rPr>
          <w:i/>
          <w:iCs/>
        </w:rPr>
        <w:t>Management Decision</w:t>
      </w:r>
      <w:r>
        <w:t xml:space="preserve">, </w:t>
      </w:r>
      <w:r>
        <w:rPr>
          <w:i/>
          <w:iCs/>
        </w:rPr>
        <w:t>54</w:t>
      </w:r>
      <w:r>
        <w:t xml:space="preserve">(3), 558–569. </w:t>
      </w:r>
    </w:p>
    <w:p w14:paraId="16F902DF" w14:textId="77777777" w:rsidR="00071AF6" w:rsidRDefault="00071AF6" w:rsidP="00071AF6">
      <w:pPr>
        <w:pStyle w:val="NormalWeb"/>
        <w:ind w:left="142"/>
        <w:jc w:val="both"/>
      </w:pPr>
      <w:r>
        <w:t xml:space="preserve">Minton, B. A., Taillard, J. P., &amp; Williamson, R. (2014). Financial expertise of the board, risk taking, and performance: Evidence from bank holding companies. </w:t>
      </w:r>
      <w:r>
        <w:rPr>
          <w:i/>
          <w:iCs/>
        </w:rPr>
        <w:t>Journal of Financial and Quantitative Analysis</w:t>
      </w:r>
      <w:r>
        <w:t xml:space="preserve">, </w:t>
      </w:r>
      <w:r>
        <w:rPr>
          <w:i/>
          <w:iCs/>
        </w:rPr>
        <w:t>49</w:t>
      </w:r>
      <w:r>
        <w:t xml:space="preserve">(2), 351–380. </w:t>
      </w:r>
    </w:p>
    <w:p w14:paraId="69EFD962" w14:textId="7037A606" w:rsidR="00071AF6" w:rsidRDefault="00071AF6" w:rsidP="00071AF6">
      <w:pPr>
        <w:pStyle w:val="NormalWeb"/>
        <w:ind w:left="142"/>
        <w:jc w:val="both"/>
      </w:pPr>
      <w:r w:rsidRPr="009E69CE">
        <w:rPr>
          <w:lang w:val="sv-SE"/>
        </w:rPr>
        <w:t>Mollah, S., Liljeblom, E., &amp; M</w:t>
      </w:r>
      <w:r w:rsidR="00C907BD" w:rsidRPr="009E69CE">
        <w:rPr>
          <w:lang w:val="sv-SE"/>
        </w:rPr>
        <w:t>o</w:t>
      </w:r>
      <w:r w:rsidRPr="009E69CE">
        <w:rPr>
          <w:lang w:val="sv-SE"/>
        </w:rPr>
        <w:t xml:space="preserve">barak, A. (2021). </w:t>
      </w:r>
      <w:r>
        <w:t xml:space="preserve">Heterogeneity in Independent Non- Executive Directors’ Attributes and Risk - Taking in Large Banks Journal of Corporate Finance , Forthcoming. </w:t>
      </w:r>
      <w:r>
        <w:rPr>
          <w:i/>
          <w:iCs/>
        </w:rPr>
        <w:t>Journal of Corporate Finance</w:t>
      </w:r>
      <w:r>
        <w:t>, 1–59.</w:t>
      </w:r>
    </w:p>
    <w:p w14:paraId="31738388" w14:textId="77777777" w:rsidR="00071AF6" w:rsidRDefault="00071AF6" w:rsidP="00071AF6">
      <w:pPr>
        <w:pStyle w:val="NormalWeb"/>
        <w:ind w:left="142"/>
        <w:jc w:val="both"/>
      </w:pPr>
      <w:r>
        <w:t xml:space="preserve">Nguyen, D. D., Hagendorff, J., &amp; Eshraghi, A. (2016). Can Bank Boards Prevent Misconduct? </w:t>
      </w:r>
      <w:r>
        <w:rPr>
          <w:i/>
          <w:iCs/>
        </w:rPr>
        <w:t>Review of Finance</w:t>
      </w:r>
      <w:r>
        <w:t xml:space="preserve">, </w:t>
      </w:r>
      <w:r>
        <w:rPr>
          <w:i/>
          <w:iCs/>
        </w:rPr>
        <w:t>20</w:t>
      </w:r>
      <w:r>
        <w:t xml:space="preserve">(1), 1–36. </w:t>
      </w:r>
    </w:p>
    <w:p w14:paraId="3789C6B5" w14:textId="77777777" w:rsidR="00071AF6" w:rsidRDefault="00071AF6" w:rsidP="00071AF6">
      <w:pPr>
        <w:pStyle w:val="NormalWeb"/>
        <w:ind w:left="142"/>
        <w:jc w:val="both"/>
      </w:pPr>
      <w:r>
        <w:t xml:space="preserve">Short, J. L., Toffel, M. W., &amp; Hugill, A. R. (2016). Monitoring global supply chains. </w:t>
      </w:r>
      <w:r>
        <w:rPr>
          <w:i/>
          <w:iCs/>
        </w:rPr>
        <w:t>Strategic Management Journal</w:t>
      </w:r>
      <w:r>
        <w:t xml:space="preserve">, </w:t>
      </w:r>
      <w:r>
        <w:rPr>
          <w:i/>
          <w:iCs/>
        </w:rPr>
        <w:t>37</w:t>
      </w:r>
      <w:r>
        <w:t xml:space="preserve">(9), 1878–1897. </w:t>
      </w:r>
    </w:p>
    <w:p w14:paraId="3B98E07A" w14:textId="77777777" w:rsidR="00071AF6" w:rsidRDefault="00071AF6" w:rsidP="00071AF6">
      <w:pPr>
        <w:pStyle w:val="NormalWeb"/>
        <w:ind w:left="142"/>
        <w:jc w:val="both"/>
      </w:pPr>
      <w:r w:rsidRPr="009E69CE">
        <w:rPr>
          <w:lang w:val="es-ES_tradnl"/>
        </w:rPr>
        <w:t xml:space="preserve">Smulowitz, S., Becerra, M., &amp; Mayo, M. (2019). </w:t>
      </w:r>
      <w:r>
        <w:t xml:space="preserve">Racial diversity and its asymmetry within and across hierarchical levels: The effects on financial performance. </w:t>
      </w:r>
      <w:r>
        <w:rPr>
          <w:i/>
          <w:iCs/>
        </w:rPr>
        <w:t>Human Relations</w:t>
      </w:r>
      <w:r>
        <w:t xml:space="preserve">, </w:t>
      </w:r>
      <w:r>
        <w:rPr>
          <w:i/>
          <w:iCs/>
        </w:rPr>
        <w:t>72</w:t>
      </w:r>
      <w:r>
        <w:t>(10), 1671–1696.</w:t>
      </w:r>
    </w:p>
    <w:p w14:paraId="72E8702C" w14:textId="77777777" w:rsidR="00071AF6" w:rsidRDefault="00071AF6" w:rsidP="00071AF6">
      <w:pPr>
        <w:pStyle w:val="NormalWeb"/>
        <w:ind w:left="142"/>
        <w:jc w:val="both"/>
      </w:pPr>
      <w:r>
        <w:t xml:space="preserve">Stevens, J. M., Beyer, J. M., &amp; Trice, H. M. (1978). Assessing personal, role, and organizational predictors of managerial commitment. </w:t>
      </w:r>
      <w:r>
        <w:rPr>
          <w:i/>
          <w:iCs/>
        </w:rPr>
        <w:t>Academy of Management Journal. Academy of Management</w:t>
      </w:r>
      <w:r>
        <w:t xml:space="preserve">, </w:t>
      </w:r>
      <w:r>
        <w:rPr>
          <w:i/>
          <w:iCs/>
        </w:rPr>
        <w:t>21</w:t>
      </w:r>
      <w:r>
        <w:t xml:space="preserve">(3), 380–396. </w:t>
      </w:r>
    </w:p>
    <w:p w14:paraId="5A244F9A" w14:textId="77777777" w:rsidR="00071AF6" w:rsidRDefault="00071AF6" w:rsidP="00071AF6">
      <w:pPr>
        <w:pStyle w:val="NormalWeb"/>
        <w:ind w:left="142"/>
        <w:jc w:val="both"/>
      </w:pPr>
      <w:r>
        <w:t xml:space="preserve">Sundén, A. E., &amp; Surrete, B. J. (1998). Gender Differences in the Allocation of Assets in Retirement Savings Plans. </w:t>
      </w:r>
      <w:r>
        <w:rPr>
          <w:i/>
          <w:iCs/>
        </w:rPr>
        <w:t>The American Review</w:t>
      </w:r>
      <w:r>
        <w:t xml:space="preserve">, </w:t>
      </w:r>
      <w:r>
        <w:rPr>
          <w:i/>
          <w:iCs/>
        </w:rPr>
        <w:t>88</w:t>
      </w:r>
      <w:r>
        <w:t>(2), 207–211.</w:t>
      </w:r>
    </w:p>
    <w:p w14:paraId="3E0EBE75" w14:textId="77777777" w:rsidR="00071AF6" w:rsidRDefault="00071AF6" w:rsidP="00071AF6">
      <w:pPr>
        <w:pStyle w:val="NormalWeb"/>
        <w:ind w:left="142"/>
        <w:jc w:val="both"/>
      </w:pPr>
      <w:r>
        <w:t xml:space="preserve">Talavera, O., Yin, S., &amp; Zhang, M. (2018). Age diversity, directors′ personal values, and bank performance. </w:t>
      </w:r>
      <w:r>
        <w:rPr>
          <w:i/>
          <w:iCs/>
        </w:rPr>
        <w:t>International Review of Financial Analysis</w:t>
      </w:r>
      <w:r>
        <w:t xml:space="preserve">, </w:t>
      </w:r>
      <w:r>
        <w:rPr>
          <w:i/>
          <w:iCs/>
        </w:rPr>
        <w:t>55</w:t>
      </w:r>
      <w:r>
        <w:t xml:space="preserve">(January 2017), 60–79. </w:t>
      </w:r>
    </w:p>
    <w:p w14:paraId="56AD5D7A" w14:textId="77777777" w:rsidR="00071AF6" w:rsidRDefault="00071AF6" w:rsidP="00071AF6">
      <w:pPr>
        <w:pStyle w:val="NormalWeb"/>
        <w:ind w:left="142"/>
        <w:jc w:val="both"/>
      </w:pPr>
      <w:r>
        <w:t xml:space="preserve">Taljaard, C. C., Ward, M. J. D., &amp; Muller, C. J. (2015). Board diversity and financial performance: A graphical time-series approach. </w:t>
      </w:r>
      <w:r>
        <w:rPr>
          <w:i/>
          <w:iCs/>
        </w:rPr>
        <w:t>South African Journal of Economic and Management Sciences</w:t>
      </w:r>
      <w:r>
        <w:t xml:space="preserve">, </w:t>
      </w:r>
      <w:r>
        <w:rPr>
          <w:i/>
          <w:iCs/>
        </w:rPr>
        <w:t>18</w:t>
      </w:r>
      <w:r>
        <w:t xml:space="preserve">(3), 425–448. </w:t>
      </w:r>
    </w:p>
    <w:p w14:paraId="53E7FC64" w14:textId="77777777" w:rsidR="00071AF6" w:rsidRDefault="00071AF6" w:rsidP="00071AF6">
      <w:pPr>
        <w:pStyle w:val="NormalWeb"/>
        <w:ind w:left="142"/>
        <w:jc w:val="both"/>
      </w:pPr>
      <w:r w:rsidRPr="00941CBA">
        <w:t xml:space="preserve">Thakor, A. (2015). Risk Management in the Financial Services Industry The Role of Culture, Governance, and Financial Reporting. </w:t>
      </w:r>
      <w:r w:rsidRPr="00941CBA">
        <w:rPr>
          <w:i/>
          <w:iCs/>
        </w:rPr>
        <w:t>Economic Policy Review</w:t>
      </w:r>
      <w:r w:rsidRPr="00941CBA">
        <w:t xml:space="preserve">, </w:t>
      </w:r>
      <w:r w:rsidRPr="00941CBA">
        <w:rPr>
          <w:i/>
          <w:iCs/>
        </w:rPr>
        <w:t>22</w:t>
      </w:r>
      <w:r w:rsidRPr="00941CBA">
        <w:t>(1</w:t>
      </w:r>
      <w:r w:rsidRPr="00941CBA">
        <w:rPr>
          <w:i/>
          <w:iCs/>
        </w:rPr>
        <w:t>),</w:t>
      </w:r>
      <w:r w:rsidRPr="00941CBA">
        <w:t>1–13.</w:t>
      </w:r>
    </w:p>
    <w:p w14:paraId="05CA77D3" w14:textId="77777777" w:rsidR="00071AF6" w:rsidRDefault="00071AF6" w:rsidP="00071AF6">
      <w:pPr>
        <w:pStyle w:val="NormalWeb"/>
        <w:ind w:left="142"/>
        <w:jc w:val="both"/>
      </w:pPr>
      <w:r>
        <w:t xml:space="preserve">Thiruvadi, S., &amp; Huang, H. W. (2011). Audit committee gender differences and earnings management. </w:t>
      </w:r>
      <w:r>
        <w:rPr>
          <w:i/>
          <w:iCs/>
        </w:rPr>
        <w:t>Gender in Management: An International Journal</w:t>
      </w:r>
      <w:r>
        <w:t xml:space="preserve">, </w:t>
      </w:r>
      <w:r>
        <w:rPr>
          <w:i/>
          <w:iCs/>
        </w:rPr>
        <w:t>26</w:t>
      </w:r>
      <w:r>
        <w:t xml:space="preserve">(7), 483–498. </w:t>
      </w:r>
    </w:p>
    <w:p w14:paraId="436397EB" w14:textId="77777777" w:rsidR="00071AF6" w:rsidRDefault="00071AF6" w:rsidP="00071AF6">
      <w:pPr>
        <w:pStyle w:val="NormalWeb"/>
        <w:ind w:left="142"/>
        <w:jc w:val="both"/>
      </w:pPr>
      <w:r>
        <w:t xml:space="preserve">Tuggle, C. S., &amp; Schnatterly, K. (2010). Attention patterns in the board room: How board composition and process affect discussion of entrepreneurial issues. </w:t>
      </w:r>
      <w:r>
        <w:rPr>
          <w:i/>
          <w:iCs/>
        </w:rPr>
        <w:t>Academy of Management Journal</w:t>
      </w:r>
      <w:r>
        <w:t xml:space="preserve">, </w:t>
      </w:r>
      <w:r>
        <w:rPr>
          <w:i/>
          <w:iCs/>
        </w:rPr>
        <w:t>53</w:t>
      </w:r>
      <w:r>
        <w:t>(3), 550–571.</w:t>
      </w:r>
    </w:p>
    <w:p w14:paraId="5EC7EA09" w14:textId="77777777" w:rsidR="00071AF6" w:rsidRDefault="00071AF6" w:rsidP="00071AF6">
      <w:pPr>
        <w:pStyle w:val="NormalWeb"/>
        <w:ind w:left="142"/>
        <w:jc w:val="both"/>
      </w:pPr>
      <w:r>
        <w:t xml:space="preserve">Tuggle, C. S., Schnatterly, K., &amp; Johnson, R. A. (2010). Attention patterns in the boardroom: How board composition and processes affect discussion of entrepreneurial issues. </w:t>
      </w:r>
      <w:r>
        <w:rPr>
          <w:i/>
          <w:iCs/>
        </w:rPr>
        <w:t>Academy of Management Journal</w:t>
      </w:r>
      <w:r>
        <w:t xml:space="preserve">, </w:t>
      </w:r>
      <w:r>
        <w:rPr>
          <w:i/>
          <w:iCs/>
        </w:rPr>
        <w:t>53</w:t>
      </w:r>
      <w:r>
        <w:t xml:space="preserve">(3), 550–571. </w:t>
      </w:r>
    </w:p>
    <w:p w14:paraId="366A490A" w14:textId="77777777" w:rsidR="00071AF6" w:rsidRDefault="00071AF6" w:rsidP="00071AF6">
      <w:pPr>
        <w:pStyle w:val="NormalWeb"/>
        <w:ind w:left="142"/>
        <w:jc w:val="both"/>
      </w:pPr>
      <w:r>
        <w:t xml:space="preserve">Vafeas, N. (2003). Length of board tenure and outside director independence. </w:t>
      </w:r>
      <w:r>
        <w:rPr>
          <w:i/>
          <w:iCs/>
        </w:rPr>
        <w:t>Journal of Business Finance and Accounting</w:t>
      </w:r>
      <w:r>
        <w:t xml:space="preserve">, </w:t>
      </w:r>
      <w:r>
        <w:rPr>
          <w:i/>
          <w:iCs/>
        </w:rPr>
        <w:t>30</w:t>
      </w:r>
      <w:r>
        <w:t xml:space="preserve">(7–8), 1043–1064. </w:t>
      </w:r>
    </w:p>
    <w:p w14:paraId="2680E272" w14:textId="77777777" w:rsidR="00071AF6" w:rsidRDefault="00071AF6" w:rsidP="00071AF6">
      <w:pPr>
        <w:pStyle w:val="NormalWeb"/>
        <w:ind w:left="142"/>
        <w:jc w:val="both"/>
      </w:pPr>
      <w:r>
        <w:t xml:space="preserve">Zalata, A. M., Tauringana, V., &amp; Tingbani, I. (2018). Audit committee financial expertise, gender, and earnings management: Does gender of the financial expert matter? </w:t>
      </w:r>
      <w:r>
        <w:rPr>
          <w:i/>
          <w:iCs/>
        </w:rPr>
        <w:t>International Review of Financial Analysis</w:t>
      </w:r>
      <w:r>
        <w:t xml:space="preserve">, </w:t>
      </w:r>
      <w:r>
        <w:rPr>
          <w:i/>
          <w:iCs/>
        </w:rPr>
        <w:t>55</w:t>
      </w:r>
      <w:r>
        <w:t xml:space="preserve">(March 2017), 170–183. </w:t>
      </w:r>
    </w:p>
    <w:p w14:paraId="397BF2C6" w14:textId="77777777" w:rsidR="00071AF6" w:rsidRDefault="00071AF6" w:rsidP="00071AF6">
      <w:pPr>
        <w:pStyle w:val="NormalWeb"/>
        <w:ind w:left="142"/>
        <w:jc w:val="both"/>
      </w:pPr>
      <w:r>
        <w:t xml:space="preserve">Zaman, R., Atawnah, N., Baghdadi, G. A., &amp; Liu, J. (2021). Fiduciary duty or loyalty? Evidence from co-opted boards and corporate misconduct. </w:t>
      </w:r>
      <w:r>
        <w:rPr>
          <w:i/>
          <w:iCs/>
        </w:rPr>
        <w:t>Journal of Corporate Finance</w:t>
      </w:r>
      <w:r>
        <w:t xml:space="preserve">, </w:t>
      </w:r>
      <w:r>
        <w:rPr>
          <w:i/>
          <w:iCs/>
        </w:rPr>
        <w:t>70</w:t>
      </w:r>
      <w:r>
        <w:t xml:space="preserve">(August), 1–64. </w:t>
      </w:r>
    </w:p>
    <w:p w14:paraId="0B7F5EBD" w14:textId="7BB19993" w:rsidR="00071AF6" w:rsidRDefault="00071AF6" w:rsidP="00071AF6">
      <w:pPr>
        <w:jc w:val="both"/>
        <w:rPr>
          <w:rFonts w:ascii="Times New Roman" w:eastAsia="Times New Roman" w:hAnsi="Times New Roman" w:cs="Times New Roman"/>
          <w:sz w:val="24"/>
          <w:szCs w:val="24"/>
        </w:rPr>
      </w:pPr>
    </w:p>
    <w:p w14:paraId="1C581F33" w14:textId="77777777" w:rsidR="00071AF6" w:rsidRDefault="00071AF6">
      <w:pPr>
        <w:rPr>
          <w:rFonts w:ascii="Times New Roman" w:eastAsia="Times New Roman" w:hAnsi="Times New Roman" w:cs="Times New Roman"/>
          <w:sz w:val="24"/>
          <w:szCs w:val="24"/>
        </w:rPr>
      </w:pPr>
    </w:p>
    <w:p w14:paraId="4EF2529C" w14:textId="77777777" w:rsidR="00A9015F" w:rsidRPr="00A9015F" w:rsidRDefault="00A9015F" w:rsidP="00A9015F">
      <w:pPr>
        <w:spacing w:line="480" w:lineRule="auto"/>
        <w:rPr>
          <w:rFonts w:ascii="Times New Roman" w:eastAsia="Times New Roman" w:hAnsi="Times New Roman" w:cs="Times New Roman"/>
          <w:sz w:val="24"/>
          <w:szCs w:val="24"/>
        </w:rPr>
      </w:pPr>
    </w:p>
    <w:p w14:paraId="30623E0C" w14:textId="10E9F6A4" w:rsidR="00071AF6" w:rsidRDefault="00071AF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AA7AF64" w14:textId="394DC4FB" w:rsidR="00A9015F" w:rsidRPr="00A9015F" w:rsidRDefault="000329D3" w:rsidP="00071AF6">
      <w:pPr>
        <w:spacing w:line="360" w:lineRule="auto"/>
        <w:jc w:val="center"/>
        <w:rPr>
          <w:rFonts w:ascii="Times New Roman" w:eastAsia="Times New Roman" w:hAnsi="Times New Roman" w:cs="Times New Roman"/>
          <w:b/>
          <w:bCs/>
          <w:smallCaps/>
          <w:sz w:val="36"/>
          <w:szCs w:val="36"/>
        </w:rPr>
      </w:pPr>
      <w:r>
        <w:rPr>
          <w:noProof/>
        </w:rPr>
        <mc:AlternateContent>
          <mc:Choice Requires="wps">
            <w:drawing>
              <wp:anchor distT="0" distB="0" distL="114300" distR="114300" simplePos="0" relativeHeight="251661312" behindDoc="1" locked="0" layoutInCell="1" allowOverlap="1" wp14:anchorId="0BC26637" wp14:editId="2D5906F8">
                <wp:simplePos x="0" y="0"/>
                <wp:positionH relativeFrom="column">
                  <wp:posOffset>570230</wp:posOffset>
                </wp:positionH>
                <wp:positionV relativeFrom="paragraph">
                  <wp:posOffset>0</wp:posOffset>
                </wp:positionV>
                <wp:extent cx="4573270" cy="457200"/>
                <wp:effectExtent l="0" t="0" r="0" b="0"/>
                <wp:wrapTight wrapText="bothSides">
                  <wp:wrapPolygon edited="0">
                    <wp:start x="0" y="0"/>
                    <wp:lineTo x="0" y="20700"/>
                    <wp:lineTo x="21504" y="20700"/>
                    <wp:lineTo x="2150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573270" cy="457200"/>
                        </a:xfrm>
                        <a:prstGeom prst="rect">
                          <a:avLst/>
                        </a:prstGeom>
                        <a:solidFill>
                          <a:prstClr val="white"/>
                        </a:solidFill>
                        <a:ln>
                          <a:noFill/>
                        </a:ln>
                      </wps:spPr>
                      <wps:txbx>
                        <w:txbxContent>
                          <w:p w14:paraId="4E743C17" w14:textId="07C5B20E" w:rsidR="000329D3" w:rsidRPr="00E30E2D" w:rsidRDefault="000329D3" w:rsidP="00E30E2D">
                            <w:pPr>
                              <w:pStyle w:val="Caption"/>
                              <w:jc w:val="center"/>
                              <w:rPr>
                                <w:rFonts w:ascii="Times New Roman" w:eastAsia="Times New Roman" w:hAnsi="Times New Roman" w:cs="Times New Roman"/>
                                <w:b/>
                                <w:bCs/>
                                <w:i w:val="0"/>
                                <w:iCs w:val="0"/>
                                <w:noProof/>
                                <w:color w:val="auto"/>
                                <w:sz w:val="28"/>
                                <w:szCs w:val="28"/>
                              </w:rPr>
                            </w:pPr>
                            <w:bookmarkStart w:id="157" w:name="_Toc132391466"/>
                            <w:r w:rsidRPr="00E30E2D">
                              <w:rPr>
                                <w:rFonts w:ascii="Times New Roman" w:hAnsi="Times New Roman" w:cs="Times New Roman"/>
                                <w:b/>
                                <w:bCs/>
                                <w:i w:val="0"/>
                                <w:iCs w:val="0"/>
                                <w:color w:val="auto"/>
                                <w:sz w:val="28"/>
                                <w:szCs w:val="28"/>
                              </w:rPr>
                              <w:t xml:space="preserve">Figure </w:t>
                            </w:r>
                            <w:r w:rsidR="000463F4">
                              <w:rPr>
                                <w:rFonts w:ascii="Times New Roman" w:hAnsi="Times New Roman" w:cs="Times New Roman"/>
                                <w:b/>
                                <w:bCs/>
                                <w:i w:val="0"/>
                                <w:iCs w:val="0"/>
                                <w:color w:val="auto"/>
                                <w:sz w:val="28"/>
                                <w:szCs w:val="28"/>
                              </w:rPr>
                              <w:t>10</w:t>
                            </w:r>
                            <w:r w:rsidRPr="00E30E2D">
                              <w:rPr>
                                <w:rFonts w:ascii="Times New Roman" w:hAnsi="Times New Roman" w:cs="Times New Roman"/>
                                <w:b/>
                                <w:bCs/>
                                <w:i w:val="0"/>
                                <w:iCs w:val="0"/>
                                <w:color w:val="auto"/>
                                <w:sz w:val="28"/>
                                <w:szCs w:val="28"/>
                              </w:rPr>
                              <w:t xml:space="preserve"> : Trend in INED Hetrogenity</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C26637" id="Text Box 6" o:spid="_x0000_s1027" type="#_x0000_t202" style="position:absolute;left:0;text-align:left;margin-left:44.9pt;margin-top:0;width:360.1pt;height:3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wXGAIAAEIEAAAOAAAAZHJzL2Uyb0RvYy54bWysU01v2zAMvQ/YfxB0X5xkHx2MOEWWIsOA&#10;oC2QDj0rshQLkEWNUmJnv36UP5Ku22nYRaZImhTfe1zctrVlJ4XBgCv4bDLlTDkJpXGHgn9/2rz7&#10;zFmIwpXCglMFP6vAb5dv3ywan6s5VGBLhYyKuJA3vuBVjD7PsiArVYswAa8cBTVgLSJd8ZCVKBqq&#10;XttsPp1+yhrA0iNIFQJ57/ogX3b1tVYyPmgdVGS24PS22J3Ynft0ZsuFyA8ofGXk8AzxD6+ohXHU&#10;9FLqTkTBjmj+KFUbiRBAx4mEOgOtjVTdDDTNbPpqml0lvOpmIXCCv8AU/l9ZeX/a+Udksf0CLRGY&#10;AGl8yAM50zytxjp96aWM4gTh+QKbaiOT5Pzw8eb9/IZCkmJ0IV5Smez6t8cQvyqoWTIKjkRLh5Y4&#10;bUPsU8eU1CyANeXGWJsuKbC2yE6CKGwqE9VQ/Lcs61Kug/RXXzB5susoyYrtvmWmfDHmHsozTY/Q&#10;CyN4uTHUbytCfBRISqCpSN3xgQ5toSk4DBZnFeDPv/lTPhFEUc4aUlbBw4+jQMWZ/eaIuiTD0cDR&#10;2I+GO9ZroElntDdedib9gNGOpkaon0n0q9SFQsJJ6lXwOJrr2Oublkaq1apLIrF5Ebdu52UqPeL6&#10;1D4L9AMrkfi8h1FzIn9FTp/bo7w6RtCmYy7h2qM4wE1C7bgfliptwst7l3Vd/eUvAAAA//8DAFBL&#10;AwQUAAYACAAAACEAIbf5B9sAAAAGAQAADwAAAGRycy9kb3ducmV2LnhtbEyPwU7DMBBE70j8g7VI&#10;XBC1m0MJIU4FLdzg0FL17MZLEhGvI9tp0r9nOcFtRzOaeVuuZ9eLM4bYedKwXCgQSLW3HTUaDp9v&#10;9zmImAxZ03tCDReMsK6ur0pTWD/RDs/71AguoVgYDW1KQyFlrFt0Ji78gMTelw/OJJahkTaYictd&#10;LzOlVtKZjnihNQNuWqy/96PTsNqGcdrR5m57eH03H0OTHV8uR61vb+bnJxAJ5/QXhl98RoeKmU5+&#10;JBtFryF/ZPKkgR9iN18qPk4aHjIFsirlf/zqBwAA//8DAFBLAQItABQABgAIAAAAIQC2gziS/gAA&#10;AOEBAAATAAAAAAAAAAAAAAAAAAAAAABbQ29udGVudF9UeXBlc10ueG1sUEsBAi0AFAAGAAgAAAAh&#10;ADj9If/WAAAAlAEAAAsAAAAAAAAAAAAAAAAALwEAAF9yZWxzLy5yZWxzUEsBAi0AFAAGAAgAAAAh&#10;AJ0MrBcYAgAAQgQAAA4AAAAAAAAAAAAAAAAALgIAAGRycy9lMm9Eb2MueG1sUEsBAi0AFAAGAAgA&#10;AAAhACG3+QfbAAAABgEAAA8AAAAAAAAAAAAAAAAAcgQAAGRycy9kb3ducmV2LnhtbFBLBQYAAAAA&#10;BAAEAPMAAAB6BQAAAAA=&#10;" stroked="f">
                <v:textbox inset="0,0,0,0">
                  <w:txbxContent>
                    <w:p w14:paraId="4E743C17" w14:textId="07C5B20E" w:rsidR="000329D3" w:rsidRPr="00E30E2D" w:rsidRDefault="000329D3" w:rsidP="00E30E2D">
                      <w:pPr>
                        <w:pStyle w:val="Caption"/>
                        <w:jc w:val="center"/>
                        <w:rPr>
                          <w:rFonts w:ascii="Times New Roman" w:eastAsia="Times New Roman" w:hAnsi="Times New Roman" w:cs="Times New Roman"/>
                          <w:b/>
                          <w:bCs/>
                          <w:i w:val="0"/>
                          <w:iCs w:val="0"/>
                          <w:noProof/>
                          <w:color w:val="auto"/>
                          <w:sz w:val="28"/>
                          <w:szCs w:val="28"/>
                        </w:rPr>
                      </w:pPr>
                      <w:bookmarkStart w:id="158" w:name="_Toc132391466"/>
                      <w:r w:rsidRPr="00E30E2D">
                        <w:rPr>
                          <w:rFonts w:ascii="Times New Roman" w:hAnsi="Times New Roman" w:cs="Times New Roman"/>
                          <w:b/>
                          <w:bCs/>
                          <w:i w:val="0"/>
                          <w:iCs w:val="0"/>
                          <w:color w:val="auto"/>
                          <w:sz w:val="28"/>
                          <w:szCs w:val="28"/>
                        </w:rPr>
                        <w:t xml:space="preserve">Figure </w:t>
                      </w:r>
                      <w:r w:rsidR="000463F4">
                        <w:rPr>
                          <w:rFonts w:ascii="Times New Roman" w:hAnsi="Times New Roman" w:cs="Times New Roman"/>
                          <w:b/>
                          <w:bCs/>
                          <w:i w:val="0"/>
                          <w:iCs w:val="0"/>
                          <w:color w:val="auto"/>
                          <w:sz w:val="28"/>
                          <w:szCs w:val="28"/>
                        </w:rPr>
                        <w:t>10</w:t>
                      </w:r>
                      <w:r w:rsidRPr="00E30E2D">
                        <w:rPr>
                          <w:rFonts w:ascii="Times New Roman" w:hAnsi="Times New Roman" w:cs="Times New Roman"/>
                          <w:b/>
                          <w:bCs/>
                          <w:i w:val="0"/>
                          <w:iCs w:val="0"/>
                          <w:color w:val="auto"/>
                          <w:sz w:val="28"/>
                          <w:szCs w:val="28"/>
                        </w:rPr>
                        <w:t xml:space="preserve"> : Trend in INED Hetrogenity</w:t>
                      </w:r>
                      <w:bookmarkEnd w:id="158"/>
                    </w:p>
                  </w:txbxContent>
                </v:textbox>
                <w10:wrap type="tight"/>
              </v:shape>
            </w:pict>
          </mc:Fallback>
        </mc:AlternateContent>
      </w:r>
      <w:r w:rsidR="00071AF6" w:rsidRPr="00A9015F">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C9C4AA2" wp14:editId="5056A0BD">
            <wp:simplePos x="0" y="0"/>
            <wp:positionH relativeFrom="page">
              <wp:align>center</wp:align>
            </wp:positionH>
            <wp:positionV relativeFrom="paragraph">
              <wp:posOffset>422275</wp:posOffset>
            </wp:positionV>
            <wp:extent cx="4573270" cy="2744470"/>
            <wp:effectExtent l="0" t="0" r="17780" b="17780"/>
            <wp:wrapTight wrapText="bothSides">
              <wp:wrapPolygon edited="0">
                <wp:start x="0" y="0"/>
                <wp:lineTo x="0" y="21590"/>
                <wp:lineTo x="21594" y="21590"/>
                <wp:lineTo x="21594" y="0"/>
                <wp:lineTo x="0" y="0"/>
              </wp:wrapPolygon>
            </wp:wrapTight>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43F30D7A" w14:textId="34610578" w:rsidR="00A9015F" w:rsidRPr="00A9015F" w:rsidRDefault="00A9015F" w:rsidP="00A9015F">
      <w:pPr>
        <w:jc w:val="both"/>
        <w:rPr>
          <w:rFonts w:ascii="Times New Roman" w:eastAsia="Times New Roman" w:hAnsi="Times New Roman" w:cs="Times New Roman"/>
          <w:sz w:val="24"/>
          <w:szCs w:val="24"/>
        </w:rPr>
      </w:pPr>
    </w:p>
    <w:p w14:paraId="5E58E739" w14:textId="072106C4" w:rsidR="00A9015F" w:rsidRPr="00A9015F" w:rsidRDefault="00A9015F" w:rsidP="00A9015F">
      <w:pPr>
        <w:jc w:val="both"/>
        <w:rPr>
          <w:rFonts w:ascii="Times New Roman" w:eastAsia="Times New Roman" w:hAnsi="Times New Roman" w:cs="Times New Roman"/>
          <w:sz w:val="24"/>
          <w:szCs w:val="24"/>
        </w:rPr>
      </w:pPr>
    </w:p>
    <w:p w14:paraId="13AB50BF" w14:textId="77777777" w:rsidR="00A9015F" w:rsidRPr="00A9015F" w:rsidRDefault="00A9015F" w:rsidP="009E69CE">
      <w:pPr>
        <w:jc w:val="center"/>
        <w:rPr>
          <w:rFonts w:ascii="Times New Roman" w:eastAsia="Times New Roman" w:hAnsi="Times New Roman" w:cs="Times New Roman"/>
          <w:sz w:val="24"/>
          <w:szCs w:val="24"/>
        </w:rPr>
      </w:pPr>
    </w:p>
    <w:p w14:paraId="5FDCAF5B" w14:textId="77777777" w:rsidR="000329D3" w:rsidRDefault="000329D3" w:rsidP="000329D3">
      <w:pPr>
        <w:pStyle w:val="Caption"/>
        <w:keepNext/>
        <w:jc w:val="center"/>
      </w:pPr>
    </w:p>
    <w:p w14:paraId="2563D415" w14:textId="77777777" w:rsidR="000329D3" w:rsidRDefault="000329D3" w:rsidP="000329D3">
      <w:pPr>
        <w:pStyle w:val="Caption"/>
        <w:keepNext/>
        <w:jc w:val="center"/>
      </w:pPr>
    </w:p>
    <w:p w14:paraId="0632F7DF" w14:textId="77777777" w:rsidR="000329D3" w:rsidRDefault="000329D3" w:rsidP="000329D3">
      <w:pPr>
        <w:pStyle w:val="Caption"/>
        <w:keepNext/>
        <w:jc w:val="center"/>
      </w:pPr>
    </w:p>
    <w:p w14:paraId="19D62309" w14:textId="77777777" w:rsidR="000329D3" w:rsidRDefault="000329D3" w:rsidP="000329D3">
      <w:pPr>
        <w:pStyle w:val="Caption"/>
        <w:keepNext/>
        <w:jc w:val="center"/>
      </w:pPr>
    </w:p>
    <w:p w14:paraId="06A1DE6B" w14:textId="77777777" w:rsidR="000329D3" w:rsidRDefault="000329D3" w:rsidP="000329D3">
      <w:pPr>
        <w:pStyle w:val="Caption"/>
        <w:keepNext/>
        <w:jc w:val="center"/>
      </w:pPr>
    </w:p>
    <w:p w14:paraId="12BA27A0" w14:textId="77777777" w:rsidR="000329D3" w:rsidRDefault="000329D3" w:rsidP="000329D3">
      <w:pPr>
        <w:pStyle w:val="Caption"/>
        <w:keepNext/>
        <w:jc w:val="center"/>
      </w:pPr>
    </w:p>
    <w:p w14:paraId="258598B4" w14:textId="77777777" w:rsidR="000329D3" w:rsidRDefault="000329D3" w:rsidP="000329D3">
      <w:pPr>
        <w:pStyle w:val="Caption"/>
        <w:keepNext/>
        <w:jc w:val="center"/>
      </w:pPr>
    </w:p>
    <w:p w14:paraId="6071AE50" w14:textId="77777777" w:rsidR="000329D3" w:rsidRDefault="000329D3" w:rsidP="000329D3">
      <w:pPr>
        <w:pStyle w:val="Caption"/>
        <w:keepNext/>
        <w:jc w:val="center"/>
      </w:pPr>
    </w:p>
    <w:p w14:paraId="06C8BD15" w14:textId="149BAF3C" w:rsidR="000329D3" w:rsidRPr="00E30E2D" w:rsidRDefault="000329D3" w:rsidP="000329D3">
      <w:pPr>
        <w:pStyle w:val="Caption"/>
        <w:keepNext/>
        <w:jc w:val="center"/>
        <w:rPr>
          <w:rFonts w:ascii="Times New Roman" w:hAnsi="Times New Roman" w:cs="Times New Roman"/>
          <w:b/>
          <w:bCs/>
          <w:i w:val="0"/>
          <w:iCs w:val="0"/>
          <w:color w:val="auto"/>
          <w:sz w:val="28"/>
          <w:szCs w:val="28"/>
        </w:rPr>
      </w:pPr>
      <w:bookmarkStart w:id="158" w:name="_Toc132391467"/>
      <w:r w:rsidRPr="00E30E2D">
        <w:rPr>
          <w:rFonts w:ascii="Times New Roman" w:hAnsi="Times New Roman" w:cs="Times New Roman"/>
          <w:b/>
          <w:bCs/>
          <w:i w:val="0"/>
          <w:iCs w:val="0"/>
          <w:color w:val="auto"/>
          <w:sz w:val="28"/>
          <w:szCs w:val="28"/>
        </w:rPr>
        <w:t xml:space="preserve">Figure </w:t>
      </w:r>
      <w:r w:rsidR="000463F4">
        <w:rPr>
          <w:rFonts w:ascii="Times New Roman" w:hAnsi="Times New Roman" w:cs="Times New Roman"/>
          <w:b/>
          <w:bCs/>
          <w:i w:val="0"/>
          <w:iCs w:val="0"/>
          <w:color w:val="auto"/>
          <w:sz w:val="28"/>
          <w:szCs w:val="28"/>
        </w:rPr>
        <w:t>11:</w:t>
      </w:r>
      <w:r w:rsidRPr="00E30E2D">
        <w:rPr>
          <w:rFonts w:ascii="Times New Roman" w:hAnsi="Times New Roman" w:cs="Times New Roman"/>
          <w:b/>
          <w:bCs/>
          <w:i w:val="0"/>
          <w:iCs w:val="0"/>
          <w:color w:val="auto"/>
          <w:sz w:val="28"/>
          <w:szCs w:val="28"/>
        </w:rPr>
        <w:t xml:space="preserve"> Trend in Bank Misconduct Data</w:t>
      </w:r>
      <w:bookmarkEnd w:id="158"/>
    </w:p>
    <w:p w14:paraId="7CBC35E2" w14:textId="77777777" w:rsidR="000329D3" w:rsidRPr="000329D3" w:rsidRDefault="000329D3" w:rsidP="000329D3"/>
    <w:p w14:paraId="2E457D77" w14:textId="2729AACB" w:rsidR="00A9015F" w:rsidRPr="00A9015F" w:rsidRDefault="00A9015F" w:rsidP="009E69CE">
      <w:pPr>
        <w:ind w:left="851"/>
        <w:jc w:val="center"/>
        <w:rPr>
          <w:rFonts w:ascii="Times New Roman" w:eastAsia="Times New Roman" w:hAnsi="Times New Roman" w:cs="Times New Roman"/>
          <w:sz w:val="24"/>
          <w:szCs w:val="24"/>
        </w:rPr>
      </w:pPr>
      <w:r w:rsidRPr="00A9015F">
        <w:rPr>
          <w:rFonts w:ascii="Times New Roman" w:eastAsia="Times New Roman" w:hAnsi="Times New Roman" w:cs="Times New Roman"/>
          <w:noProof/>
          <w:sz w:val="24"/>
          <w:szCs w:val="24"/>
        </w:rPr>
        <w:drawing>
          <wp:inline distT="0" distB="0" distL="0" distR="0" wp14:anchorId="27BCC369" wp14:editId="2C614C19">
            <wp:extent cx="4874187" cy="2407285"/>
            <wp:effectExtent l="0" t="0" r="3175" b="1206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EAFC0C" w14:textId="77777777" w:rsidR="00A9015F" w:rsidRPr="00A9015F" w:rsidRDefault="00A9015F" w:rsidP="00A9015F">
      <w:pPr>
        <w:jc w:val="both"/>
        <w:rPr>
          <w:rFonts w:ascii="Times New Roman" w:eastAsia="Times New Roman" w:hAnsi="Times New Roman" w:cs="Times New Roman"/>
          <w:sz w:val="24"/>
          <w:szCs w:val="24"/>
        </w:rPr>
      </w:pPr>
    </w:p>
    <w:p w14:paraId="63D42C94" w14:textId="40F1E3C2" w:rsidR="00E30E2D" w:rsidRDefault="00E30E2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ABB609F" w14:textId="7FD16F37" w:rsidR="00A9015F" w:rsidRPr="00E30E2D" w:rsidRDefault="00E30E2D" w:rsidP="00E30E2D">
      <w:pPr>
        <w:pStyle w:val="Caption"/>
        <w:jc w:val="center"/>
        <w:rPr>
          <w:rFonts w:ascii="Times New Roman" w:eastAsia="Times New Roman" w:hAnsi="Times New Roman" w:cs="Times New Roman"/>
          <w:b/>
          <w:bCs/>
          <w:i w:val="0"/>
          <w:iCs w:val="0"/>
          <w:color w:val="auto"/>
          <w:sz w:val="28"/>
          <w:szCs w:val="28"/>
        </w:rPr>
      </w:pPr>
      <w:r w:rsidRPr="00E30E2D">
        <w:rPr>
          <w:rFonts w:ascii="Times New Roman" w:hAnsi="Times New Roman" w:cs="Times New Roman"/>
          <w:b/>
          <w:bCs/>
          <w:i w:val="0"/>
          <w:iCs w:val="0"/>
          <w:color w:val="auto"/>
          <w:sz w:val="28"/>
          <w:szCs w:val="28"/>
        </w:rPr>
        <w:t xml:space="preserve">Figure </w:t>
      </w:r>
      <w:r w:rsidR="000463F4">
        <w:rPr>
          <w:rFonts w:ascii="Times New Roman" w:hAnsi="Times New Roman" w:cs="Times New Roman"/>
          <w:b/>
          <w:bCs/>
          <w:i w:val="0"/>
          <w:iCs w:val="0"/>
          <w:color w:val="auto"/>
          <w:sz w:val="28"/>
          <w:szCs w:val="28"/>
        </w:rPr>
        <w:t>12:</w:t>
      </w:r>
      <w:r w:rsidRPr="00E30E2D">
        <w:rPr>
          <w:rFonts w:ascii="Times New Roman" w:hAnsi="Times New Roman" w:cs="Times New Roman"/>
          <w:b/>
          <w:bCs/>
          <w:i w:val="0"/>
          <w:iCs w:val="0"/>
          <w:color w:val="auto"/>
          <w:sz w:val="28"/>
          <w:szCs w:val="28"/>
        </w:rPr>
        <w:t xml:space="preserve"> Trend in Bank Misconduct ($) by Type</w:t>
      </w:r>
    </w:p>
    <w:p w14:paraId="5DBF09E6" w14:textId="11EE2B90" w:rsidR="00A9015F" w:rsidRPr="00A9015F" w:rsidRDefault="00A9015F" w:rsidP="001278ED">
      <w:pPr>
        <w:ind w:left="709"/>
        <w:jc w:val="both"/>
        <w:rPr>
          <w:rFonts w:ascii="Times New Roman" w:eastAsia="Times New Roman" w:hAnsi="Times New Roman" w:cs="Times New Roman"/>
          <w:sz w:val="24"/>
          <w:szCs w:val="24"/>
        </w:rPr>
      </w:pPr>
      <w:r w:rsidRPr="00A9015F">
        <w:rPr>
          <w:rFonts w:eastAsia="Times New Roman" w:cs="Times New Roman"/>
          <w:noProof/>
        </w:rPr>
        <w:drawing>
          <wp:inline distT="0" distB="0" distL="0" distR="0" wp14:anchorId="0FA1638C" wp14:editId="74B271D3">
            <wp:extent cx="4573270" cy="2744470"/>
            <wp:effectExtent l="0" t="0" r="17780" b="1778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378F63" w14:textId="21E91C2F" w:rsidR="00A9015F" w:rsidRPr="00A9015F" w:rsidRDefault="00A9015F" w:rsidP="00A9015F">
      <w:pPr>
        <w:rPr>
          <w:rFonts w:ascii="Times New Roman" w:eastAsia="Times New Roman" w:hAnsi="Times New Roman" w:cs="Times New Roman"/>
          <w:b/>
          <w:bCs/>
          <w:sz w:val="24"/>
          <w:szCs w:val="24"/>
        </w:rPr>
      </w:pPr>
      <w:r w:rsidRPr="00A9015F">
        <w:rPr>
          <w:rFonts w:ascii="Times New Roman" w:eastAsia="Times New Roman" w:hAnsi="Times New Roman" w:cs="Times New Roman"/>
          <w:b/>
          <w:bCs/>
          <w:sz w:val="24"/>
          <w:szCs w:val="24"/>
        </w:rPr>
        <w:t xml:space="preserve">  </w:t>
      </w:r>
      <w:r w:rsidRPr="00A9015F">
        <w:rPr>
          <w:rFonts w:ascii="Times New Roman" w:eastAsia="Times New Roman" w:hAnsi="Times New Roman" w:cs="Times New Roman"/>
          <w:b/>
          <w:bCs/>
          <w:sz w:val="24"/>
          <w:szCs w:val="24"/>
        </w:rPr>
        <w:br w:type="page"/>
      </w:r>
    </w:p>
    <w:p w14:paraId="3784B6A9" w14:textId="77777777" w:rsidR="00A9015F" w:rsidRPr="00A9015F" w:rsidRDefault="00A9015F" w:rsidP="00A9015F">
      <w:pPr>
        <w:rPr>
          <w:rFonts w:ascii="Times New Roman" w:eastAsia="Times New Roman" w:hAnsi="Times New Roman" w:cs="Times New Roman"/>
          <w:b/>
          <w:bCs/>
          <w:sz w:val="24"/>
          <w:szCs w:val="24"/>
        </w:rPr>
      </w:pPr>
    </w:p>
    <w:p w14:paraId="05287BA6" w14:textId="0378480F" w:rsidR="00DE7639" w:rsidRPr="00E30E2D" w:rsidRDefault="00DE7639" w:rsidP="00DE7639">
      <w:pPr>
        <w:pStyle w:val="Caption"/>
        <w:keepNext/>
        <w:rPr>
          <w:rFonts w:ascii="Times New Roman" w:eastAsia="Times New Roman" w:hAnsi="Times New Roman" w:cs="Times New Roman"/>
          <w:b/>
          <w:bCs/>
          <w:i w:val="0"/>
          <w:iCs w:val="0"/>
          <w:color w:val="auto"/>
          <w:sz w:val="28"/>
          <w:szCs w:val="28"/>
        </w:rPr>
      </w:pPr>
      <w:bookmarkStart w:id="159" w:name="_Toc132386112"/>
      <w:bookmarkStart w:id="160" w:name="_Toc132437304"/>
      <w:r w:rsidRPr="00E30E2D">
        <w:rPr>
          <w:rFonts w:ascii="Times New Roman" w:hAnsi="Times New Roman" w:cs="Times New Roman"/>
          <w:b/>
          <w:bCs/>
          <w:i w:val="0"/>
          <w:iCs w:val="0"/>
          <w:color w:val="auto"/>
          <w:sz w:val="28"/>
          <w:szCs w:val="28"/>
        </w:rPr>
        <w:t>Table 5.</w:t>
      </w:r>
      <w:r w:rsidR="00221C3A">
        <w:rPr>
          <w:rFonts w:ascii="Times New Roman" w:hAnsi="Times New Roman" w:cs="Times New Roman"/>
          <w:b/>
          <w:bCs/>
          <w:i w:val="0"/>
          <w:iCs w:val="0"/>
          <w:color w:val="auto"/>
          <w:sz w:val="28"/>
          <w:szCs w:val="28"/>
        </w:rPr>
        <w:t>1</w:t>
      </w:r>
      <w:r w:rsidRPr="00E30E2D">
        <w:rPr>
          <w:rFonts w:ascii="Times New Roman" w:hAnsi="Times New Roman" w:cs="Times New Roman"/>
          <w:b/>
          <w:bCs/>
          <w:i w:val="0"/>
          <w:iCs w:val="0"/>
          <w:color w:val="auto"/>
          <w:sz w:val="28"/>
          <w:szCs w:val="28"/>
        </w:rPr>
        <w:t xml:space="preserve">. </w:t>
      </w:r>
      <w:r w:rsidRPr="00E30E2D">
        <w:rPr>
          <w:rFonts w:ascii="Times New Roman" w:eastAsia="Times New Roman" w:hAnsi="Times New Roman" w:cs="Times New Roman"/>
          <w:b/>
          <w:bCs/>
          <w:i w:val="0"/>
          <w:iCs w:val="0"/>
          <w:color w:val="auto"/>
          <w:sz w:val="28"/>
          <w:szCs w:val="28"/>
        </w:rPr>
        <w:t>Bank Misconduct: Trend of Fines by Type</w:t>
      </w:r>
      <w:bookmarkEnd w:id="159"/>
      <w:bookmarkEnd w:id="160"/>
    </w:p>
    <w:tbl>
      <w:tblPr>
        <w:tblW w:w="9243" w:type="dxa"/>
        <w:tblLook w:val="04A0" w:firstRow="1" w:lastRow="0" w:firstColumn="1" w:lastColumn="0" w:noHBand="0" w:noVBand="1"/>
      </w:tblPr>
      <w:tblGrid>
        <w:gridCol w:w="718"/>
        <w:gridCol w:w="1695"/>
        <w:gridCol w:w="1753"/>
        <w:gridCol w:w="1286"/>
        <w:gridCol w:w="1535"/>
        <w:gridCol w:w="1184"/>
        <w:gridCol w:w="1072"/>
      </w:tblGrid>
      <w:tr w:rsidR="00A9015F" w:rsidRPr="001278ED" w14:paraId="766E4196" w14:textId="77777777" w:rsidTr="009E69CE">
        <w:trPr>
          <w:trHeight w:val="282"/>
        </w:trPr>
        <w:tc>
          <w:tcPr>
            <w:tcW w:w="718" w:type="dxa"/>
            <w:tcBorders>
              <w:top w:val="single" w:sz="4" w:space="0" w:color="auto"/>
              <w:left w:val="single" w:sz="4" w:space="0" w:color="auto"/>
              <w:bottom w:val="single" w:sz="4" w:space="0" w:color="auto"/>
            </w:tcBorders>
            <w:noWrap/>
            <w:vAlign w:val="bottom"/>
            <w:hideMark/>
          </w:tcPr>
          <w:p w14:paraId="4CBE5F82" w14:textId="77777777" w:rsidR="00A9015F" w:rsidRPr="001278ED" w:rsidRDefault="00A9015F" w:rsidP="00A9015F">
            <w:pPr>
              <w:rPr>
                <w:rFonts w:ascii="Times New Roman" w:eastAsia="Times New Roman" w:hAnsi="Times New Roman" w:cs="Times New Roman"/>
                <w:sz w:val="20"/>
                <w:szCs w:val="20"/>
              </w:rPr>
            </w:pPr>
          </w:p>
        </w:tc>
        <w:tc>
          <w:tcPr>
            <w:tcW w:w="1695" w:type="dxa"/>
            <w:tcBorders>
              <w:top w:val="single" w:sz="4" w:space="0" w:color="auto"/>
              <w:bottom w:val="single" w:sz="4" w:space="0" w:color="auto"/>
            </w:tcBorders>
            <w:noWrap/>
            <w:vAlign w:val="bottom"/>
            <w:hideMark/>
          </w:tcPr>
          <w:p w14:paraId="3E62CB7A" w14:textId="77777777" w:rsidR="00A9015F" w:rsidRPr="001278ED" w:rsidRDefault="00A9015F" w:rsidP="00A9015F">
            <w:pPr>
              <w:rPr>
                <w:rFonts w:ascii="Times New Roman" w:eastAsia="Times New Roman" w:hAnsi="Times New Roman" w:cs="Times New Roman"/>
                <w:sz w:val="20"/>
                <w:szCs w:val="20"/>
              </w:rPr>
            </w:pPr>
          </w:p>
        </w:tc>
        <w:tc>
          <w:tcPr>
            <w:tcW w:w="6830" w:type="dxa"/>
            <w:gridSpan w:val="5"/>
            <w:tcBorders>
              <w:top w:val="single" w:sz="4" w:space="0" w:color="auto"/>
              <w:bottom w:val="single" w:sz="4" w:space="0" w:color="auto"/>
              <w:right w:val="single" w:sz="4" w:space="0" w:color="auto"/>
            </w:tcBorders>
            <w:noWrap/>
            <w:vAlign w:val="bottom"/>
            <w:hideMark/>
          </w:tcPr>
          <w:p w14:paraId="6F24EB92" w14:textId="77777777" w:rsidR="00A9015F" w:rsidRPr="001278ED" w:rsidRDefault="00A9015F" w:rsidP="00A9015F">
            <w:pPr>
              <w:jc w:val="cente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Violation</w:t>
            </w:r>
          </w:p>
        </w:tc>
      </w:tr>
      <w:tr w:rsidR="00A9015F" w:rsidRPr="001278ED" w14:paraId="0C3C1382" w14:textId="77777777" w:rsidTr="009E69CE">
        <w:trPr>
          <w:trHeight w:val="282"/>
        </w:trPr>
        <w:tc>
          <w:tcPr>
            <w:tcW w:w="718" w:type="dxa"/>
            <w:tcBorders>
              <w:top w:val="single" w:sz="4" w:space="0" w:color="auto"/>
              <w:left w:val="single" w:sz="4" w:space="0" w:color="auto"/>
              <w:bottom w:val="single" w:sz="4" w:space="0" w:color="auto"/>
            </w:tcBorders>
            <w:noWrap/>
            <w:vAlign w:val="bottom"/>
            <w:hideMark/>
          </w:tcPr>
          <w:p w14:paraId="7ED719F0"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Year</w:t>
            </w:r>
          </w:p>
        </w:tc>
        <w:tc>
          <w:tcPr>
            <w:tcW w:w="1695" w:type="dxa"/>
            <w:tcBorders>
              <w:top w:val="single" w:sz="4" w:space="0" w:color="auto"/>
              <w:bottom w:val="single" w:sz="4" w:space="0" w:color="auto"/>
            </w:tcBorders>
            <w:noWrap/>
            <w:vAlign w:val="bottom"/>
            <w:hideMark/>
          </w:tcPr>
          <w:p w14:paraId="1D0B1589"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Total Fine($m)</w:t>
            </w:r>
          </w:p>
        </w:tc>
        <w:tc>
          <w:tcPr>
            <w:tcW w:w="1753" w:type="dxa"/>
            <w:tcBorders>
              <w:top w:val="single" w:sz="4" w:space="0" w:color="auto"/>
              <w:bottom w:val="single" w:sz="4" w:space="0" w:color="auto"/>
            </w:tcBorders>
            <w:noWrap/>
            <w:vAlign w:val="bottom"/>
            <w:hideMark/>
          </w:tcPr>
          <w:p w14:paraId="4D45DA4C"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 xml:space="preserve">No of Banks </w:t>
            </w:r>
          </w:p>
        </w:tc>
        <w:tc>
          <w:tcPr>
            <w:tcW w:w="1286" w:type="dxa"/>
            <w:tcBorders>
              <w:top w:val="single" w:sz="4" w:space="0" w:color="auto"/>
              <w:bottom w:val="single" w:sz="4" w:space="0" w:color="auto"/>
            </w:tcBorders>
            <w:noWrap/>
            <w:vAlign w:val="bottom"/>
            <w:hideMark/>
          </w:tcPr>
          <w:p w14:paraId="0BD471ED"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Banking</w:t>
            </w:r>
          </w:p>
        </w:tc>
        <w:tc>
          <w:tcPr>
            <w:tcW w:w="1535" w:type="dxa"/>
            <w:tcBorders>
              <w:top w:val="single" w:sz="4" w:space="0" w:color="auto"/>
              <w:bottom w:val="single" w:sz="4" w:space="0" w:color="auto"/>
            </w:tcBorders>
            <w:noWrap/>
            <w:vAlign w:val="bottom"/>
            <w:hideMark/>
          </w:tcPr>
          <w:p w14:paraId="70233C2E"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Economic</w:t>
            </w:r>
          </w:p>
        </w:tc>
        <w:tc>
          <w:tcPr>
            <w:tcW w:w="1184" w:type="dxa"/>
            <w:tcBorders>
              <w:top w:val="single" w:sz="4" w:space="0" w:color="auto"/>
              <w:bottom w:val="single" w:sz="4" w:space="0" w:color="auto"/>
            </w:tcBorders>
            <w:noWrap/>
            <w:vAlign w:val="bottom"/>
            <w:hideMark/>
          </w:tcPr>
          <w:p w14:paraId="12C89B90"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Market</w:t>
            </w:r>
          </w:p>
        </w:tc>
        <w:tc>
          <w:tcPr>
            <w:tcW w:w="1072" w:type="dxa"/>
            <w:tcBorders>
              <w:top w:val="single" w:sz="4" w:space="0" w:color="auto"/>
              <w:bottom w:val="single" w:sz="4" w:space="0" w:color="auto"/>
              <w:right w:val="single" w:sz="4" w:space="0" w:color="auto"/>
            </w:tcBorders>
            <w:noWrap/>
            <w:vAlign w:val="bottom"/>
            <w:hideMark/>
          </w:tcPr>
          <w:p w14:paraId="350497B0"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Admin</w:t>
            </w:r>
          </w:p>
        </w:tc>
      </w:tr>
      <w:tr w:rsidR="00A9015F" w:rsidRPr="001278ED" w14:paraId="73A5E4E7" w14:textId="77777777" w:rsidTr="009E69CE">
        <w:trPr>
          <w:trHeight w:val="282"/>
        </w:trPr>
        <w:tc>
          <w:tcPr>
            <w:tcW w:w="718" w:type="dxa"/>
            <w:tcBorders>
              <w:top w:val="single" w:sz="4" w:space="0" w:color="auto"/>
              <w:left w:val="single" w:sz="4" w:space="0" w:color="auto"/>
            </w:tcBorders>
            <w:noWrap/>
            <w:vAlign w:val="bottom"/>
            <w:hideMark/>
          </w:tcPr>
          <w:p w14:paraId="77C50A29" w14:textId="77777777" w:rsidR="00A9015F" w:rsidRPr="001278ED" w:rsidRDefault="00A9015F" w:rsidP="00A9015F">
            <w:pPr>
              <w:rPr>
                <w:rFonts w:ascii="Times New Roman" w:eastAsia="Times New Roman" w:hAnsi="Times New Roman" w:cs="Times New Roman"/>
                <w:sz w:val="20"/>
                <w:szCs w:val="20"/>
              </w:rPr>
            </w:pPr>
          </w:p>
        </w:tc>
        <w:tc>
          <w:tcPr>
            <w:tcW w:w="1695" w:type="dxa"/>
            <w:tcBorders>
              <w:top w:val="single" w:sz="4" w:space="0" w:color="auto"/>
            </w:tcBorders>
            <w:noWrap/>
            <w:vAlign w:val="bottom"/>
            <w:hideMark/>
          </w:tcPr>
          <w:p w14:paraId="5D23BFFA" w14:textId="77777777" w:rsidR="00A9015F" w:rsidRPr="001278ED" w:rsidRDefault="00A9015F" w:rsidP="00A9015F">
            <w:pPr>
              <w:rPr>
                <w:rFonts w:ascii="Times New Roman" w:eastAsia="Times New Roman" w:hAnsi="Times New Roman" w:cs="Times New Roman"/>
                <w:sz w:val="20"/>
                <w:szCs w:val="20"/>
              </w:rPr>
            </w:pPr>
          </w:p>
        </w:tc>
        <w:tc>
          <w:tcPr>
            <w:tcW w:w="1753" w:type="dxa"/>
            <w:tcBorders>
              <w:top w:val="single" w:sz="4" w:space="0" w:color="auto"/>
            </w:tcBorders>
            <w:noWrap/>
            <w:vAlign w:val="bottom"/>
            <w:hideMark/>
          </w:tcPr>
          <w:p w14:paraId="3F88C80A" w14:textId="77777777" w:rsidR="00A9015F" w:rsidRPr="001278ED" w:rsidRDefault="00A9015F" w:rsidP="00A9015F">
            <w:pPr>
              <w:rPr>
                <w:rFonts w:ascii="Times New Roman" w:eastAsia="Times New Roman" w:hAnsi="Times New Roman" w:cs="Times New Roman"/>
                <w:sz w:val="20"/>
                <w:szCs w:val="20"/>
              </w:rPr>
            </w:pPr>
          </w:p>
        </w:tc>
        <w:tc>
          <w:tcPr>
            <w:tcW w:w="1286" w:type="dxa"/>
            <w:tcBorders>
              <w:top w:val="single" w:sz="4" w:space="0" w:color="auto"/>
            </w:tcBorders>
            <w:noWrap/>
            <w:vAlign w:val="bottom"/>
            <w:hideMark/>
          </w:tcPr>
          <w:p w14:paraId="7D6F08E3" w14:textId="77777777" w:rsidR="00A9015F" w:rsidRPr="001278ED" w:rsidRDefault="00A9015F" w:rsidP="00A9015F">
            <w:pPr>
              <w:rPr>
                <w:rFonts w:ascii="Times New Roman" w:eastAsia="Times New Roman" w:hAnsi="Times New Roman" w:cs="Times New Roman"/>
                <w:sz w:val="20"/>
                <w:szCs w:val="20"/>
              </w:rPr>
            </w:pPr>
          </w:p>
        </w:tc>
        <w:tc>
          <w:tcPr>
            <w:tcW w:w="1535" w:type="dxa"/>
            <w:tcBorders>
              <w:top w:val="single" w:sz="4" w:space="0" w:color="auto"/>
            </w:tcBorders>
            <w:noWrap/>
            <w:vAlign w:val="bottom"/>
            <w:hideMark/>
          </w:tcPr>
          <w:p w14:paraId="27B4E3D4" w14:textId="77777777" w:rsidR="00A9015F" w:rsidRPr="001278ED" w:rsidRDefault="00A9015F" w:rsidP="00A9015F">
            <w:pPr>
              <w:rPr>
                <w:rFonts w:ascii="Times New Roman" w:eastAsia="Times New Roman" w:hAnsi="Times New Roman" w:cs="Times New Roman"/>
                <w:sz w:val="20"/>
                <w:szCs w:val="20"/>
              </w:rPr>
            </w:pPr>
          </w:p>
        </w:tc>
        <w:tc>
          <w:tcPr>
            <w:tcW w:w="1184" w:type="dxa"/>
            <w:tcBorders>
              <w:top w:val="single" w:sz="4" w:space="0" w:color="auto"/>
            </w:tcBorders>
            <w:noWrap/>
            <w:vAlign w:val="bottom"/>
            <w:hideMark/>
          </w:tcPr>
          <w:p w14:paraId="6194FD20" w14:textId="77777777" w:rsidR="00A9015F" w:rsidRPr="001278ED" w:rsidRDefault="00A9015F" w:rsidP="00A9015F">
            <w:pPr>
              <w:rPr>
                <w:rFonts w:ascii="Times New Roman" w:eastAsia="Times New Roman" w:hAnsi="Times New Roman" w:cs="Times New Roman"/>
                <w:sz w:val="20"/>
                <w:szCs w:val="20"/>
              </w:rPr>
            </w:pPr>
          </w:p>
        </w:tc>
        <w:tc>
          <w:tcPr>
            <w:tcW w:w="1072" w:type="dxa"/>
            <w:tcBorders>
              <w:top w:val="single" w:sz="4" w:space="0" w:color="auto"/>
              <w:right w:val="single" w:sz="4" w:space="0" w:color="auto"/>
            </w:tcBorders>
            <w:noWrap/>
            <w:vAlign w:val="bottom"/>
            <w:hideMark/>
          </w:tcPr>
          <w:p w14:paraId="2BBFAEE9" w14:textId="77777777" w:rsidR="00A9015F" w:rsidRPr="001278ED" w:rsidRDefault="00A9015F" w:rsidP="00A9015F">
            <w:pPr>
              <w:rPr>
                <w:rFonts w:ascii="Times New Roman" w:eastAsia="Times New Roman" w:hAnsi="Times New Roman" w:cs="Times New Roman"/>
                <w:sz w:val="20"/>
                <w:szCs w:val="20"/>
              </w:rPr>
            </w:pPr>
          </w:p>
        </w:tc>
      </w:tr>
      <w:tr w:rsidR="00A9015F" w:rsidRPr="001278ED" w14:paraId="68CA95AE" w14:textId="77777777" w:rsidTr="009E69CE">
        <w:trPr>
          <w:trHeight w:val="282"/>
        </w:trPr>
        <w:tc>
          <w:tcPr>
            <w:tcW w:w="718" w:type="dxa"/>
            <w:tcBorders>
              <w:left w:val="single" w:sz="4" w:space="0" w:color="auto"/>
            </w:tcBorders>
            <w:noWrap/>
            <w:vAlign w:val="bottom"/>
            <w:hideMark/>
          </w:tcPr>
          <w:p w14:paraId="3E4B5DF7"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2004</w:t>
            </w:r>
          </w:p>
        </w:tc>
        <w:tc>
          <w:tcPr>
            <w:tcW w:w="1695" w:type="dxa"/>
            <w:noWrap/>
            <w:vAlign w:val="bottom"/>
            <w:hideMark/>
          </w:tcPr>
          <w:p w14:paraId="6C60A3DF" w14:textId="5A7CEE5E"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1362.4391</w:t>
            </w:r>
          </w:p>
        </w:tc>
        <w:tc>
          <w:tcPr>
            <w:tcW w:w="1753" w:type="dxa"/>
            <w:noWrap/>
            <w:vAlign w:val="bottom"/>
            <w:hideMark/>
          </w:tcPr>
          <w:p w14:paraId="527B855E"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16</w:t>
            </w:r>
          </w:p>
        </w:tc>
        <w:tc>
          <w:tcPr>
            <w:tcW w:w="1286" w:type="dxa"/>
            <w:noWrap/>
            <w:vAlign w:val="bottom"/>
          </w:tcPr>
          <w:p w14:paraId="67B83B97"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c>
          <w:tcPr>
            <w:tcW w:w="1535" w:type="dxa"/>
            <w:noWrap/>
            <w:vAlign w:val="bottom"/>
          </w:tcPr>
          <w:p w14:paraId="21D304E5"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184" w:type="dxa"/>
            <w:noWrap/>
            <w:vAlign w:val="bottom"/>
          </w:tcPr>
          <w:p w14:paraId="376F946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c>
          <w:tcPr>
            <w:tcW w:w="1072" w:type="dxa"/>
            <w:tcBorders>
              <w:right w:val="single" w:sz="4" w:space="0" w:color="auto"/>
            </w:tcBorders>
            <w:noWrap/>
            <w:vAlign w:val="bottom"/>
          </w:tcPr>
          <w:p w14:paraId="4E9C99F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r>
      <w:tr w:rsidR="00A9015F" w:rsidRPr="001278ED" w14:paraId="755DE36D" w14:textId="77777777" w:rsidTr="009E69CE">
        <w:trPr>
          <w:trHeight w:val="282"/>
        </w:trPr>
        <w:tc>
          <w:tcPr>
            <w:tcW w:w="718" w:type="dxa"/>
            <w:tcBorders>
              <w:left w:val="single" w:sz="4" w:space="0" w:color="auto"/>
            </w:tcBorders>
            <w:noWrap/>
            <w:vAlign w:val="bottom"/>
            <w:hideMark/>
          </w:tcPr>
          <w:p w14:paraId="3EDD19F7"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2005</w:t>
            </w:r>
          </w:p>
        </w:tc>
        <w:tc>
          <w:tcPr>
            <w:tcW w:w="1695" w:type="dxa"/>
            <w:noWrap/>
            <w:vAlign w:val="bottom"/>
            <w:hideMark/>
          </w:tcPr>
          <w:p w14:paraId="4339E5D5" w14:textId="75AD70F8"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744.008</w:t>
            </w:r>
            <w:r w:rsidR="00071AF6" w:rsidRPr="001278ED">
              <w:rPr>
                <w:rFonts w:ascii="Times New Roman" w:eastAsia="Times New Roman" w:hAnsi="Times New Roman" w:cs="Times New Roman"/>
                <w:sz w:val="20"/>
                <w:szCs w:val="20"/>
              </w:rPr>
              <w:t>8</w:t>
            </w:r>
          </w:p>
        </w:tc>
        <w:tc>
          <w:tcPr>
            <w:tcW w:w="1753" w:type="dxa"/>
            <w:noWrap/>
            <w:vAlign w:val="bottom"/>
            <w:hideMark/>
          </w:tcPr>
          <w:p w14:paraId="1F32F2B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14</w:t>
            </w:r>
          </w:p>
        </w:tc>
        <w:tc>
          <w:tcPr>
            <w:tcW w:w="1286" w:type="dxa"/>
            <w:noWrap/>
            <w:vAlign w:val="bottom"/>
          </w:tcPr>
          <w:p w14:paraId="00957A19"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w:t>
            </w:r>
          </w:p>
        </w:tc>
        <w:tc>
          <w:tcPr>
            <w:tcW w:w="1535" w:type="dxa"/>
            <w:noWrap/>
            <w:vAlign w:val="bottom"/>
          </w:tcPr>
          <w:p w14:paraId="0179C5F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184" w:type="dxa"/>
            <w:noWrap/>
            <w:vAlign w:val="bottom"/>
          </w:tcPr>
          <w:p w14:paraId="37AD112A"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w:t>
            </w:r>
          </w:p>
        </w:tc>
        <w:tc>
          <w:tcPr>
            <w:tcW w:w="1072" w:type="dxa"/>
            <w:tcBorders>
              <w:right w:val="single" w:sz="4" w:space="0" w:color="auto"/>
            </w:tcBorders>
            <w:noWrap/>
            <w:vAlign w:val="bottom"/>
          </w:tcPr>
          <w:p w14:paraId="05785B9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3D686C4B" w14:textId="77777777" w:rsidTr="009E69CE">
        <w:trPr>
          <w:trHeight w:val="282"/>
        </w:trPr>
        <w:tc>
          <w:tcPr>
            <w:tcW w:w="718" w:type="dxa"/>
            <w:tcBorders>
              <w:left w:val="single" w:sz="4" w:space="0" w:color="auto"/>
            </w:tcBorders>
            <w:noWrap/>
            <w:vAlign w:val="bottom"/>
            <w:hideMark/>
          </w:tcPr>
          <w:p w14:paraId="2DEAC25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2006</w:t>
            </w:r>
          </w:p>
        </w:tc>
        <w:tc>
          <w:tcPr>
            <w:tcW w:w="1695" w:type="dxa"/>
            <w:noWrap/>
            <w:vAlign w:val="bottom"/>
            <w:hideMark/>
          </w:tcPr>
          <w:p w14:paraId="222D3854" w14:textId="6BFDAEE0"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803.8760</w:t>
            </w:r>
          </w:p>
        </w:tc>
        <w:tc>
          <w:tcPr>
            <w:tcW w:w="1753" w:type="dxa"/>
            <w:noWrap/>
            <w:vAlign w:val="bottom"/>
            <w:hideMark/>
          </w:tcPr>
          <w:p w14:paraId="3BD6AA0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14</w:t>
            </w:r>
          </w:p>
        </w:tc>
        <w:tc>
          <w:tcPr>
            <w:tcW w:w="1286" w:type="dxa"/>
            <w:noWrap/>
            <w:vAlign w:val="bottom"/>
          </w:tcPr>
          <w:p w14:paraId="3544F11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535" w:type="dxa"/>
            <w:noWrap/>
            <w:vAlign w:val="bottom"/>
          </w:tcPr>
          <w:p w14:paraId="30E2859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7D2C5B4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072" w:type="dxa"/>
            <w:tcBorders>
              <w:right w:val="single" w:sz="4" w:space="0" w:color="auto"/>
            </w:tcBorders>
            <w:noWrap/>
            <w:vAlign w:val="bottom"/>
          </w:tcPr>
          <w:p w14:paraId="29B5C58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0DF8106A" w14:textId="77777777" w:rsidTr="009E69CE">
        <w:trPr>
          <w:trHeight w:val="282"/>
        </w:trPr>
        <w:tc>
          <w:tcPr>
            <w:tcW w:w="718" w:type="dxa"/>
            <w:tcBorders>
              <w:left w:val="single" w:sz="4" w:space="0" w:color="auto"/>
            </w:tcBorders>
            <w:noWrap/>
            <w:vAlign w:val="bottom"/>
            <w:hideMark/>
          </w:tcPr>
          <w:p w14:paraId="6A0F4A5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2007</w:t>
            </w:r>
          </w:p>
        </w:tc>
        <w:tc>
          <w:tcPr>
            <w:tcW w:w="1695" w:type="dxa"/>
            <w:noWrap/>
            <w:vAlign w:val="bottom"/>
            <w:hideMark/>
          </w:tcPr>
          <w:p w14:paraId="67A2F3CB" w14:textId="4521252C"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179.8829</w:t>
            </w:r>
          </w:p>
        </w:tc>
        <w:tc>
          <w:tcPr>
            <w:tcW w:w="1753" w:type="dxa"/>
            <w:noWrap/>
            <w:vAlign w:val="bottom"/>
            <w:hideMark/>
          </w:tcPr>
          <w:p w14:paraId="716FA1F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15</w:t>
            </w:r>
          </w:p>
        </w:tc>
        <w:tc>
          <w:tcPr>
            <w:tcW w:w="1286" w:type="dxa"/>
            <w:noWrap/>
            <w:vAlign w:val="bottom"/>
          </w:tcPr>
          <w:p w14:paraId="62A4634E"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57828F8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w:t>
            </w:r>
          </w:p>
        </w:tc>
        <w:tc>
          <w:tcPr>
            <w:tcW w:w="1184" w:type="dxa"/>
            <w:noWrap/>
            <w:vAlign w:val="bottom"/>
          </w:tcPr>
          <w:p w14:paraId="46CA543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c>
          <w:tcPr>
            <w:tcW w:w="1072" w:type="dxa"/>
            <w:tcBorders>
              <w:right w:val="single" w:sz="4" w:space="0" w:color="auto"/>
            </w:tcBorders>
            <w:noWrap/>
            <w:vAlign w:val="bottom"/>
          </w:tcPr>
          <w:p w14:paraId="5B0C9D36"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r>
      <w:tr w:rsidR="00A9015F" w:rsidRPr="001278ED" w14:paraId="0872BA3B" w14:textId="77777777" w:rsidTr="009E69CE">
        <w:trPr>
          <w:trHeight w:val="282"/>
        </w:trPr>
        <w:tc>
          <w:tcPr>
            <w:tcW w:w="718" w:type="dxa"/>
            <w:tcBorders>
              <w:left w:val="single" w:sz="4" w:space="0" w:color="auto"/>
            </w:tcBorders>
            <w:noWrap/>
            <w:vAlign w:val="bottom"/>
            <w:hideMark/>
          </w:tcPr>
          <w:p w14:paraId="009A664A"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2008</w:t>
            </w:r>
          </w:p>
        </w:tc>
        <w:tc>
          <w:tcPr>
            <w:tcW w:w="1695" w:type="dxa"/>
            <w:noWrap/>
            <w:vAlign w:val="bottom"/>
            <w:hideMark/>
          </w:tcPr>
          <w:p w14:paraId="3E52C5B4" w14:textId="239BE36D"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28237.5045</w:t>
            </w:r>
          </w:p>
        </w:tc>
        <w:tc>
          <w:tcPr>
            <w:tcW w:w="1753" w:type="dxa"/>
            <w:noWrap/>
            <w:vAlign w:val="bottom"/>
            <w:hideMark/>
          </w:tcPr>
          <w:p w14:paraId="0877534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16</w:t>
            </w:r>
          </w:p>
        </w:tc>
        <w:tc>
          <w:tcPr>
            <w:tcW w:w="1286" w:type="dxa"/>
            <w:noWrap/>
            <w:vAlign w:val="bottom"/>
          </w:tcPr>
          <w:p w14:paraId="64C365C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535" w:type="dxa"/>
            <w:noWrap/>
            <w:vAlign w:val="bottom"/>
          </w:tcPr>
          <w:p w14:paraId="37251F1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w:t>
            </w:r>
          </w:p>
        </w:tc>
        <w:tc>
          <w:tcPr>
            <w:tcW w:w="1184" w:type="dxa"/>
            <w:noWrap/>
            <w:vAlign w:val="bottom"/>
          </w:tcPr>
          <w:p w14:paraId="2627C43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072" w:type="dxa"/>
            <w:tcBorders>
              <w:right w:val="single" w:sz="4" w:space="0" w:color="auto"/>
            </w:tcBorders>
            <w:noWrap/>
            <w:vAlign w:val="bottom"/>
          </w:tcPr>
          <w:p w14:paraId="5E9EAD7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r>
      <w:tr w:rsidR="00A9015F" w:rsidRPr="001278ED" w14:paraId="5F3E51AC" w14:textId="77777777" w:rsidTr="009E69CE">
        <w:trPr>
          <w:trHeight w:val="282"/>
        </w:trPr>
        <w:tc>
          <w:tcPr>
            <w:tcW w:w="718" w:type="dxa"/>
            <w:tcBorders>
              <w:left w:val="single" w:sz="4" w:space="0" w:color="auto"/>
            </w:tcBorders>
            <w:noWrap/>
            <w:vAlign w:val="bottom"/>
            <w:hideMark/>
          </w:tcPr>
          <w:p w14:paraId="345F1BC9"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2009</w:t>
            </w:r>
          </w:p>
        </w:tc>
        <w:tc>
          <w:tcPr>
            <w:tcW w:w="1695" w:type="dxa"/>
            <w:noWrap/>
            <w:vAlign w:val="bottom"/>
            <w:hideMark/>
          </w:tcPr>
          <w:p w14:paraId="3FB9CA42" w14:textId="2E4FBAAB"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2476.1242</w:t>
            </w:r>
          </w:p>
        </w:tc>
        <w:tc>
          <w:tcPr>
            <w:tcW w:w="1753" w:type="dxa"/>
            <w:noWrap/>
            <w:vAlign w:val="bottom"/>
            <w:hideMark/>
          </w:tcPr>
          <w:p w14:paraId="5591107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16</w:t>
            </w:r>
          </w:p>
        </w:tc>
        <w:tc>
          <w:tcPr>
            <w:tcW w:w="1286" w:type="dxa"/>
            <w:noWrap/>
            <w:vAlign w:val="bottom"/>
          </w:tcPr>
          <w:p w14:paraId="3931211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7</w:t>
            </w:r>
          </w:p>
        </w:tc>
        <w:tc>
          <w:tcPr>
            <w:tcW w:w="1535" w:type="dxa"/>
            <w:noWrap/>
            <w:vAlign w:val="bottom"/>
          </w:tcPr>
          <w:p w14:paraId="2CD0096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4404E91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w:t>
            </w:r>
          </w:p>
        </w:tc>
        <w:tc>
          <w:tcPr>
            <w:tcW w:w="1072" w:type="dxa"/>
            <w:tcBorders>
              <w:right w:val="single" w:sz="4" w:space="0" w:color="auto"/>
            </w:tcBorders>
            <w:noWrap/>
            <w:vAlign w:val="bottom"/>
          </w:tcPr>
          <w:p w14:paraId="0B6FE8B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7</w:t>
            </w:r>
          </w:p>
        </w:tc>
      </w:tr>
      <w:tr w:rsidR="00A9015F" w:rsidRPr="001278ED" w14:paraId="7F181AA4" w14:textId="77777777" w:rsidTr="009E69CE">
        <w:trPr>
          <w:trHeight w:val="282"/>
        </w:trPr>
        <w:tc>
          <w:tcPr>
            <w:tcW w:w="718" w:type="dxa"/>
            <w:tcBorders>
              <w:left w:val="single" w:sz="4" w:space="0" w:color="auto"/>
            </w:tcBorders>
            <w:noWrap/>
            <w:vAlign w:val="bottom"/>
            <w:hideMark/>
          </w:tcPr>
          <w:p w14:paraId="74D013F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2010</w:t>
            </w:r>
          </w:p>
        </w:tc>
        <w:tc>
          <w:tcPr>
            <w:tcW w:w="1695" w:type="dxa"/>
            <w:noWrap/>
            <w:vAlign w:val="bottom"/>
            <w:hideMark/>
          </w:tcPr>
          <w:p w14:paraId="6D9BCF50" w14:textId="2BC21CEA"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5042.6748</w:t>
            </w:r>
          </w:p>
        </w:tc>
        <w:tc>
          <w:tcPr>
            <w:tcW w:w="1753" w:type="dxa"/>
            <w:noWrap/>
            <w:vAlign w:val="bottom"/>
            <w:hideMark/>
          </w:tcPr>
          <w:p w14:paraId="0D6D1A6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16</w:t>
            </w:r>
          </w:p>
        </w:tc>
        <w:tc>
          <w:tcPr>
            <w:tcW w:w="1286" w:type="dxa"/>
            <w:noWrap/>
            <w:vAlign w:val="bottom"/>
          </w:tcPr>
          <w:p w14:paraId="2D9A1837"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535" w:type="dxa"/>
            <w:noWrap/>
            <w:vAlign w:val="bottom"/>
          </w:tcPr>
          <w:p w14:paraId="0B9FBE1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w:t>
            </w:r>
          </w:p>
        </w:tc>
        <w:tc>
          <w:tcPr>
            <w:tcW w:w="1184" w:type="dxa"/>
            <w:noWrap/>
            <w:vAlign w:val="bottom"/>
          </w:tcPr>
          <w:p w14:paraId="0A4B3B9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072" w:type="dxa"/>
            <w:tcBorders>
              <w:right w:val="single" w:sz="4" w:space="0" w:color="auto"/>
            </w:tcBorders>
            <w:noWrap/>
            <w:vAlign w:val="bottom"/>
          </w:tcPr>
          <w:p w14:paraId="033ABAA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54DEFA15" w14:textId="77777777" w:rsidTr="009E69CE">
        <w:trPr>
          <w:trHeight w:val="282"/>
        </w:trPr>
        <w:tc>
          <w:tcPr>
            <w:tcW w:w="718" w:type="dxa"/>
            <w:tcBorders>
              <w:left w:val="single" w:sz="4" w:space="0" w:color="auto"/>
            </w:tcBorders>
            <w:noWrap/>
            <w:vAlign w:val="bottom"/>
            <w:hideMark/>
          </w:tcPr>
          <w:p w14:paraId="5AC314B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2011</w:t>
            </w:r>
          </w:p>
        </w:tc>
        <w:tc>
          <w:tcPr>
            <w:tcW w:w="1695" w:type="dxa"/>
            <w:noWrap/>
            <w:vAlign w:val="bottom"/>
            <w:hideMark/>
          </w:tcPr>
          <w:p w14:paraId="08FDB8AD" w14:textId="229CA01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4635.4311</w:t>
            </w:r>
          </w:p>
        </w:tc>
        <w:tc>
          <w:tcPr>
            <w:tcW w:w="1753" w:type="dxa"/>
            <w:noWrap/>
            <w:vAlign w:val="bottom"/>
            <w:hideMark/>
          </w:tcPr>
          <w:p w14:paraId="08A2675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18</w:t>
            </w:r>
          </w:p>
        </w:tc>
        <w:tc>
          <w:tcPr>
            <w:tcW w:w="1286" w:type="dxa"/>
            <w:noWrap/>
            <w:vAlign w:val="bottom"/>
          </w:tcPr>
          <w:p w14:paraId="5962572E"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2CB767D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w:t>
            </w:r>
          </w:p>
        </w:tc>
        <w:tc>
          <w:tcPr>
            <w:tcW w:w="1184" w:type="dxa"/>
            <w:noWrap/>
            <w:vAlign w:val="bottom"/>
          </w:tcPr>
          <w:p w14:paraId="13184F3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c>
          <w:tcPr>
            <w:tcW w:w="1072" w:type="dxa"/>
            <w:tcBorders>
              <w:right w:val="single" w:sz="4" w:space="0" w:color="auto"/>
            </w:tcBorders>
            <w:noWrap/>
            <w:vAlign w:val="bottom"/>
          </w:tcPr>
          <w:p w14:paraId="26A2F6B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33EDAB1C" w14:textId="77777777" w:rsidTr="009E69CE">
        <w:trPr>
          <w:trHeight w:val="282"/>
        </w:trPr>
        <w:tc>
          <w:tcPr>
            <w:tcW w:w="718" w:type="dxa"/>
            <w:tcBorders>
              <w:left w:val="single" w:sz="4" w:space="0" w:color="auto"/>
            </w:tcBorders>
            <w:noWrap/>
            <w:vAlign w:val="bottom"/>
            <w:hideMark/>
          </w:tcPr>
          <w:p w14:paraId="092CD54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2012</w:t>
            </w:r>
          </w:p>
        </w:tc>
        <w:tc>
          <w:tcPr>
            <w:tcW w:w="1695" w:type="dxa"/>
            <w:noWrap/>
            <w:vAlign w:val="bottom"/>
            <w:hideMark/>
          </w:tcPr>
          <w:p w14:paraId="17FF53AC" w14:textId="6DB64D19"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33600.0558</w:t>
            </w:r>
          </w:p>
        </w:tc>
        <w:tc>
          <w:tcPr>
            <w:tcW w:w="1753" w:type="dxa"/>
            <w:noWrap/>
            <w:vAlign w:val="bottom"/>
            <w:hideMark/>
          </w:tcPr>
          <w:p w14:paraId="3939B48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14</w:t>
            </w:r>
          </w:p>
        </w:tc>
        <w:tc>
          <w:tcPr>
            <w:tcW w:w="1286" w:type="dxa"/>
            <w:noWrap/>
            <w:vAlign w:val="bottom"/>
          </w:tcPr>
          <w:p w14:paraId="75CF0D48"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233D817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099D557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072" w:type="dxa"/>
            <w:tcBorders>
              <w:right w:val="single" w:sz="4" w:space="0" w:color="auto"/>
            </w:tcBorders>
            <w:noWrap/>
            <w:vAlign w:val="bottom"/>
          </w:tcPr>
          <w:p w14:paraId="73E50495"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r>
      <w:tr w:rsidR="00A9015F" w:rsidRPr="001278ED" w14:paraId="55B411A6" w14:textId="77777777" w:rsidTr="009E69CE">
        <w:trPr>
          <w:trHeight w:val="282"/>
        </w:trPr>
        <w:tc>
          <w:tcPr>
            <w:tcW w:w="718" w:type="dxa"/>
            <w:tcBorders>
              <w:left w:val="single" w:sz="4" w:space="0" w:color="auto"/>
            </w:tcBorders>
            <w:noWrap/>
            <w:vAlign w:val="bottom"/>
            <w:hideMark/>
          </w:tcPr>
          <w:p w14:paraId="3FCA291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2013</w:t>
            </w:r>
          </w:p>
        </w:tc>
        <w:tc>
          <w:tcPr>
            <w:tcW w:w="1695" w:type="dxa"/>
            <w:noWrap/>
            <w:vAlign w:val="bottom"/>
            <w:hideMark/>
          </w:tcPr>
          <w:p w14:paraId="49962720" w14:textId="05B8A183"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41190.3649</w:t>
            </w:r>
          </w:p>
        </w:tc>
        <w:tc>
          <w:tcPr>
            <w:tcW w:w="1753" w:type="dxa"/>
            <w:noWrap/>
            <w:vAlign w:val="bottom"/>
            <w:hideMark/>
          </w:tcPr>
          <w:p w14:paraId="2067C81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23</w:t>
            </w:r>
          </w:p>
        </w:tc>
        <w:tc>
          <w:tcPr>
            <w:tcW w:w="1286" w:type="dxa"/>
            <w:noWrap/>
            <w:vAlign w:val="bottom"/>
          </w:tcPr>
          <w:p w14:paraId="4873456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0939C18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07C32F38"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7</w:t>
            </w:r>
          </w:p>
        </w:tc>
        <w:tc>
          <w:tcPr>
            <w:tcW w:w="1072" w:type="dxa"/>
            <w:tcBorders>
              <w:right w:val="single" w:sz="4" w:space="0" w:color="auto"/>
            </w:tcBorders>
            <w:noWrap/>
            <w:vAlign w:val="bottom"/>
          </w:tcPr>
          <w:p w14:paraId="65F72785"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10</w:t>
            </w:r>
          </w:p>
        </w:tc>
      </w:tr>
      <w:tr w:rsidR="00A9015F" w:rsidRPr="001278ED" w14:paraId="4C9A9FAA" w14:textId="77777777" w:rsidTr="009E69CE">
        <w:trPr>
          <w:trHeight w:val="282"/>
        </w:trPr>
        <w:tc>
          <w:tcPr>
            <w:tcW w:w="718" w:type="dxa"/>
            <w:tcBorders>
              <w:left w:val="single" w:sz="4" w:space="0" w:color="auto"/>
            </w:tcBorders>
            <w:noWrap/>
            <w:vAlign w:val="bottom"/>
            <w:hideMark/>
          </w:tcPr>
          <w:p w14:paraId="7816029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2014</w:t>
            </w:r>
          </w:p>
        </w:tc>
        <w:tc>
          <w:tcPr>
            <w:tcW w:w="1695" w:type="dxa"/>
            <w:noWrap/>
            <w:vAlign w:val="bottom"/>
            <w:hideMark/>
          </w:tcPr>
          <w:p w14:paraId="7F6D58C7" w14:textId="1718C196"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41977.5888</w:t>
            </w:r>
          </w:p>
        </w:tc>
        <w:tc>
          <w:tcPr>
            <w:tcW w:w="1753" w:type="dxa"/>
            <w:noWrap/>
            <w:vAlign w:val="bottom"/>
            <w:hideMark/>
          </w:tcPr>
          <w:p w14:paraId="20F3BDE9"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19</w:t>
            </w:r>
          </w:p>
        </w:tc>
        <w:tc>
          <w:tcPr>
            <w:tcW w:w="1286" w:type="dxa"/>
            <w:noWrap/>
            <w:vAlign w:val="bottom"/>
          </w:tcPr>
          <w:p w14:paraId="41C9519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535" w:type="dxa"/>
            <w:noWrap/>
            <w:vAlign w:val="bottom"/>
          </w:tcPr>
          <w:p w14:paraId="634CAFD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10022FE9"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072" w:type="dxa"/>
            <w:tcBorders>
              <w:right w:val="single" w:sz="4" w:space="0" w:color="auto"/>
            </w:tcBorders>
            <w:noWrap/>
            <w:vAlign w:val="bottom"/>
          </w:tcPr>
          <w:p w14:paraId="3EF4B398"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11</w:t>
            </w:r>
          </w:p>
        </w:tc>
      </w:tr>
      <w:tr w:rsidR="00A9015F" w:rsidRPr="001278ED" w14:paraId="20404E99" w14:textId="77777777" w:rsidTr="009E69CE">
        <w:trPr>
          <w:trHeight w:val="282"/>
        </w:trPr>
        <w:tc>
          <w:tcPr>
            <w:tcW w:w="718" w:type="dxa"/>
            <w:tcBorders>
              <w:left w:val="single" w:sz="4" w:space="0" w:color="auto"/>
            </w:tcBorders>
            <w:noWrap/>
            <w:vAlign w:val="bottom"/>
            <w:hideMark/>
          </w:tcPr>
          <w:p w14:paraId="62EC279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2015</w:t>
            </w:r>
          </w:p>
        </w:tc>
        <w:tc>
          <w:tcPr>
            <w:tcW w:w="1695" w:type="dxa"/>
            <w:noWrap/>
            <w:vAlign w:val="bottom"/>
            <w:hideMark/>
          </w:tcPr>
          <w:p w14:paraId="18B83FE6" w14:textId="1694094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6796.4967</w:t>
            </w:r>
          </w:p>
        </w:tc>
        <w:tc>
          <w:tcPr>
            <w:tcW w:w="1753" w:type="dxa"/>
            <w:noWrap/>
            <w:vAlign w:val="bottom"/>
            <w:hideMark/>
          </w:tcPr>
          <w:p w14:paraId="6F78252E"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25</w:t>
            </w:r>
          </w:p>
        </w:tc>
        <w:tc>
          <w:tcPr>
            <w:tcW w:w="1286" w:type="dxa"/>
            <w:noWrap/>
            <w:vAlign w:val="bottom"/>
          </w:tcPr>
          <w:p w14:paraId="6F37529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3869497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3A33705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13</w:t>
            </w:r>
          </w:p>
        </w:tc>
        <w:tc>
          <w:tcPr>
            <w:tcW w:w="1072" w:type="dxa"/>
            <w:tcBorders>
              <w:right w:val="single" w:sz="4" w:space="0" w:color="auto"/>
            </w:tcBorders>
            <w:noWrap/>
            <w:vAlign w:val="bottom"/>
          </w:tcPr>
          <w:p w14:paraId="626A3A0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1A41982E" w14:textId="77777777" w:rsidTr="009E69CE">
        <w:trPr>
          <w:trHeight w:val="282"/>
        </w:trPr>
        <w:tc>
          <w:tcPr>
            <w:tcW w:w="718" w:type="dxa"/>
            <w:tcBorders>
              <w:left w:val="single" w:sz="4" w:space="0" w:color="auto"/>
            </w:tcBorders>
            <w:noWrap/>
            <w:vAlign w:val="bottom"/>
            <w:hideMark/>
          </w:tcPr>
          <w:p w14:paraId="5E13FE5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2016</w:t>
            </w:r>
          </w:p>
        </w:tc>
        <w:tc>
          <w:tcPr>
            <w:tcW w:w="1695" w:type="dxa"/>
            <w:noWrap/>
            <w:vAlign w:val="bottom"/>
            <w:hideMark/>
          </w:tcPr>
          <w:p w14:paraId="40109F94" w14:textId="28839066"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3668.6139</w:t>
            </w:r>
          </w:p>
        </w:tc>
        <w:tc>
          <w:tcPr>
            <w:tcW w:w="1753" w:type="dxa"/>
            <w:noWrap/>
            <w:vAlign w:val="bottom"/>
            <w:hideMark/>
          </w:tcPr>
          <w:p w14:paraId="58C6BA0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20</w:t>
            </w:r>
          </w:p>
        </w:tc>
        <w:tc>
          <w:tcPr>
            <w:tcW w:w="1286" w:type="dxa"/>
            <w:noWrap/>
            <w:vAlign w:val="bottom"/>
          </w:tcPr>
          <w:p w14:paraId="5ADC2A8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535" w:type="dxa"/>
            <w:noWrap/>
            <w:vAlign w:val="bottom"/>
          </w:tcPr>
          <w:p w14:paraId="4B59A5B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49380BD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7</w:t>
            </w:r>
          </w:p>
        </w:tc>
        <w:tc>
          <w:tcPr>
            <w:tcW w:w="1072" w:type="dxa"/>
            <w:tcBorders>
              <w:right w:val="single" w:sz="4" w:space="0" w:color="auto"/>
            </w:tcBorders>
            <w:noWrap/>
            <w:vAlign w:val="bottom"/>
          </w:tcPr>
          <w:p w14:paraId="062A27B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8</w:t>
            </w:r>
          </w:p>
        </w:tc>
      </w:tr>
      <w:tr w:rsidR="00A9015F" w:rsidRPr="001278ED" w14:paraId="0951D6E4" w14:textId="77777777" w:rsidTr="009E69CE">
        <w:trPr>
          <w:trHeight w:val="282"/>
        </w:trPr>
        <w:tc>
          <w:tcPr>
            <w:tcW w:w="718" w:type="dxa"/>
            <w:tcBorders>
              <w:left w:val="single" w:sz="4" w:space="0" w:color="auto"/>
            </w:tcBorders>
            <w:noWrap/>
            <w:vAlign w:val="bottom"/>
            <w:hideMark/>
          </w:tcPr>
          <w:p w14:paraId="6177DF3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2017</w:t>
            </w:r>
          </w:p>
        </w:tc>
        <w:tc>
          <w:tcPr>
            <w:tcW w:w="1695" w:type="dxa"/>
            <w:noWrap/>
            <w:vAlign w:val="bottom"/>
            <w:hideMark/>
          </w:tcPr>
          <w:p w14:paraId="4EBC591D" w14:textId="5A476B53"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1514.8523</w:t>
            </w:r>
          </w:p>
        </w:tc>
        <w:tc>
          <w:tcPr>
            <w:tcW w:w="1753" w:type="dxa"/>
            <w:noWrap/>
            <w:vAlign w:val="bottom"/>
            <w:hideMark/>
          </w:tcPr>
          <w:p w14:paraId="2AB39696"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22</w:t>
            </w:r>
          </w:p>
        </w:tc>
        <w:tc>
          <w:tcPr>
            <w:tcW w:w="1286" w:type="dxa"/>
            <w:noWrap/>
            <w:vAlign w:val="bottom"/>
          </w:tcPr>
          <w:p w14:paraId="46A4C54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3</w:t>
            </w:r>
          </w:p>
        </w:tc>
        <w:tc>
          <w:tcPr>
            <w:tcW w:w="1535" w:type="dxa"/>
            <w:noWrap/>
            <w:vAlign w:val="bottom"/>
          </w:tcPr>
          <w:p w14:paraId="3A31AF0E"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w:t>
            </w:r>
          </w:p>
        </w:tc>
        <w:tc>
          <w:tcPr>
            <w:tcW w:w="1184" w:type="dxa"/>
            <w:noWrap/>
            <w:vAlign w:val="bottom"/>
          </w:tcPr>
          <w:p w14:paraId="1F1579A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072" w:type="dxa"/>
            <w:tcBorders>
              <w:right w:val="single" w:sz="4" w:space="0" w:color="auto"/>
            </w:tcBorders>
            <w:noWrap/>
            <w:vAlign w:val="bottom"/>
          </w:tcPr>
          <w:p w14:paraId="15E83BFB"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13</w:t>
            </w:r>
          </w:p>
        </w:tc>
      </w:tr>
      <w:tr w:rsidR="00A9015F" w:rsidRPr="001278ED" w14:paraId="5D6A2B09" w14:textId="77777777" w:rsidTr="009E69CE">
        <w:trPr>
          <w:trHeight w:val="282"/>
        </w:trPr>
        <w:tc>
          <w:tcPr>
            <w:tcW w:w="718" w:type="dxa"/>
            <w:tcBorders>
              <w:left w:val="single" w:sz="4" w:space="0" w:color="auto"/>
            </w:tcBorders>
            <w:noWrap/>
            <w:vAlign w:val="bottom"/>
            <w:hideMark/>
          </w:tcPr>
          <w:p w14:paraId="23AD9FFA"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2018</w:t>
            </w:r>
          </w:p>
        </w:tc>
        <w:tc>
          <w:tcPr>
            <w:tcW w:w="1695" w:type="dxa"/>
            <w:noWrap/>
            <w:vAlign w:val="bottom"/>
            <w:hideMark/>
          </w:tcPr>
          <w:p w14:paraId="56DF07AB" w14:textId="27D40CB8"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5595.5449</w:t>
            </w:r>
          </w:p>
        </w:tc>
        <w:tc>
          <w:tcPr>
            <w:tcW w:w="1753" w:type="dxa"/>
            <w:noWrap/>
            <w:vAlign w:val="bottom"/>
            <w:hideMark/>
          </w:tcPr>
          <w:p w14:paraId="453620C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16</w:t>
            </w:r>
          </w:p>
        </w:tc>
        <w:tc>
          <w:tcPr>
            <w:tcW w:w="1286" w:type="dxa"/>
            <w:noWrap/>
            <w:vAlign w:val="bottom"/>
          </w:tcPr>
          <w:p w14:paraId="4893930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c>
          <w:tcPr>
            <w:tcW w:w="1535" w:type="dxa"/>
            <w:noWrap/>
            <w:vAlign w:val="bottom"/>
          </w:tcPr>
          <w:p w14:paraId="607D8575"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4A75BFA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4</w:t>
            </w:r>
          </w:p>
        </w:tc>
        <w:tc>
          <w:tcPr>
            <w:tcW w:w="1072" w:type="dxa"/>
            <w:tcBorders>
              <w:right w:val="single" w:sz="4" w:space="0" w:color="auto"/>
            </w:tcBorders>
            <w:noWrap/>
            <w:vAlign w:val="bottom"/>
          </w:tcPr>
          <w:p w14:paraId="2245736F"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6</w:t>
            </w:r>
          </w:p>
        </w:tc>
      </w:tr>
      <w:tr w:rsidR="00A9015F" w:rsidRPr="001278ED" w14:paraId="214B66F1" w14:textId="77777777" w:rsidTr="009E69CE">
        <w:trPr>
          <w:trHeight w:val="282"/>
        </w:trPr>
        <w:tc>
          <w:tcPr>
            <w:tcW w:w="718" w:type="dxa"/>
            <w:tcBorders>
              <w:left w:val="single" w:sz="4" w:space="0" w:color="auto"/>
            </w:tcBorders>
            <w:noWrap/>
            <w:vAlign w:val="bottom"/>
            <w:hideMark/>
          </w:tcPr>
          <w:p w14:paraId="4D01DD9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2019</w:t>
            </w:r>
          </w:p>
        </w:tc>
        <w:tc>
          <w:tcPr>
            <w:tcW w:w="1695" w:type="dxa"/>
            <w:noWrap/>
            <w:vAlign w:val="bottom"/>
            <w:hideMark/>
          </w:tcPr>
          <w:p w14:paraId="5B9E1A0E" w14:textId="3D8E51E3"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372.3442</w:t>
            </w:r>
          </w:p>
        </w:tc>
        <w:tc>
          <w:tcPr>
            <w:tcW w:w="1753" w:type="dxa"/>
            <w:noWrap/>
            <w:vAlign w:val="bottom"/>
            <w:hideMark/>
          </w:tcPr>
          <w:p w14:paraId="5B5A7A21"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20</w:t>
            </w:r>
          </w:p>
        </w:tc>
        <w:tc>
          <w:tcPr>
            <w:tcW w:w="1286" w:type="dxa"/>
            <w:noWrap/>
            <w:vAlign w:val="bottom"/>
          </w:tcPr>
          <w:p w14:paraId="390C252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535" w:type="dxa"/>
            <w:noWrap/>
            <w:vAlign w:val="bottom"/>
          </w:tcPr>
          <w:p w14:paraId="21FAD304"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noWrap/>
            <w:vAlign w:val="bottom"/>
          </w:tcPr>
          <w:p w14:paraId="2E7E059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10</w:t>
            </w:r>
          </w:p>
        </w:tc>
        <w:tc>
          <w:tcPr>
            <w:tcW w:w="1072" w:type="dxa"/>
            <w:tcBorders>
              <w:right w:val="single" w:sz="4" w:space="0" w:color="auto"/>
            </w:tcBorders>
            <w:noWrap/>
            <w:vAlign w:val="bottom"/>
          </w:tcPr>
          <w:p w14:paraId="33AA249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r>
      <w:tr w:rsidR="00A9015F" w:rsidRPr="001278ED" w14:paraId="177D4EE8" w14:textId="77777777" w:rsidTr="009E69CE">
        <w:trPr>
          <w:trHeight w:val="282"/>
        </w:trPr>
        <w:tc>
          <w:tcPr>
            <w:tcW w:w="718" w:type="dxa"/>
            <w:tcBorders>
              <w:left w:val="single" w:sz="4" w:space="0" w:color="auto"/>
              <w:bottom w:val="single" w:sz="4" w:space="0" w:color="auto"/>
            </w:tcBorders>
            <w:noWrap/>
            <w:vAlign w:val="bottom"/>
            <w:hideMark/>
          </w:tcPr>
          <w:p w14:paraId="64B8DF19"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2020</w:t>
            </w:r>
          </w:p>
        </w:tc>
        <w:tc>
          <w:tcPr>
            <w:tcW w:w="1695" w:type="dxa"/>
            <w:tcBorders>
              <w:bottom w:val="single" w:sz="4" w:space="0" w:color="auto"/>
            </w:tcBorders>
            <w:noWrap/>
            <w:vAlign w:val="bottom"/>
            <w:hideMark/>
          </w:tcPr>
          <w:p w14:paraId="2353C116" w14:textId="4728FF43"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6433.3021</w:t>
            </w:r>
          </w:p>
        </w:tc>
        <w:tc>
          <w:tcPr>
            <w:tcW w:w="1753" w:type="dxa"/>
            <w:tcBorders>
              <w:bottom w:val="single" w:sz="4" w:space="0" w:color="auto"/>
            </w:tcBorders>
            <w:noWrap/>
            <w:vAlign w:val="bottom"/>
            <w:hideMark/>
          </w:tcPr>
          <w:p w14:paraId="5F233E4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8</w:t>
            </w:r>
          </w:p>
        </w:tc>
        <w:tc>
          <w:tcPr>
            <w:tcW w:w="1286" w:type="dxa"/>
            <w:tcBorders>
              <w:bottom w:val="single" w:sz="4" w:space="0" w:color="auto"/>
            </w:tcBorders>
            <w:noWrap/>
            <w:vAlign w:val="bottom"/>
          </w:tcPr>
          <w:p w14:paraId="66185EF0"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2</w:t>
            </w:r>
          </w:p>
        </w:tc>
        <w:tc>
          <w:tcPr>
            <w:tcW w:w="1535" w:type="dxa"/>
            <w:tcBorders>
              <w:bottom w:val="single" w:sz="4" w:space="0" w:color="auto"/>
            </w:tcBorders>
            <w:noWrap/>
            <w:vAlign w:val="bottom"/>
          </w:tcPr>
          <w:p w14:paraId="4FFF0BC8"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0</w:t>
            </w:r>
          </w:p>
        </w:tc>
        <w:tc>
          <w:tcPr>
            <w:tcW w:w="1184" w:type="dxa"/>
            <w:tcBorders>
              <w:bottom w:val="single" w:sz="4" w:space="0" w:color="auto"/>
            </w:tcBorders>
            <w:noWrap/>
            <w:vAlign w:val="bottom"/>
          </w:tcPr>
          <w:p w14:paraId="0673D565"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5</w:t>
            </w:r>
          </w:p>
        </w:tc>
        <w:tc>
          <w:tcPr>
            <w:tcW w:w="1072" w:type="dxa"/>
            <w:tcBorders>
              <w:bottom w:val="single" w:sz="4" w:space="0" w:color="auto"/>
              <w:right w:val="single" w:sz="4" w:space="0" w:color="auto"/>
            </w:tcBorders>
            <w:noWrap/>
            <w:vAlign w:val="bottom"/>
          </w:tcPr>
          <w:p w14:paraId="24CE4016"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color w:val="000000"/>
                <w:sz w:val="20"/>
                <w:szCs w:val="20"/>
              </w:rPr>
              <w:t>1</w:t>
            </w:r>
          </w:p>
        </w:tc>
      </w:tr>
      <w:tr w:rsidR="00A9015F" w:rsidRPr="001278ED" w14:paraId="14D8B91F" w14:textId="77777777" w:rsidTr="009E69CE">
        <w:trPr>
          <w:trHeight w:val="282"/>
        </w:trPr>
        <w:tc>
          <w:tcPr>
            <w:tcW w:w="718" w:type="dxa"/>
            <w:tcBorders>
              <w:top w:val="single" w:sz="4" w:space="0" w:color="auto"/>
              <w:left w:val="single" w:sz="4" w:space="0" w:color="auto"/>
              <w:bottom w:val="single" w:sz="4" w:space="0" w:color="auto"/>
            </w:tcBorders>
            <w:noWrap/>
            <w:vAlign w:val="bottom"/>
          </w:tcPr>
          <w:p w14:paraId="3D48D5A0" w14:textId="77777777" w:rsidR="00A9015F" w:rsidRPr="001278ED" w:rsidRDefault="00A9015F" w:rsidP="00A9015F">
            <w:pPr>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Total</w:t>
            </w:r>
          </w:p>
        </w:tc>
        <w:tc>
          <w:tcPr>
            <w:tcW w:w="1695" w:type="dxa"/>
            <w:tcBorders>
              <w:top w:val="single" w:sz="4" w:space="0" w:color="auto"/>
              <w:bottom w:val="single" w:sz="4" w:space="0" w:color="auto"/>
            </w:tcBorders>
            <w:noWrap/>
            <w:vAlign w:val="bottom"/>
          </w:tcPr>
          <w:p w14:paraId="2E382F92"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b/>
                <w:bCs/>
                <w:color w:val="000000"/>
                <w:sz w:val="20"/>
                <w:szCs w:val="20"/>
              </w:rPr>
              <w:t>184631.1057</w:t>
            </w:r>
          </w:p>
        </w:tc>
        <w:tc>
          <w:tcPr>
            <w:tcW w:w="1753" w:type="dxa"/>
            <w:tcBorders>
              <w:top w:val="single" w:sz="4" w:space="0" w:color="auto"/>
              <w:bottom w:val="single" w:sz="4" w:space="0" w:color="auto"/>
            </w:tcBorders>
            <w:noWrap/>
            <w:vAlign w:val="bottom"/>
          </w:tcPr>
          <w:p w14:paraId="3C85C2B7" w14:textId="77777777" w:rsidR="00A9015F" w:rsidRPr="001278ED" w:rsidRDefault="00A9015F" w:rsidP="00A9015F">
            <w:pPr>
              <w:rPr>
                <w:rFonts w:ascii="Times New Roman" w:eastAsia="Times New Roman" w:hAnsi="Times New Roman" w:cs="Times New Roman"/>
                <w:sz w:val="20"/>
                <w:szCs w:val="20"/>
              </w:rPr>
            </w:pPr>
          </w:p>
        </w:tc>
        <w:tc>
          <w:tcPr>
            <w:tcW w:w="1286" w:type="dxa"/>
            <w:tcBorders>
              <w:top w:val="single" w:sz="4" w:space="0" w:color="auto"/>
              <w:bottom w:val="single" w:sz="4" w:space="0" w:color="auto"/>
            </w:tcBorders>
            <w:noWrap/>
            <w:vAlign w:val="bottom"/>
          </w:tcPr>
          <w:p w14:paraId="728BB5AD"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b/>
                <w:bCs/>
                <w:color w:val="000000"/>
                <w:sz w:val="20"/>
                <w:szCs w:val="20"/>
              </w:rPr>
              <w:t>78</w:t>
            </w:r>
          </w:p>
        </w:tc>
        <w:tc>
          <w:tcPr>
            <w:tcW w:w="1535" w:type="dxa"/>
            <w:tcBorders>
              <w:top w:val="single" w:sz="4" w:space="0" w:color="auto"/>
              <w:bottom w:val="single" w:sz="4" w:space="0" w:color="auto"/>
            </w:tcBorders>
            <w:noWrap/>
            <w:vAlign w:val="bottom"/>
          </w:tcPr>
          <w:p w14:paraId="74C5ADD3"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b/>
                <w:bCs/>
                <w:color w:val="000000"/>
                <w:sz w:val="20"/>
                <w:szCs w:val="20"/>
              </w:rPr>
              <w:t>13</w:t>
            </w:r>
          </w:p>
        </w:tc>
        <w:tc>
          <w:tcPr>
            <w:tcW w:w="1184" w:type="dxa"/>
            <w:tcBorders>
              <w:top w:val="single" w:sz="4" w:space="0" w:color="auto"/>
              <w:bottom w:val="single" w:sz="4" w:space="0" w:color="auto"/>
            </w:tcBorders>
            <w:noWrap/>
            <w:vAlign w:val="bottom"/>
          </w:tcPr>
          <w:p w14:paraId="5EAA5AC8"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b/>
                <w:bCs/>
                <w:color w:val="000000"/>
                <w:sz w:val="20"/>
                <w:szCs w:val="20"/>
              </w:rPr>
              <w:t>91</w:t>
            </w:r>
          </w:p>
        </w:tc>
        <w:tc>
          <w:tcPr>
            <w:tcW w:w="1072" w:type="dxa"/>
            <w:tcBorders>
              <w:top w:val="single" w:sz="4" w:space="0" w:color="auto"/>
              <w:bottom w:val="single" w:sz="4" w:space="0" w:color="auto"/>
              <w:right w:val="single" w:sz="4" w:space="0" w:color="auto"/>
            </w:tcBorders>
            <w:noWrap/>
            <w:vAlign w:val="bottom"/>
          </w:tcPr>
          <w:p w14:paraId="4869907C" w14:textId="77777777" w:rsidR="00A9015F" w:rsidRPr="001278ED" w:rsidRDefault="00A9015F" w:rsidP="00A9015F">
            <w:pPr>
              <w:rPr>
                <w:rFonts w:ascii="Times New Roman" w:eastAsia="Times New Roman" w:hAnsi="Times New Roman" w:cs="Times New Roman"/>
                <w:sz w:val="20"/>
                <w:szCs w:val="20"/>
              </w:rPr>
            </w:pPr>
            <w:r w:rsidRPr="001278ED">
              <w:rPr>
                <w:rFonts w:ascii="Times New Roman" w:eastAsia="Times New Roman" w:hAnsi="Times New Roman" w:cs="Times New Roman"/>
                <w:b/>
                <w:bCs/>
                <w:color w:val="000000"/>
                <w:sz w:val="20"/>
                <w:szCs w:val="20"/>
              </w:rPr>
              <w:t>108</w:t>
            </w:r>
          </w:p>
        </w:tc>
      </w:tr>
    </w:tbl>
    <w:p w14:paraId="2679B643" w14:textId="77777777" w:rsidR="00E30E2D" w:rsidRPr="009E69CE" w:rsidRDefault="00E30E2D" w:rsidP="00E30E2D">
      <w:pPr>
        <w:jc w:val="both"/>
        <w:rPr>
          <w:rFonts w:ascii="Times New Roman" w:eastAsia="Times New Roman" w:hAnsi="Times New Roman" w:cs="Times New Roman"/>
        </w:rPr>
      </w:pPr>
      <w:r>
        <w:rPr>
          <w:rFonts w:ascii="Times New Roman" w:eastAsia="Times New Roman" w:hAnsi="Times New Roman" w:cs="Times New Roman"/>
        </w:rPr>
        <w:t xml:space="preserve">The </w:t>
      </w:r>
      <w:r w:rsidRPr="001278ED">
        <w:rPr>
          <w:rFonts w:ascii="Times New Roman" w:eastAsia="Times New Roman" w:hAnsi="Times New Roman" w:cs="Times New Roman"/>
        </w:rPr>
        <w:t>table reports the total amount of fines across the sample banks, by year and in total. The statistics are reported for misconduct related to (i) banking business violations, (iii) economic sanction violations, (iv) market violations, and (v) administrative violations. Definitions of these violations is given in the Appendix.</w:t>
      </w:r>
    </w:p>
    <w:p w14:paraId="2651F18C" w14:textId="77777777" w:rsidR="00E30E2D" w:rsidRPr="00DE7639" w:rsidRDefault="00E30E2D" w:rsidP="00E30E2D"/>
    <w:p w14:paraId="04821E62" w14:textId="77777777" w:rsidR="00E30E2D" w:rsidRDefault="00E30E2D">
      <w:pPr>
        <w:rPr>
          <w:rFonts w:ascii="Times New Roman" w:eastAsia="Times New Roman" w:hAnsi="Times New Roman" w:cs="Times New Roman"/>
        </w:rPr>
      </w:pPr>
    </w:p>
    <w:p w14:paraId="7FB6E4F0" w14:textId="77777777" w:rsidR="00E30E2D" w:rsidRDefault="00E30E2D">
      <w:pPr>
        <w:rPr>
          <w:rFonts w:ascii="Times New Roman" w:eastAsia="Times New Roman" w:hAnsi="Times New Roman" w:cs="Times New Roman"/>
        </w:rPr>
      </w:pPr>
    </w:p>
    <w:p w14:paraId="05EC93BD" w14:textId="0ED44064" w:rsidR="001278ED" w:rsidRDefault="001278ED">
      <w:pPr>
        <w:rPr>
          <w:rFonts w:ascii="Times New Roman" w:eastAsia="Times New Roman" w:hAnsi="Times New Roman" w:cs="Times New Roman"/>
        </w:rPr>
      </w:pPr>
      <w:r>
        <w:rPr>
          <w:rFonts w:ascii="Times New Roman" w:eastAsia="Times New Roman" w:hAnsi="Times New Roman" w:cs="Times New Roman"/>
        </w:rPr>
        <w:br w:type="page"/>
      </w:r>
    </w:p>
    <w:p w14:paraId="2FBF30A7" w14:textId="77777777" w:rsidR="00A9015F" w:rsidRPr="001278ED" w:rsidRDefault="00A9015F" w:rsidP="00A9015F">
      <w:pPr>
        <w:jc w:val="both"/>
        <w:rPr>
          <w:rFonts w:ascii="Times New Roman" w:eastAsia="Times New Roman" w:hAnsi="Times New Roman" w:cs="Times New Roman"/>
        </w:rPr>
      </w:pPr>
    </w:p>
    <w:p w14:paraId="681F2A85" w14:textId="77777777" w:rsidR="00A9015F" w:rsidRPr="00A9015F" w:rsidRDefault="00A9015F" w:rsidP="00A9015F">
      <w:pPr>
        <w:rPr>
          <w:rFonts w:ascii="Times New Roman" w:eastAsia="Times New Roman" w:hAnsi="Times New Roman" w:cs="Times New Roman"/>
          <w:b/>
          <w:bCs/>
          <w:sz w:val="24"/>
          <w:szCs w:val="24"/>
        </w:rPr>
      </w:pPr>
    </w:p>
    <w:p w14:paraId="70BB415C" w14:textId="77777777" w:rsidR="00A9015F" w:rsidRPr="00A9015F" w:rsidRDefault="00A9015F" w:rsidP="00A9015F">
      <w:pPr>
        <w:rPr>
          <w:rFonts w:ascii="Times New Roman" w:eastAsia="Times New Roman" w:hAnsi="Times New Roman" w:cs="Times New Roman"/>
          <w:b/>
          <w:bCs/>
          <w:sz w:val="24"/>
          <w:szCs w:val="24"/>
        </w:rPr>
      </w:pPr>
    </w:p>
    <w:p w14:paraId="5AC75098" w14:textId="77777777" w:rsidR="00A9015F" w:rsidRPr="00A9015F" w:rsidRDefault="00A9015F" w:rsidP="00A9015F">
      <w:pPr>
        <w:rPr>
          <w:rFonts w:ascii="Times New Roman" w:eastAsia="Times New Roman" w:hAnsi="Times New Roman" w:cs="Times New Roman"/>
          <w:b/>
          <w:bCs/>
          <w:sz w:val="24"/>
          <w:szCs w:val="24"/>
        </w:rPr>
      </w:pPr>
    </w:p>
    <w:p w14:paraId="4630DDA2" w14:textId="635FA795" w:rsidR="00DE7639" w:rsidRPr="00E30E2D" w:rsidRDefault="00DE7639" w:rsidP="00DE7639">
      <w:pPr>
        <w:pStyle w:val="Caption"/>
        <w:keepNext/>
        <w:rPr>
          <w:rFonts w:ascii="Times New Roman" w:hAnsi="Times New Roman" w:cs="Times New Roman"/>
          <w:b/>
          <w:bCs/>
          <w:i w:val="0"/>
          <w:iCs w:val="0"/>
          <w:color w:val="auto"/>
          <w:sz w:val="28"/>
          <w:szCs w:val="28"/>
        </w:rPr>
      </w:pPr>
      <w:bookmarkStart w:id="161" w:name="_Toc132386113"/>
      <w:bookmarkStart w:id="162" w:name="_Toc132437305"/>
      <w:r w:rsidRPr="00E30E2D">
        <w:rPr>
          <w:rFonts w:ascii="Times New Roman" w:hAnsi="Times New Roman" w:cs="Times New Roman"/>
          <w:b/>
          <w:bCs/>
          <w:i w:val="0"/>
          <w:iCs w:val="0"/>
          <w:color w:val="auto"/>
          <w:sz w:val="28"/>
          <w:szCs w:val="28"/>
        </w:rPr>
        <w:t>Table5.</w:t>
      </w:r>
      <w:r w:rsidR="00221C3A">
        <w:rPr>
          <w:rFonts w:ascii="Times New Roman" w:hAnsi="Times New Roman" w:cs="Times New Roman"/>
          <w:b/>
          <w:bCs/>
          <w:i w:val="0"/>
          <w:iCs w:val="0"/>
          <w:color w:val="auto"/>
          <w:sz w:val="28"/>
          <w:szCs w:val="28"/>
        </w:rPr>
        <w:t>2</w:t>
      </w:r>
      <w:r w:rsidRPr="00E30E2D">
        <w:rPr>
          <w:rFonts w:ascii="Times New Roman" w:hAnsi="Times New Roman" w:cs="Times New Roman"/>
          <w:b/>
          <w:bCs/>
          <w:i w:val="0"/>
          <w:iCs w:val="0"/>
          <w:color w:val="auto"/>
          <w:sz w:val="28"/>
          <w:szCs w:val="28"/>
        </w:rPr>
        <w:t>. Descriptive Statistics</w:t>
      </w:r>
      <w:bookmarkEnd w:id="161"/>
      <w:bookmarkEnd w:id="162"/>
      <w:r w:rsidRPr="00E30E2D">
        <w:rPr>
          <w:rFonts w:ascii="Times New Roman" w:hAnsi="Times New Roman" w:cs="Times New Roman"/>
          <w:b/>
          <w:bCs/>
          <w:i w:val="0"/>
          <w:iCs w:val="0"/>
          <w:color w:val="auto"/>
          <w:sz w:val="28"/>
          <w:szCs w:val="28"/>
        </w:rPr>
        <w:t xml:space="preserve"> </w:t>
      </w:r>
    </w:p>
    <w:tbl>
      <w:tblPr>
        <w:tblStyle w:val="TableGrid5"/>
        <w:tblpPr w:leftFromText="180" w:rightFromText="180" w:vertAnchor="text" w:horzAnchor="margin" w:tblpXSpec="center" w:tblpY="385"/>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28"/>
        <w:gridCol w:w="1292"/>
        <w:gridCol w:w="1131"/>
        <w:gridCol w:w="1099"/>
        <w:gridCol w:w="953"/>
        <w:gridCol w:w="766"/>
        <w:gridCol w:w="966"/>
        <w:gridCol w:w="966"/>
      </w:tblGrid>
      <w:tr w:rsidR="00071AF6" w:rsidRPr="00A9015F" w14:paraId="07C22618" w14:textId="77777777" w:rsidTr="00DE7639">
        <w:trPr>
          <w:trHeight w:val="187"/>
        </w:trPr>
        <w:tc>
          <w:tcPr>
            <w:tcW w:w="1555" w:type="dxa"/>
            <w:tcBorders>
              <w:top w:val="single" w:sz="4" w:space="0" w:color="auto"/>
              <w:left w:val="single" w:sz="4" w:space="0" w:color="auto"/>
              <w:bottom w:val="single" w:sz="4" w:space="0" w:color="auto"/>
            </w:tcBorders>
            <w:noWrap/>
            <w:hideMark/>
          </w:tcPr>
          <w:p w14:paraId="2FA5CD9D"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Variable</w:t>
            </w:r>
          </w:p>
        </w:tc>
        <w:tc>
          <w:tcPr>
            <w:tcW w:w="728" w:type="dxa"/>
            <w:tcBorders>
              <w:top w:val="single" w:sz="4" w:space="0" w:color="auto"/>
              <w:bottom w:val="single" w:sz="4" w:space="0" w:color="auto"/>
            </w:tcBorders>
            <w:noWrap/>
            <w:hideMark/>
          </w:tcPr>
          <w:p w14:paraId="06CDBE87"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Obs</w:t>
            </w:r>
          </w:p>
        </w:tc>
        <w:tc>
          <w:tcPr>
            <w:tcW w:w="1292" w:type="dxa"/>
            <w:tcBorders>
              <w:top w:val="single" w:sz="4" w:space="0" w:color="auto"/>
              <w:bottom w:val="single" w:sz="4" w:space="0" w:color="auto"/>
            </w:tcBorders>
            <w:noWrap/>
            <w:hideMark/>
          </w:tcPr>
          <w:p w14:paraId="1E130741"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Mean</w:t>
            </w:r>
          </w:p>
        </w:tc>
        <w:tc>
          <w:tcPr>
            <w:tcW w:w="1131" w:type="dxa"/>
            <w:tcBorders>
              <w:top w:val="single" w:sz="4" w:space="0" w:color="auto"/>
              <w:bottom w:val="single" w:sz="4" w:space="0" w:color="auto"/>
            </w:tcBorders>
            <w:noWrap/>
            <w:hideMark/>
          </w:tcPr>
          <w:p w14:paraId="5B0A03A8"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Std. dev.</w:t>
            </w:r>
          </w:p>
        </w:tc>
        <w:tc>
          <w:tcPr>
            <w:tcW w:w="1099" w:type="dxa"/>
            <w:tcBorders>
              <w:top w:val="single" w:sz="4" w:space="0" w:color="auto"/>
              <w:bottom w:val="single" w:sz="4" w:space="0" w:color="auto"/>
            </w:tcBorders>
            <w:noWrap/>
            <w:hideMark/>
          </w:tcPr>
          <w:p w14:paraId="2A3B22F8"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Min</w:t>
            </w:r>
          </w:p>
        </w:tc>
        <w:tc>
          <w:tcPr>
            <w:tcW w:w="953" w:type="dxa"/>
            <w:tcBorders>
              <w:top w:val="single" w:sz="4" w:space="0" w:color="auto"/>
              <w:bottom w:val="single" w:sz="4" w:space="0" w:color="auto"/>
            </w:tcBorders>
            <w:noWrap/>
            <w:hideMark/>
          </w:tcPr>
          <w:p w14:paraId="39B93CE4"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Max</w:t>
            </w:r>
          </w:p>
        </w:tc>
        <w:tc>
          <w:tcPr>
            <w:tcW w:w="766" w:type="dxa"/>
            <w:tcBorders>
              <w:top w:val="single" w:sz="4" w:space="0" w:color="auto"/>
              <w:bottom w:val="single" w:sz="4" w:space="0" w:color="auto"/>
            </w:tcBorders>
            <w:noWrap/>
            <w:hideMark/>
          </w:tcPr>
          <w:p w14:paraId="1261C488"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P25</w:t>
            </w:r>
          </w:p>
        </w:tc>
        <w:tc>
          <w:tcPr>
            <w:tcW w:w="966" w:type="dxa"/>
            <w:tcBorders>
              <w:top w:val="single" w:sz="4" w:space="0" w:color="auto"/>
              <w:bottom w:val="single" w:sz="4" w:space="0" w:color="auto"/>
            </w:tcBorders>
            <w:noWrap/>
            <w:hideMark/>
          </w:tcPr>
          <w:p w14:paraId="4BBD56BE"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P50</w:t>
            </w:r>
          </w:p>
        </w:tc>
        <w:tc>
          <w:tcPr>
            <w:tcW w:w="966" w:type="dxa"/>
            <w:tcBorders>
              <w:top w:val="single" w:sz="4" w:space="0" w:color="auto"/>
              <w:bottom w:val="single" w:sz="4" w:space="0" w:color="auto"/>
              <w:right w:val="single" w:sz="4" w:space="0" w:color="auto"/>
            </w:tcBorders>
            <w:noWrap/>
            <w:hideMark/>
          </w:tcPr>
          <w:p w14:paraId="39B59FD9" w14:textId="77777777" w:rsidR="00071AF6" w:rsidRPr="00A9015F" w:rsidRDefault="00071AF6" w:rsidP="00071AF6">
            <w:pPr>
              <w:spacing w:after="160" w:line="259" w:lineRule="auto"/>
              <w:jc w:val="both"/>
              <w:rPr>
                <w:rFonts w:ascii="Times New Roman" w:hAnsi="Times New Roman"/>
                <w:b/>
                <w:bCs/>
                <w:sz w:val="20"/>
                <w:szCs w:val="20"/>
              </w:rPr>
            </w:pPr>
            <w:r w:rsidRPr="00A9015F">
              <w:rPr>
                <w:rFonts w:ascii="Times New Roman" w:hAnsi="Times New Roman"/>
                <w:b/>
                <w:bCs/>
                <w:sz w:val="20"/>
                <w:szCs w:val="20"/>
              </w:rPr>
              <w:t>P75</w:t>
            </w:r>
          </w:p>
        </w:tc>
      </w:tr>
      <w:tr w:rsidR="00071AF6" w:rsidRPr="00A9015F" w14:paraId="0F000450" w14:textId="77777777" w:rsidTr="00DE7639">
        <w:trPr>
          <w:trHeight w:val="187"/>
        </w:trPr>
        <w:tc>
          <w:tcPr>
            <w:tcW w:w="1555" w:type="dxa"/>
            <w:tcBorders>
              <w:top w:val="single" w:sz="4" w:space="0" w:color="auto"/>
              <w:left w:val="single" w:sz="4" w:space="0" w:color="auto"/>
            </w:tcBorders>
            <w:noWrap/>
            <w:hideMark/>
          </w:tcPr>
          <w:p w14:paraId="3D9732EE"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Total Fine ($m)</w:t>
            </w:r>
          </w:p>
        </w:tc>
        <w:tc>
          <w:tcPr>
            <w:tcW w:w="728" w:type="dxa"/>
            <w:tcBorders>
              <w:top w:val="single" w:sz="4" w:space="0" w:color="auto"/>
            </w:tcBorders>
            <w:noWrap/>
            <w:hideMark/>
          </w:tcPr>
          <w:p w14:paraId="6C89A66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tcBorders>
              <w:top w:val="single" w:sz="4" w:space="0" w:color="auto"/>
            </w:tcBorders>
            <w:noWrap/>
            <w:hideMark/>
          </w:tcPr>
          <w:p w14:paraId="77C2BF3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167</w:t>
            </w:r>
          </w:p>
        </w:tc>
        <w:tc>
          <w:tcPr>
            <w:tcW w:w="1131" w:type="dxa"/>
            <w:tcBorders>
              <w:top w:val="single" w:sz="4" w:space="0" w:color="auto"/>
            </w:tcBorders>
            <w:noWrap/>
            <w:hideMark/>
          </w:tcPr>
          <w:p w14:paraId="052ED1E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1420</w:t>
            </w:r>
          </w:p>
        </w:tc>
        <w:tc>
          <w:tcPr>
            <w:tcW w:w="1099" w:type="dxa"/>
            <w:tcBorders>
              <w:top w:val="single" w:sz="4" w:space="0" w:color="auto"/>
            </w:tcBorders>
            <w:noWrap/>
            <w:hideMark/>
          </w:tcPr>
          <w:p w14:paraId="7036C5C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tcBorders>
              <w:top w:val="single" w:sz="4" w:space="0" w:color="auto"/>
            </w:tcBorders>
            <w:noWrap/>
            <w:hideMark/>
          </w:tcPr>
          <w:p w14:paraId="004D8A9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28000</w:t>
            </w:r>
          </w:p>
        </w:tc>
        <w:tc>
          <w:tcPr>
            <w:tcW w:w="766" w:type="dxa"/>
            <w:tcBorders>
              <w:top w:val="single" w:sz="4" w:space="0" w:color="auto"/>
            </w:tcBorders>
            <w:noWrap/>
            <w:hideMark/>
          </w:tcPr>
          <w:p w14:paraId="39CA273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tcBorders>
              <w:top w:val="single" w:sz="4" w:space="0" w:color="auto"/>
            </w:tcBorders>
            <w:noWrap/>
            <w:hideMark/>
          </w:tcPr>
          <w:p w14:paraId="1B4EF51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tcBorders>
              <w:top w:val="single" w:sz="4" w:space="0" w:color="auto"/>
              <w:right w:val="single" w:sz="4" w:space="0" w:color="auto"/>
            </w:tcBorders>
            <w:noWrap/>
            <w:hideMark/>
          </w:tcPr>
          <w:p w14:paraId="3F1E787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15000</w:t>
            </w:r>
          </w:p>
        </w:tc>
      </w:tr>
      <w:tr w:rsidR="00071AF6" w:rsidRPr="00A9015F" w14:paraId="682FBEBF" w14:textId="77777777" w:rsidTr="00DE7639">
        <w:trPr>
          <w:trHeight w:val="187"/>
        </w:trPr>
        <w:tc>
          <w:tcPr>
            <w:tcW w:w="1555" w:type="dxa"/>
            <w:tcBorders>
              <w:left w:val="single" w:sz="4" w:space="0" w:color="auto"/>
            </w:tcBorders>
            <w:noWrap/>
            <w:hideMark/>
          </w:tcPr>
          <w:p w14:paraId="0EB22272"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Log of Total Fine</w:t>
            </w:r>
          </w:p>
        </w:tc>
        <w:tc>
          <w:tcPr>
            <w:tcW w:w="728" w:type="dxa"/>
            <w:noWrap/>
            <w:hideMark/>
          </w:tcPr>
          <w:p w14:paraId="62E0176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49EF8A4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4.121</w:t>
            </w:r>
          </w:p>
        </w:tc>
        <w:tc>
          <w:tcPr>
            <w:tcW w:w="1131" w:type="dxa"/>
            <w:noWrap/>
            <w:hideMark/>
          </w:tcPr>
          <w:p w14:paraId="0598FC9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7.064</w:t>
            </w:r>
          </w:p>
        </w:tc>
        <w:tc>
          <w:tcPr>
            <w:tcW w:w="1099" w:type="dxa"/>
            <w:noWrap/>
            <w:hideMark/>
          </w:tcPr>
          <w:p w14:paraId="59201B07" w14:textId="77777777" w:rsidR="00071AF6" w:rsidRPr="00A9015F" w:rsidRDefault="00071AF6" w:rsidP="00DE7639">
            <w:pPr>
              <w:spacing w:after="160" w:line="259" w:lineRule="auto"/>
              <w:ind w:right="483"/>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3FB9CF6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24.055</w:t>
            </w:r>
          </w:p>
        </w:tc>
        <w:tc>
          <w:tcPr>
            <w:tcW w:w="766" w:type="dxa"/>
            <w:noWrap/>
            <w:hideMark/>
          </w:tcPr>
          <w:p w14:paraId="5655B56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noWrap/>
            <w:hideMark/>
          </w:tcPr>
          <w:p w14:paraId="311CD8E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tcBorders>
              <w:right w:val="single" w:sz="4" w:space="0" w:color="auto"/>
            </w:tcBorders>
            <w:noWrap/>
            <w:hideMark/>
          </w:tcPr>
          <w:p w14:paraId="3AB90CE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9.615</w:t>
            </w:r>
          </w:p>
        </w:tc>
      </w:tr>
      <w:tr w:rsidR="00071AF6" w:rsidRPr="00A9015F" w14:paraId="396A8BCD" w14:textId="77777777" w:rsidTr="00DE7639">
        <w:trPr>
          <w:trHeight w:val="187"/>
        </w:trPr>
        <w:tc>
          <w:tcPr>
            <w:tcW w:w="1555" w:type="dxa"/>
            <w:tcBorders>
              <w:left w:val="single" w:sz="4" w:space="0" w:color="auto"/>
            </w:tcBorders>
            <w:noWrap/>
            <w:hideMark/>
          </w:tcPr>
          <w:p w14:paraId="0AB58945"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No of Fine</w:t>
            </w:r>
          </w:p>
        </w:tc>
        <w:tc>
          <w:tcPr>
            <w:tcW w:w="728" w:type="dxa"/>
            <w:noWrap/>
            <w:hideMark/>
          </w:tcPr>
          <w:p w14:paraId="715FD46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0464B0C4" w14:textId="59F6D115"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0.913</w:t>
            </w:r>
          </w:p>
        </w:tc>
        <w:tc>
          <w:tcPr>
            <w:tcW w:w="1131" w:type="dxa"/>
            <w:noWrap/>
            <w:hideMark/>
          </w:tcPr>
          <w:p w14:paraId="25DE02F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2.538</w:t>
            </w:r>
          </w:p>
        </w:tc>
        <w:tc>
          <w:tcPr>
            <w:tcW w:w="1099" w:type="dxa"/>
            <w:noWrap/>
            <w:hideMark/>
          </w:tcPr>
          <w:p w14:paraId="51251E5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180AC50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21</w:t>
            </w:r>
          </w:p>
        </w:tc>
        <w:tc>
          <w:tcPr>
            <w:tcW w:w="766" w:type="dxa"/>
            <w:noWrap/>
            <w:hideMark/>
          </w:tcPr>
          <w:p w14:paraId="703679C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noWrap/>
            <w:hideMark/>
          </w:tcPr>
          <w:p w14:paraId="74EBDE3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tcBorders>
              <w:right w:val="single" w:sz="4" w:space="0" w:color="auto"/>
            </w:tcBorders>
            <w:noWrap/>
            <w:hideMark/>
          </w:tcPr>
          <w:p w14:paraId="17B943C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w:t>
            </w:r>
          </w:p>
        </w:tc>
      </w:tr>
      <w:tr w:rsidR="00071AF6" w:rsidRPr="00A9015F" w14:paraId="5120E84C" w14:textId="77777777" w:rsidTr="00DE7639">
        <w:trPr>
          <w:trHeight w:val="187"/>
        </w:trPr>
        <w:tc>
          <w:tcPr>
            <w:tcW w:w="1555" w:type="dxa"/>
            <w:tcBorders>
              <w:left w:val="single" w:sz="4" w:space="0" w:color="auto"/>
            </w:tcBorders>
            <w:noWrap/>
            <w:hideMark/>
          </w:tcPr>
          <w:p w14:paraId="47821522" w14:textId="3EC11F62"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Gender Heterogeneity</w:t>
            </w:r>
          </w:p>
        </w:tc>
        <w:tc>
          <w:tcPr>
            <w:tcW w:w="728" w:type="dxa"/>
            <w:noWrap/>
            <w:hideMark/>
          </w:tcPr>
          <w:p w14:paraId="6471952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74734D1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0.258</w:t>
            </w:r>
          </w:p>
        </w:tc>
        <w:tc>
          <w:tcPr>
            <w:tcW w:w="1131" w:type="dxa"/>
            <w:noWrap/>
            <w:hideMark/>
          </w:tcPr>
          <w:p w14:paraId="06620C8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0.139</w:t>
            </w:r>
          </w:p>
        </w:tc>
        <w:tc>
          <w:tcPr>
            <w:tcW w:w="1099" w:type="dxa"/>
            <w:noWrap/>
            <w:hideMark/>
          </w:tcPr>
          <w:p w14:paraId="7A8688E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163EF02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0.497</w:t>
            </w:r>
          </w:p>
        </w:tc>
        <w:tc>
          <w:tcPr>
            <w:tcW w:w="766" w:type="dxa"/>
            <w:noWrap/>
            <w:hideMark/>
          </w:tcPr>
          <w:p w14:paraId="07906AF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0.18</w:t>
            </w:r>
          </w:p>
        </w:tc>
        <w:tc>
          <w:tcPr>
            <w:tcW w:w="966" w:type="dxa"/>
            <w:noWrap/>
            <w:hideMark/>
          </w:tcPr>
          <w:p w14:paraId="4A64CBF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0.277</w:t>
            </w:r>
          </w:p>
        </w:tc>
        <w:tc>
          <w:tcPr>
            <w:tcW w:w="966" w:type="dxa"/>
            <w:tcBorders>
              <w:right w:val="single" w:sz="4" w:space="0" w:color="auto"/>
            </w:tcBorders>
            <w:noWrap/>
            <w:hideMark/>
          </w:tcPr>
          <w:p w14:paraId="17F29A9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0.375</w:t>
            </w:r>
          </w:p>
        </w:tc>
      </w:tr>
      <w:tr w:rsidR="00071AF6" w:rsidRPr="00A9015F" w14:paraId="0C8E1B02" w14:textId="77777777" w:rsidTr="00DE7639">
        <w:trPr>
          <w:trHeight w:val="455"/>
        </w:trPr>
        <w:tc>
          <w:tcPr>
            <w:tcW w:w="1555" w:type="dxa"/>
            <w:tcBorders>
              <w:left w:val="single" w:sz="4" w:space="0" w:color="auto"/>
            </w:tcBorders>
            <w:noWrap/>
            <w:hideMark/>
          </w:tcPr>
          <w:p w14:paraId="767C7EDA"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Financial Expert Heterogeneity</w:t>
            </w:r>
          </w:p>
        </w:tc>
        <w:tc>
          <w:tcPr>
            <w:tcW w:w="728" w:type="dxa"/>
            <w:noWrap/>
            <w:hideMark/>
          </w:tcPr>
          <w:p w14:paraId="211B69D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33B7D4F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0.297</w:t>
            </w:r>
          </w:p>
          <w:p w14:paraId="2E70DCBF" w14:textId="77777777" w:rsidR="00071AF6" w:rsidRPr="00A9015F" w:rsidRDefault="00071AF6" w:rsidP="00071AF6">
            <w:pPr>
              <w:spacing w:after="160" w:line="259" w:lineRule="auto"/>
              <w:jc w:val="both"/>
              <w:rPr>
                <w:rFonts w:ascii="Times New Roman" w:hAnsi="Times New Roman"/>
                <w:sz w:val="20"/>
                <w:szCs w:val="20"/>
              </w:rPr>
            </w:pPr>
          </w:p>
          <w:p w14:paraId="3AD151E5" w14:textId="77777777" w:rsidR="00071AF6" w:rsidRPr="00A9015F" w:rsidRDefault="00071AF6" w:rsidP="00071AF6">
            <w:pPr>
              <w:spacing w:after="160" w:line="259" w:lineRule="auto"/>
              <w:jc w:val="both"/>
              <w:rPr>
                <w:rFonts w:ascii="Times New Roman" w:hAnsi="Times New Roman"/>
                <w:sz w:val="20"/>
                <w:szCs w:val="20"/>
              </w:rPr>
            </w:pPr>
          </w:p>
        </w:tc>
        <w:tc>
          <w:tcPr>
            <w:tcW w:w="1131" w:type="dxa"/>
            <w:noWrap/>
            <w:hideMark/>
          </w:tcPr>
          <w:p w14:paraId="0B3F951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0.135</w:t>
            </w:r>
          </w:p>
        </w:tc>
        <w:tc>
          <w:tcPr>
            <w:tcW w:w="1099" w:type="dxa"/>
            <w:noWrap/>
            <w:hideMark/>
          </w:tcPr>
          <w:p w14:paraId="214821A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673EB16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0.5</w:t>
            </w:r>
          </w:p>
        </w:tc>
        <w:tc>
          <w:tcPr>
            <w:tcW w:w="766" w:type="dxa"/>
            <w:noWrap/>
            <w:hideMark/>
          </w:tcPr>
          <w:p w14:paraId="6B293BD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0.18</w:t>
            </w:r>
          </w:p>
        </w:tc>
        <w:tc>
          <w:tcPr>
            <w:tcW w:w="966" w:type="dxa"/>
            <w:noWrap/>
            <w:hideMark/>
          </w:tcPr>
          <w:p w14:paraId="27E9D5D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0.297</w:t>
            </w:r>
          </w:p>
        </w:tc>
        <w:tc>
          <w:tcPr>
            <w:tcW w:w="966" w:type="dxa"/>
            <w:tcBorders>
              <w:right w:val="single" w:sz="4" w:space="0" w:color="auto"/>
            </w:tcBorders>
            <w:noWrap/>
            <w:hideMark/>
          </w:tcPr>
          <w:p w14:paraId="50BD630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0.420</w:t>
            </w:r>
          </w:p>
        </w:tc>
      </w:tr>
      <w:tr w:rsidR="00071AF6" w:rsidRPr="00A9015F" w14:paraId="576F675D" w14:textId="77777777" w:rsidTr="00DE7639">
        <w:trPr>
          <w:trHeight w:val="187"/>
        </w:trPr>
        <w:tc>
          <w:tcPr>
            <w:tcW w:w="1555" w:type="dxa"/>
            <w:tcBorders>
              <w:left w:val="single" w:sz="4" w:space="0" w:color="auto"/>
            </w:tcBorders>
            <w:noWrap/>
            <w:hideMark/>
          </w:tcPr>
          <w:p w14:paraId="42AEC610"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Tenure Heterogeneity</w:t>
            </w:r>
          </w:p>
        </w:tc>
        <w:tc>
          <w:tcPr>
            <w:tcW w:w="728" w:type="dxa"/>
            <w:noWrap/>
            <w:hideMark/>
          </w:tcPr>
          <w:p w14:paraId="45F11F5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4E4C2A0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2.122</w:t>
            </w:r>
          </w:p>
        </w:tc>
        <w:tc>
          <w:tcPr>
            <w:tcW w:w="1131" w:type="dxa"/>
            <w:noWrap/>
            <w:hideMark/>
          </w:tcPr>
          <w:p w14:paraId="5AF5AEE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0.113</w:t>
            </w:r>
          </w:p>
        </w:tc>
        <w:tc>
          <w:tcPr>
            <w:tcW w:w="1099" w:type="dxa"/>
            <w:noWrap/>
            <w:hideMark/>
          </w:tcPr>
          <w:p w14:paraId="1E42C12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1.906</w:t>
            </w:r>
          </w:p>
        </w:tc>
        <w:tc>
          <w:tcPr>
            <w:tcW w:w="953" w:type="dxa"/>
            <w:noWrap/>
            <w:hideMark/>
          </w:tcPr>
          <w:p w14:paraId="01F8159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2.347</w:t>
            </w:r>
          </w:p>
        </w:tc>
        <w:tc>
          <w:tcPr>
            <w:tcW w:w="766" w:type="dxa"/>
            <w:noWrap/>
            <w:hideMark/>
          </w:tcPr>
          <w:p w14:paraId="255FF17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1.906</w:t>
            </w:r>
          </w:p>
        </w:tc>
        <w:tc>
          <w:tcPr>
            <w:tcW w:w="966" w:type="dxa"/>
            <w:noWrap/>
            <w:hideMark/>
          </w:tcPr>
          <w:p w14:paraId="6CBFD00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2.150</w:t>
            </w:r>
          </w:p>
        </w:tc>
        <w:tc>
          <w:tcPr>
            <w:tcW w:w="966" w:type="dxa"/>
            <w:tcBorders>
              <w:right w:val="single" w:sz="4" w:space="0" w:color="auto"/>
            </w:tcBorders>
            <w:noWrap/>
            <w:hideMark/>
          </w:tcPr>
          <w:p w14:paraId="159D87C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2.179</w:t>
            </w:r>
          </w:p>
        </w:tc>
      </w:tr>
      <w:tr w:rsidR="00071AF6" w:rsidRPr="00A9015F" w14:paraId="02D36C62" w14:textId="77777777" w:rsidTr="00DE7639">
        <w:trPr>
          <w:trHeight w:val="187"/>
        </w:trPr>
        <w:tc>
          <w:tcPr>
            <w:tcW w:w="1555" w:type="dxa"/>
            <w:tcBorders>
              <w:left w:val="single" w:sz="4" w:space="0" w:color="auto"/>
            </w:tcBorders>
            <w:noWrap/>
            <w:hideMark/>
          </w:tcPr>
          <w:p w14:paraId="67DD34D9"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Heterogeneity Index</w:t>
            </w:r>
          </w:p>
        </w:tc>
        <w:tc>
          <w:tcPr>
            <w:tcW w:w="728" w:type="dxa"/>
            <w:noWrap/>
            <w:hideMark/>
          </w:tcPr>
          <w:p w14:paraId="2C414F6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60903C2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0.049</w:t>
            </w:r>
          </w:p>
        </w:tc>
        <w:tc>
          <w:tcPr>
            <w:tcW w:w="1131" w:type="dxa"/>
            <w:noWrap/>
            <w:hideMark/>
          </w:tcPr>
          <w:p w14:paraId="1861335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1.629</w:t>
            </w:r>
          </w:p>
        </w:tc>
        <w:tc>
          <w:tcPr>
            <w:tcW w:w="1099" w:type="dxa"/>
            <w:noWrap/>
            <w:hideMark/>
          </w:tcPr>
          <w:p w14:paraId="63FB2B6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-4.441</w:t>
            </w:r>
          </w:p>
        </w:tc>
        <w:tc>
          <w:tcPr>
            <w:tcW w:w="953" w:type="dxa"/>
            <w:noWrap/>
            <w:hideMark/>
          </w:tcPr>
          <w:p w14:paraId="35BDF5D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4.864</w:t>
            </w:r>
          </w:p>
        </w:tc>
        <w:tc>
          <w:tcPr>
            <w:tcW w:w="766" w:type="dxa"/>
            <w:noWrap/>
            <w:hideMark/>
          </w:tcPr>
          <w:p w14:paraId="538D6C5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-4.158</w:t>
            </w:r>
          </w:p>
        </w:tc>
        <w:tc>
          <w:tcPr>
            <w:tcW w:w="966" w:type="dxa"/>
            <w:noWrap/>
            <w:hideMark/>
          </w:tcPr>
          <w:p w14:paraId="7381E54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0.054</w:t>
            </w:r>
          </w:p>
        </w:tc>
        <w:tc>
          <w:tcPr>
            <w:tcW w:w="966" w:type="dxa"/>
            <w:tcBorders>
              <w:right w:val="single" w:sz="4" w:space="0" w:color="auto"/>
            </w:tcBorders>
            <w:noWrap/>
            <w:hideMark/>
          </w:tcPr>
          <w:p w14:paraId="59468E7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4.218</w:t>
            </w:r>
          </w:p>
        </w:tc>
      </w:tr>
      <w:tr w:rsidR="00071AF6" w:rsidRPr="00A9015F" w14:paraId="2824D92E" w14:textId="77777777" w:rsidTr="00DE7639">
        <w:trPr>
          <w:trHeight w:val="187"/>
        </w:trPr>
        <w:tc>
          <w:tcPr>
            <w:tcW w:w="1555" w:type="dxa"/>
            <w:tcBorders>
              <w:left w:val="single" w:sz="4" w:space="0" w:color="auto"/>
            </w:tcBorders>
            <w:noWrap/>
            <w:hideMark/>
          </w:tcPr>
          <w:p w14:paraId="03F18B3A"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Board Independence</w:t>
            </w:r>
          </w:p>
        </w:tc>
        <w:tc>
          <w:tcPr>
            <w:tcW w:w="728" w:type="dxa"/>
            <w:noWrap/>
            <w:hideMark/>
          </w:tcPr>
          <w:p w14:paraId="6476D63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3E04B18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0.816</w:t>
            </w:r>
          </w:p>
        </w:tc>
        <w:tc>
          <w:tcPr>
            <w:tcW w:w="1131" w:type="dxa"/>
            <w:noWrap/>
            <w:hideMark/>
          </w:tcPr>
          <w:p w14:paraId="551C0D8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0.106</w:t>
            </w:r>
          </w:p>
        </w:tc>
        <w:tc>
          <w:tcPr>
            <w:tcW w:w="1099" w:type="dxa"/>
            <w:noWrap/>
            <w:hideMark/>
          </w:tcPr>
          <w:p w14:paraId="3040647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0.385</w:t>
            </w:r>
          </w:p>
        </w:tc>
        <w:tc>
          <w:tcPr>
            <w:tcW w:w="953" w:type="dxa"/>
            <w:noWrap/>
            <w:hideMark/>
          </w:tcPr>
          <w:p w14:paraId="315BE4D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w:t>
            </w:r>
          </w:p>
        </w:tc>
        <w:tc>
          <w:tcPr>
            <w:tcW w:w="766" w:type="dxa"/>
            <w:noWrap/>
            <w:hideMark/>
          </w:tcPr>
          <w:p w14:paraId="2D66758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0.769</w:t>
            </w:r>
          </w:p>
        </w:tc>
        <w:tc>
          <w:tcPr>
            <w:tcW w:w="966" w:type="dxa"/>
            <w:noWrap/>
            <w:hideMark/>
          </w:tcPr>
          <w:p w14:paraId="4EB8889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0.846</w:t>
            </w:r>
          </w:p>
        </w:tc>
        <w:tc>
          <w:tcPr>
            <w:tcW w:w="966" w:type="dxa"/>
            <w:tcBorders>
              <w:right w:val="single" w:sz="4" w:space="0" w:color="auto"/>
            </w:tcBorders>
            <w:noWrap/>
            <w:hideMark/>
          </w:tcPr>
          <w:p w14:paraId="185C4DE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0.90</w:t>
            </w:r>
          </w:p>
        </w:tc>
      </w:tr>
      <w:tr w:rsidR="00071AF6" w:rsidRPr="00A9015F" w14:paraId="1013F74F" w14:textId="77777777" w:rsidTr="00DE7639">
        <w:trPr>
          <w:trHeight w:val="187"/>
        </w:trPr>
        <w:tc>
          <w:tcPr>
            <w:tcW w:w="1555" w:type="dxa"/>
            <w:tcBorders>
              <w:left w:val="single" w:sz="4" w:space="0" w:color="auto"/>
            </w:tcBorders>
            <w:noWrap/>
            <w:hideMark/>
          </w:tcPr>
          <w:p w14:paraId="28AC79C7"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Board Size</w:t>
            </w:r>
          </w:p>
        </w:tc>
        <w:tc>
          <w:tcPr>
            <w:tcW w:w="728" w:type="dxa"/>
            <w:noWrap/>
            <w:hideMark/>
          </w:tcPr>
          <w:p w14:paraId="7BC8866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56D8353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12.416</w:t>
            </w:r>
          </w:p>
        </w:tc>
        <w:tc>
          <w:tcPr>
            <w:tcW w:w="1131" w:type="dxa"/>
            <w:noWrap/>
            <w:hideMark/>
          </w:tcPr>
          <w:p w14:paraId="3F7D7FA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3.159</w:t>
            </w:r>
          </w:p>
        </w:tc>
        <w:tc>
          <w:tcPr>
            <w:tcW w:w="1099" w:type="dxa"/>
            <w:noWrap/>
            <w:hideMark/>
          </w:tcPr>
          <w:p w14:paraId="4C97F8B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6</w:t>
            </w:r>
          </w:p>
        </w:tc>
        <w:tc>
          <w:tcPr>
            <w:tcW w:w="953" w:type="dxa"/>
            <w:noWrap/>
            <w:hideMark/>
          </w:tcPr>
          <w:p w14:paraId="7D2E9C9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28</w:t>
            </w:r>
          </w:p>
        </w:tc>
        <w:tc>
          <w:tcPr>
            <w:tcW w:w="766" w:type="dxa"/>
            <w:noWrap/>
            <w:hideMark/>
          </w:tcPr>
          <w:p w14:paraId="003B1C1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10</w:t>
            </w:r>
          </w:p>
        </w:tc>
        <w:tc>
          <w:tcPr>
            <w:tcW w:w="966" w:type="dxa"/>
            <w:noWrap/>
            <w:hideMark/>
          </w:tcPr>
          <w:p w14:paraId="76B144F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12</w:t>
            </w:r>
          </w:p>
        </w:tc>
        <w:tc>
          <w:tcPr>
            <w:tcW w:w="966" w:type="dxa"/>
            <w:tcBorders>
              <w:right w:val="single" w:sz="4" w:space="0" w:color="auto"/>
            </w:tcBorders>
            <w:noWrap/>
            <w:hideMark/>
          </w:tcPr>
          <w:p w14:paraId="09AEC04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14</w:t>
            </w:r>
          </w:p>
        </w:tc>
      </w:tr>
      <w:tr w:rsidR="00071AF6" w:rsidRPr="00A9015F" w14:paraId="59A62868" w14:textId="77777777" w:rsidTr="00DE7639">
        <w:trPr>
          <w:trHeight w:val="187"/>
        </w:trPr>
        <w:tc>
          <w:tcPr>
            <w:tcW w:w="1555" w:type="dxa"/>
            <w:tcBorders>
              <w:left w:val="single" w:sz="4" w:space="0" w:color="auto"/>
            </w:tcBorders>
            <w:noWrap/>
            <w:hideMark/>
          </w:tcPr>
          <w:p w14:paraId="6903410D"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Log of Board Size</w:t>
            </w:r>
          </w:p>
        </w:tc>
        <w:tc>
          <w:tcPr>
            <w:tcW w:w="728" w:type="dxa"/>
            <w:noWrap/>
            <w:hideMark/>
          </w:tcPr>
          <w:p w14:paraId="3CE3882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7FEA563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2.569</w:t>
            </w:r>
          </w:p>
        </w:tc>
        <w:tc>
          <w:tcPr>
            <w:tcW w:w="1131" w:type="dxa"/>
            <w:noWrap/>
            <w:hideMark/>
          </w:tcPr>
          <w:p w14:paraId="5BFA825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0.233</w:t>
            </w:r>
          </w:p>
        </w:tc>
        <w:tc>
          <w:tcPr>
            <w:tcW w:w="1099" w:type="dxa"/>
            <w:noWrap/>
            <w:hideMark/>
          </w:tcPr>
          <w:p w14:paraId="34669E3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1.946</w:t>
            </w:r>
          </w:p>
        </w:tc>
        <w:tc>
          <w:tcPr>
            <w:tcW w:w="953" w:type="dxa"/>
            <w:noWrap/>
            <w:hideMark/>
          </w:tcPr>
          <w:p w14:paraId="5FD08BA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3.367</w:t>
            </w:r>
          </w:p>
        </w:tc>
        <w:tc>
          <w:tcPr>
            <w:tcW w:w="766" w:type="dxa"/>
            <w:noWrap/>
            <w:hideMark/>
          </w:tcPr>
          <w:p w14:paraId="5E8B7B0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2.397</w:t>
            </w:r>
          </w:p>
        </w:tc>
        <w:tc>
          <w:tcPr>
            <w:tcW w:w="966" w:type="dxa"/>
            <w:noWrap/>
            <w:hideMark/>
          </w:tcPr>
          <w:p w14:paraId="27FBE68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2.564</w:t>
            </w:r>
          </w:p>
        </w:tc>
        <w:tc>
          <w:tcPr>
            <w:tcW w:w="966" w:type="dxa"/>
            <w:tcBorders>
              <w:right w:val="single" w:sz="4" w:space="0" w:color="auto"/>
            </w:tcBorders>
            <w:noWrap/>
            <w:hideMark/>
          </w:tcPr>
          <w:p w14:paraId="05C7B63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2.708</w:t>
            </w:r>
          </w:p>
        </w:tc>
      </w:tr>
      <w:tr w:rsidR="00071AF6" w:rsidRPr="00A9015F" w14:paraId="10AE77E0" w14:textId="77777777" w:rsidTr="00DE7639">
        <w:trPr>
          <w:trHeight w:val="187"/>
        </w:trPr>
        <w:tc>
          <w:tcPr>
            <w:tcW w:w="1555" w:type="dxa"/>
            <w:tcBorders>
              <w:left w:val="single" w:sz="4" w:space="0" w:color="auto"/>
            </w:tcBorders>
            <w:noWrap/>
            <w:hideMark/>
          </w:tcPr>
          <w:p w14:paraId="5669021C"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CEO Tenure</w:t>
            </w:r>
          </w:p>
        </w:tc>
        <w:tc>
          <w:tcPr>
            <w:tcW w:w="728" w:type="dxa"/>
            <w:noWrap/>
            <w:hideMark/>
          </w:tcPr>
          <w:p w14:paraId="1582CE5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1,071</w:t>
            </w:r>
          </w:p>
        </w:tc>
        <w:tc>
          <w:tcPr>
            <w:tcW w:w="1292" w:type="dxa"/>
            <w:noWrap/>
            <w:hideMark/>
          </w:tcPr>
          <w:p w14:paraId="5632446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1.195</w:t>
            </w:r>
          </w:p>
        </w:tc>
        <w:tc>
          <w:tcPr>
            <w:tcW w:w="1131" w:type="dxa"/>
            <w:noWrap/>
            <w:hideMark/>
          </w:tcPr>
          <w:p w14:paraId="6177261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1.116</w:t>
            </w:r>
          </w:p>
        </w:tc>
        <w:tc>
          <w:tcPr>
            <w:tcW w:w="1099" w:type="dxa"/>
            <w:noWrap/>
            <w:hideMark/>
          </w:tcPr>
          <w:p w14:paraId="32FD382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-2.302</w:t>
            </w:r>
          </w:p>
        </w:tc>
        <w:tc>
          <w:tcPr>
            <w:tcW w:w="953" w:type="dxa"/>
            <w:noWrap/>
            <w:hideMark/>
          </w:tcPr>
          <w:p w14:paraId="37608E1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3.292</w:t>
            </w:r>
          </w:p>
        </w:tc>
        <w:tc>
          <w:tcPr>
            <w:tcW w:w="766" w:type="dxa"/>
            <w:noWrap/>
            <w:hideMark/>
          </w:tcPr>
          <w:p w14:paraId="0E387C6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0.530</w:t>
            </w:r>
          </w:p>
        </w:tc>
        <w:tc>
          <w:tcPr>
            <w:tcW w:w="966" w:type="dxa"/>
            <w:noWrap/>
            <w:hideMark/>
          </w:tcPr>
          <w:p w14:paraId="28091FA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1.360</w:t>
            </w:r>
          </w:p>
        </w:tc>
        <w:tc>
          <w:tcPr>
            <w:tcW w:w="966" w:type="dxa"/>
            <w:tcBorders>
              <w:right w:val="single" w:sz="4" w:space="0" w:color="auto"/>
            </w:tcBorders>
            <w:noWrap/>
            <w:hideMark/>
          </w:tcPr>
          <w:p w14:paraId="0111531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2.041</w:t>
            </w:r>
          </w:p>
        </w:tc>
      </w:tr>
      <w:tr w:rsidR="00071AF6" w:rsidRPr="00A9015F" w14:paraId="2E1F3D3A" w14:textId="77777777" w:rsidTr="00DE7639">
        <w:trPr>
          <w:trHeight w:val="187"/>
        </w:trPr>
        <w:tc>
          <w:tcPr>
            <w:tcW w:w="1555" w:type="dxa"/>
            <w:tcBorders>
              <w:left w:val="single" w:sz="4" w:space="0" w:color="auto"/>
            </w:tcBorders>
            <w:noWrap/>
            <w:hideMark/>
          </w:tcPr>
          <w:p w14:paraId="103974EA" w14:textId="11DDD25D"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CEO Duality</w:t>
            </w:r>
          </w:p>
        </w:tc>
        <w:tc>
          <w:tcPr>
            <w:tcW w:w="728" w:type="dxa"/>
            <w:noWrap/>
            <w:hideMark/>
          </w:tcPr>
          <w:p w14:paraId="0746FE4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4994B92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0.621</w:t>
            </w:r>
          </w:p>
        </w:tc>
        <w:tc>
          <w:tcPr>
            <w:tcW w:w="1131" w:type="dxa"/>
            <w:noWrap/>
            <w:hideMark/>
          </w:tcPr>
          <w:p w14:paraId="698FCB7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0.485</w:t>
            </w:r>
          </w:p>
        </w:tc>
        <w:tc>
          <w:tcPr>
            <w:tcW w:w="1099" w:type="dxa"/>
            <w:noWrap/>
            <w:hideMark/>
          </w:tcPr>
          <w:p w14:paraId="4C7DA8E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0BC4F4B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w:t>
            </w:r>
          </w:p>
        </w:tc>
        <w:tc>
          <w:tcPr>
            <w:tcW w:w="766" w:type="dxa"/>
            <w:noWrap/>
            <w:hideMark/>
          </w:tcPr>
          <w:p w14:paraId="1DEBF72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noWrap/>
            <w:hideMark/>
          </w:tcPr>
          <w:p w14:paraId="0076612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w:t>
            </w:r>
          </w:p>
        </w:tc>
        <w:tc>
          <w:tcPr>
            <w:tcW w:w="966" w:type="dxa"/>
            <w:tcBorders>
              <w:right w:val="single" w:sz="4" w:space="0" w:color="auto"/>
            </w:tcBorders>
            <w:noWrap/>
            <w:hideMark/>
          </w:tcPr>
          <w:p w14:paraId="5878D20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w:t>
            </w:r>
          </w:p>
        </w:tc>
      </w:tr>
      <w:tr w:rsidR="00071AF6" w:rsidRPr="00A9015F" w14:paraId="6AC534B6" w14:textId="77777777" w:rsidTr="00DE7639">
        <w:trPr>
          <w:trHeight w:val="187"/>
        </w:trPr>
        <w:tc>
          <w:tcPr>
            <w:tcW w:w="1555" w:type="dxa"/>
            <w:tcBorders>
              <w:left w:val="single" w:sz="4" w:space="0" w:color="auto"/>
            </w:tcBorders>
            <w:noWrap/>
            <w:hideMark/>
          </w:tcPr>
          <w:p w14:paraId="7F7CACB6"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ROA</w:t>
            </w:r>
          </w:p>
        </w:tc>
        <w:tc>
          <w:tcPr>
            <w:tcW w:w="728" w:type="dxa"/>
            <w:noWrap/>
            <w:hideMark/>
          </w:tcPr>
          <w:p w14:paraId="6CFACFB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6D001E7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0.009</w:t>
            </w:r>
          </w:p>
        </w:tc>
        <w:tc>
          <w:tcPr>
            <w:tcW w:w="1131" w:type="dxa"/>
            <w:noWrap/>
            <w:hideMark/>
          </w:tcPr>
          <w:p w14:paraId="389D738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0.017</w:t>
            </w:r>
          </w:p>
        </w:tc>
        <w:tc>
          <w:tcPr>
            <w:tcW w:w="1099" w:type="dxa"/>
            <w:noWrap/>
            <w:hideMark/>
          </w:tcPr>
          <w:p w14:paraId="0B64DF3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-0.161</w:t>
            </w:r>
          </w:p>
        </w:tc>
        <w:tc>
          <w:tcPr>
            <w:tcW w:w="953" w:type="dxa"/>
            <w:noWrap/>
            <w:hideMark/>
          </w:tcPr>
          <w:p w14:paraId="37D472D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0.172</w:t>
            </w:r>
          </w:p>
        </w:tc>
        <w:tc>
          <w:tcPr>
            <w:tcW w:w="766" w:type="dxa"/>
            <w:noWrap/>
            <w:hideMark/>
          </w:tcPr>
          <w:p w14:paraId="6C47440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0.007</w:t>
            </w:r>
          </w:p>
        </w:tc>
        <w:tc>
          <w:tcPr>
            <w:tcW w:w="966" w:type="dxa"/>
            <w:noWrap/>
            <w:hideMark/>
          </w:tcPr>
          <w:p w14:paraId="0508AB4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0.008</w:t>
            </w:r>
          </w:p>
        </w:tc>
        <w:tc>
          <w:tcPr>
            <w:tcW w:w="966" w:type="dxa"/>
            <w:tcBorders>
              <w:right w:val="single" w:sz="4" w:space="0" w:color="auto"/>
            </w:tcBorders>
            <w:noWrap/>
            <w:hideMark/>
          </w:tcPr>
          <w:p w14:paraId="389FEFF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0.121</w:t>
            </w:r>
          </w:p>
        </w:tc>
      </w:tr>
      <w:tr w:rsidR="00071AF6" w:rsidRPr="00A9015F" w14:paraId="3339623A" w14:textId="77777777" w:rsidTr="00DE7639">
        <w:trPr>
          <w:trHeight w:val="187"/>
        </w:trPr>
        <w:tc>
          <w:tcPr>
            <w:tcW w:w="1555" w:type="dxa"/>
            <w:tcBorders>
              <w:left w:val="single" w:sz="4" w:space="0" w:color="auto"/>
            </w:tcBorders>
            <w:noWrap/>
            <w:hideMark/>
          </w:tcPr>
          <w:p w14:paraId="2A84187D"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Total Assets</w:t>
            </w:r>
          </w:p>
        </w:tc>
        <w:tc>
          <w:tcPr>
            <w:tcW w:w="728" w:type="dxa"/>
            <w:noWrap/>
            <w:hideMark/>
          </w:tcPr>
          <w:p w14:paraId="28AC3C5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7292BF2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15723</w:t>
            </w:r>
          </w:p>
        </w:tc>
        <w:tc>
          <w:tcPr>
            <w:tcW w:w="1131" w:type="dxa"/>
            <w:noWrap/>
            <w:hideMark/>
          </w:tcPr>
          <w:p w14:paraId="02BBF8D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465756.1</w:t>
            </w:r>
          </w:p>
        </w:tc>
        <w:tc>
          <w:tcPr>
            <w:tcW w:w="1099" w:type="dxa"/>
            <w:noWrap/>
            <w:hideMark/>
          </w:tcPr>
          <w:p w14:paraId="0045F01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942.094</w:t>
            </w:r>
          </w:p>
        </w:tc>
        <w:tc>
          <w:tcPr>
            <w:tcW w:w="953" w:type="dxa"/>
            <w:noWrap/>
            <w:hideMark/>
          </w:tcPr>
          <w:p w14:paraId="1618DE6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3386071</w:t>
            </w:r>
          </w:p>
        </w:tc>
        <w:tc>
          <w:tcPr>
            <w:tcW w:w="766" w:type="dxa"/>
            <w:noWrap/>
            <w:hideMark/>
          </w:tcPr>
          <w:p w14:paraId="5319E94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5321.1</w:t>
            </w:r>
          </w:p>
        </w:tc>
        <w:tc>
          <w:tcPr>
            <w:tcW w:w="966" w:type="dxa"/>
            <w:noWrap/>
            <w:hideMark/>
          </w:tcPr>
          <w:p w14:paraId="2417827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13497.88</w:t>
            </w:r>
          </w:p>
        </w:tc>
        <w:tc>
          <w:tcPr>
            <w:tcW w:w="966" w:type="dxa"/>
            <w:tcBorders>
              <w:right w:val="single" w:sz="4" w:space="0" w:color="auto"/>
            </w:tcBorders>
            <w:noWrap/>
            <w:hideMark/>
          </w:tcPr>
          <w:p w14:paraId="34F4ED1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57208.87</w:t>
            </w:r>
          </w:p>
        </w:tc>
      </w:tr>
      <w:tr w:rsidR="00071AF6" w:rsidRPr="00A9015F" w14:paraId="4F784F1B" w14:textId="77777777" w:rsidTr="00DE7639">
        <w:trPr>
          <w:trHeight w:val="187"/>
        </w:trPr>
        <w:tc>
          <w:tcPr>
            <w:tcW w:w="1555" w:type="dxa"/>
            <w:tcBorders>
              <w:left w:val="single" w:sz="4" w:space="0" w:color="auto"/>
            </w:tcBorders>
            <w:noWrap/>
            <w:hideMark/>
          </w:tcPr>
          <w:p w14:paraId="3B7A2C1A"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Log of TA</w:t>
            </w:r>
          </w:p>
        </w:tc>
        <w:tc>
          <w:tcPr>
            <w:tcW w:w="728" w:type="dxa"/>
            <w:noWrap/>
            <w:hideMark/>
          </w:tcPr>
          <w:p w14:paraId="58FAC3E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273A425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9.905</w:t>
            </w:r>
          </w:p>
        </w:tc>
        <w:tc>
          <w:tcPr>
            <w:tcW w:w="1131" w:type="dxa"/>
            <w:noWrap/>
            <w:hideMark/>
          </w:tcPr>
          <w:p w14:paraId="010F0F9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1.812</w:t>
            </w:r>
          </w:p>
        </w:tc>
        <w:tc>
          <w:tcPr>
            <w:tcW w:w="1099" w:type="dxa"/>
            <w:noWrap/>
            <w:hideMark/>
          </w:tcPr>
          <w:p w14:paraId="39D6F35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6.849</w:t>
            </w:r>
          </w:p>
        </w:tc>
        <w:tc>
          <w:tcPr>
            <w:tcW w:w="953" w:type="dxa"/>
            <w:noWrap/>
            <w:hideMark/>
          </w:tcPr>
          <w:p w14:paraId="064253B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15.035</w:t>
            </w:r>
          </w:p>
        </w:tc>
        <w:tc>
          <w:tcPr>
            <w:tcW w:w="766" w:type="dxa"/>
            <w:noWrap/>
            <w:hideMark/>
          </w:tcPr>
          <w:p w14:paraId="39930D4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8.579</w:t>
            </w:r>
          </w:p>
        </w:tc>
        <w:tc>
          <w:tcPr>
            <w:tcW w:w="966" w:type="dxa"/>
            <w:noWrap/>
            <w:hideMark/>
          </w:tcPr>
          <w:p w14:paraId="5971C05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9.510</w:t>
            </w:r>
          </w:p>
        </w:tc>
        <w:tc>
          <w:tcPr>
            <w:tcW w:w="966" w:type="dxa"/>
            <w:tcBorders>
              <w:right w:val="single" w:sz="4" w:space="0" w:color="auto"/>
            </w:tcBorders>
            <w:noWrap/>
            <w:hideMark/>
          </w:tcPr>
          <w:p w14:paraId="7BED08D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10.954</w:t>
            </w:r>
          </w:p>
        </w:tc>
      </w:tr>
      <w:tr w:rsidR="00071AF6" w:rsidRPr="00A9015F" w14:paraId="32BD9BA5" w14:textId="77777777" w:rsidTr="00DE7639">
        <w:trPr>
          <w:trHeight w:val="187"/>
        </w:trPr>
        <w:tc>
          <w:tcPr>
            <w:tcW w:w="1555" w:type="dxa"/>
            <w:tcBorders>
              <w:left w:val="single" w:sz="4" w:space="0" w:color="auto"/>
            </w:tcBorders>
            <w:noWrap/>
            <w:hideMark/>
          </w:tcPr>
          <w:p w14:paraId="557FB186"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Leverage to TA</w:t>
            </w:r>
          </w:p>
        </w:tc>
        <w:tc>
          <w:tcPr>
            <w:tcW w:w="728" w:type="dxa"/>
            <w:noWrap/>
            <w:hideMark/>
          </w:tcPr>
          <w:p w14:paraId="1ECA3F0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4FE148E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0.008</w:t>
            </w:r>
          </w:p>
        </w:tc>
        <w:tc>
          <w:tcPr>
            <w:tcW w:w="1131" w:type="dxa"/>
            <w:noWrap/>
            <w:hideMark/>
          </w:tcPr>
          <w:p w14:paraId="10B6EA2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0.049</w:t>
            </w:r>
          </w:p>
        </w:tc>
        <w:tc>
          <w:tcPr>
            <w:tcW w:w="1099" w:type="dxa"/>
            <w:noWrap/>
            <w:hideMark/>
          </w:tcPr>
          <w:p w14:paraId="544206B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0408F3A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0.563</w:t>
            </w:r>
          </w:p>
        </w:tc>
        <w:tc>
          <w:tcPr>
            <w:tcW w:w="766" w:type="dxa"/>
            <w:noWrap/>
            <w:hideMark/>
          </w:tcPr>
          <w:p w14:paraId="667703B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noWrap/>
            <w:hideMark/>
          </w:tcPr>
          <w:p w14:paraId="7ED72F7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tcBorders>
              <w:right w:val="single" w:sz="4" w:space="0" w:color="auto"/>
            </w:tcBorders>
            <w:noWrap/>
            <w:hideMark/>
          </w:tcPr>
          <w:p w14:paraId="2045D9B4"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r>
      <w:tr w:rsidR="00071AF6" w:rsidRPr="00A9015F" w14:paraId="0CBF3336" w14:textId="77777777" w:rsidTr="00DE7639">
        <w:trPr>
          <w:trHeight w:val="187"/>
        </w:trPr>
        <w:tc>
          <w:tcPr>
            <w:tcW w:w="1555" w:type="dxa"/>
            <w:tcBorders>
              <w:left w:val="single" w:sz="4" w:space="0" w:color="auto"/>
            </w:tcBorders>
            <w:noWrap/>
          </w:tcPr>
          <w:p w14:paraId="2F08C6D5"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Charter Value</w:t>
            </w:r>
          </w:p>
        </w:tc>
        <w:tc>
          <w:tcPr>
            <w:tcW w:w="728" w:type="dxa"/>
            <w:noWrap/>
          </w:tcPr>
          <w:p w14:paraId="7EC0B49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tcPr>
          <w:p w14:paraId="41DBFAB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0.147</w:t>
            </w:r>
          </w:p>
        </w:tc>
        <w:tc>
          <w:tcPr>
            <w:tcW w:w="1131" w:type="dxa"/>
            <w:noWrap/>
          </w:tcPr>
          <w:p w14:paraId="2F2D0DE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0.097</w:t>
            </w:r>
          </w:p>
        </w:tc>
        <w:tc>
          <w:tcPr>
            <w:tcW w:w="1099" w:type="dxa"/>
            <w:noWrap/>
          </w:tcPr>
          <w:p w14:paraId="6E7A1F5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tcPr>
          <w:p w14:paraId="5E114C0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1.531</w:t>
            </w:r>
          </w:p>
        </w:tc>
        <w:tc>
          <w:tcPr>
            <w:tcW w:w="766" w:type="dxa"/>
            <w:noWrap/>
          </w:tcPr>
          <w:p w14:paraId="589FB43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66" w:type="dxa"/>
            <w:noWrap/>
          </w:tcPr>
          <w:p w14:paraId="01D26B5F"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0.139</w:t>
            </w:r>
          </w:p>
        </w:tc>
        <w:tc>
          <w:tcPr>
            <w:tcW w:w="966" w:type="dxa"/>
            <w:tcBorders>
              <w:right w:val="single" w:sz="4" w:space="0" w:color="auto"/>
            </w:tcBorders>
            <w:noWrap/>
          </w:tcPr>
          <w:p w14:paraId="006DBB8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0.945</w:t>
            </w:r>
          </w:p>
        </w:tc>
      </w:tr>
      <w:tr w:rsidR="00071AF6" w:rsidRPr="00A9015F" w14:paraId="70978739" w14:textId="77777777" w:rsidTr="00DE7639">
        <w:trPr>
          <w:trHeight w:val="187"/>
        </w:trPr>
        <w:tc>
          <w:tcPr>
            <w:tcW w:w="1555" w:type="dxa"/>
            <w:tcBorders>
              <w:left w:val="single" w:sz="4" w:space="0" w:color="auto"/>
            </w:tcBorders>
            <w:noWrap/>
            <w:hideMark/>
          </w:tcPr>
          <w:p w14:paraId="1E1C65F2" w14:textId="05DBF282"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Capital</w:t>
            </w:r>
          </w:p>
        </w:tc>
        <w:tc>
          <w:tcPr>
            <w:tcW w:w="728" w:type="dxa"/>
            <w:noWrap/>
            <w:hideMark/>
          </w:tcPr>
          <w:p w14:paraId="427FB8A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38DAE1F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11.575</w:t>
            </w:r>
          </w:p>
        </w:tc>
        <w:tc>
          <w:tcPr>
            <w:tcW w:w="1131" w:type="dxa"/>
            <w:noWrap/>
            <w:hideMark/>
          </w:tcPr>
          <w:p w14:paraId="401C772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3.373</w:t>
            </w:r>
          </w:p>
        </w:tc>
        <w:tc>
          <w:tcPr>
            <w:tcW w:w="1099" w:type="dxa"/>
            <w:noWrap/>
            <w:hideMark/>
          </w:tcPr>
          <w:p w14:paraId="1F1427F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634E719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25.67</w:t>
            </w:r>
          </w:p>
        </w:tc>
        <w:tc>
          <w:tcPr>
            <w:tcW w:w="766" w:type="dxa"/>
            <w:noWrap/>
            <w:hideMark/>
          </w:tcPr>
          <w:p w14:paraId="5369A56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10.09</w:t>
            </w:r>
          </w:p>
        </w:tc>
        <w:tc>
          <w:tcPr>
            <w:tcW w:w="966" w:type="dxa"/>
            <w:noWrap/>
            <w:hideMark/>
          </w:tcPr>
          <w:p w14:paraId="16FAFC38"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11.68</w:t>
            </w:r>
          </w:p>
        </w:tc>
        <w:tc>
          <w:tcPr>
            <w:tcW w:w="966" w:type="dxa"/>
            <w:tcBorders>
              <w:right w:val="single" w:sz="4" w:space="0" w:color="auto"/>
            </w:tcBorders>
            <w:noWrap/>
            <w:hideMark/>
          </w:tcPr>
          <w:p w14:paraId="35AAB2BB"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13.3</w:t>
            </w:r>
          </w:p>
        </w:tc>
      </w:tr>
      <w:tr w:rsidR="00071AF6" w:rsidRPr="00A9015F" w14:paraId="585282CA" w14:textId="77777777" w:rsidTr="00DE7639">
        <w:trPr>
          <w:trHeight w:val="187"/>
        </w:trPr>
        <w:tc>
          <w:tcPr>
            <w:tcW w:w="1555" w:type="dxa"/>
            <w:tcBorders>
              <w:left w:val="single" w:sz="4" w:space="0" w:color="auto"/>
            </w:tcBorders>
            <w:noWrap/>
            <w:hideMark/>
          </w:tcPr>
          <w:p w14:paraId="002B8701" w14:textId="77777777" w:rsidR="00071AF6" w:rsidRPr="00A9015F" w:rsidRDefault="00071AF6" w:rsidP="001278ED">
            <w:pPr>
              <w:spacing w:after="160" w:line="259" w:lineRule="auto"/>
              <w:jc w:val="both"/>
              <w:rPr>
                <w:rFonts w:ascii="Times New Roman" w:hAnsi="Times New Roman"/>
                <w:sz w:val="20"/>
                <w:szCs w:val="20"/>
              </w:rPr>
            </w:pPr>
            <w:r w:rsidRPr="00A9015F">
              <w:rPr>
                <w:rFonts w:ascii="Times New Roman" w:hAnsi="Times New Roman"/>
                <w:sz w:val="20"/>
                <w:szCs w:val="20"/>
              </w:rPr>
              <w:t>Risk</w:t>
            </w:r>
          </w:p>
        </w:tc>
        <w:tc>
          <w:tcPr>
            <w:tcW w:w="728" w:type="dxa"/>
            <w:noWrap/>
            <w:hideMark/>
          </w:tcPr>
          <w:p w14:paraId="20E6D70E"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1,103</w:t>
            </w:r>
          </w:p>
        </w:tc>
        <w:tc>
          <w:tcPr>
            <w:tcW w:w="1292" w:type="dxa"/>
            <w:noWrap/>
            <w:hideMark/>
          </w:tcPr>
          <w:p w14:paraId="52D4F593"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0.011</w:t>
            </w:r>
          </w:p>
        </w:tc>
        <w:tc>
          <w:tcPr>
            <w:tcW w:w="1131" w:type="dxa"/>
            <w:noWrap/>
            <w:hideMark/>
          </w:tcPr>
          <w:p w14:paraId="4EDDE730"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0.014</w:t>
            </w:r>
          </w:p>
        </w:tc>
        <w:tc>
          <w:tcPr>
            <w:tcW w:w="1099" w:type="dxa"/>
            <w:noWrap/>
            <w:hideMark/>
          </w:tcPr>
          <w:p w14:paraId="31FAEDA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w:t>
            </w:r>
          </w:p>
        </w:tc>
        <w:tc>
          <w:tcPr>
            <w:tcW w:w="953" w:type="dxa"/>
            <w:noWrap/>
            <w:hideMark/>
          </w:tcPr>
          <w:p w14:paraId="027C425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0.145</w:t>
            </w:r>
          </w:p>
        </w:tc>
        <w:tc>
          <w:tcPr>
            <w:tcW w:w="766" w:type="dxa"/>
            <w:noWrap/>
            <w:hideMark/>
          </w:tcPr>
          <w:p w14:paraId="7409C431"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0.003</w:t>
            </w:r>
          </w:p>
        </w:tc>
        <w:tc>
          <w:tcPr>
            <w:tcW w:w="966" w:type="dxa"/>
            <w:noWrap/>
            <w:hideMark/>
          </w:tcPr>
          <w:p w14:paraId="35B87BA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0.006</w:t>
            </w:r>
          </w:p>
        </w:tc>
        <w:tc>
          <w:tcPr>
            <w:tcW w:w="966" w:type="dxa"/>
            <w:tcBorders>
              <w:right w:val="single" w:sz="4" w:space="0" w:color="auto"/>
            </w:tcBorders>
            <w:noWrap/>
            <w:hideMark/>
          </w:tcPr>
          <w:p w14:paraId="016D473C"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0.013</w:t>
            </w:r>
          </w:p>
        </w:tc>
      </w:tr>
      <w:tr w:rsidR="00071AF6" w:rsidRPr="00A9015F" w14:paraId="57E6035E" w14:textId="77777777" w:rsidTr="00DE7639">
        <w:trPr>
          <w:trHeight w:val="187"/>
        </w:trPr>
        <w:tc>
          <w:tcPr>
            <w:tcW w:w="1555" w:type="dxa"/>
            <w:tcBorders>
              <w:left w:val="single" w:sz="4" w:space="0" w:color="auto"/>
              <w:bottom w:val="single" w:sz="4" w:space="0" w:color="auto"/>
            </w:tcBorders>
            <w:noWrap/>
            <w:hideMark/>
          </w:tcPr>
          <w:p w14:paraId="70706FD9"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Growth</w:t>
            </w:r>
          </w:p>
        </w:tc>
        <w:tc>
          <w:tcPr>
            <w:tcW w:w="728" w:type="dxa"/>
            <w:tcBorders>
              <w:bottom w:val="single" w:sz="4" w:space="0" w:color="auto"/>
            </w:tcBorders>
            <w:noWrap/>
            <w:hideMark/>
          </w:tcPr>
          <w:p w14:paraId="247FD5C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1,034</w:t>
            </w:r>
          </w:p>
        </w:tc>
        <w:tc>
          <w:tcPr>
            <w:tcW w:w="1292" w:type="dxa"/>
            <w:tcBorders>
              <w:bottom w:val="single" w:sz="4" w:space="0" w:color="auto"/>
            </w:tcBorders>
            <w:noWrap/>
            <w:hideMark/>
          </w:tcPr>
          <w:p w14:paraId="573966E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-0.008</w:t>
            </w:r>
          </w:p>
        </w:tc>
        <w:tc>
          <w:tcPr>
            <w:tcW w:w="1131" w:type="dxa"/>
            <w:tcBorders>
              <w:bottom w:val="single" w:sz="4" w:space="0" w:color="auto"/>
            </w:tcBorders>
            <w:noWrap/>
            <w:hideMark/>
          </w:tcPr>
          <w:p w14:paraId="502D4817"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0.013</w:t>
            </w:r>
          </w:p>
        </w:tc>
        <w:tc>
          <w:tcPr>
            <w:tcW w:w="1099" w:type="dxa"/>
            <w:tcBorders>
              <w:bottom w:val="single" w:sz="4" w:space="0" w:color="auto"/>
            </w:tcBorders>
            <w:noWrap/>
            <w:hideMark/>
          </w:tcPr>
          <w:p w14:paraId="74337F95"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-0.094</w:t>
            </w:r>
          </w:p>
        </w:tc>
        <w:tc>
          <w:tcPr>
            <w:tcW w:w="953" w:type="dxa"/>
            <w:tcBorders>
              <w:bottom w:val="single" w:sz="4" w:space="0" w:color="auto"/>
            </w:tcBorders>
            <w:noWrap/>
            <w:hideMark/>
          </w:tcPr>
          <w:p w14:paraId="76B2602D"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0.044</w:t>
            </w:r>
          </w:p>
        </w:tc>
        <w:tc>
          <w:tcPr>
            <w:tcW w:w="766" w:type="dxa"/>
            <w:tcBorders>
              <w:bottom w:val="single" w:sz="4" w:space="0" w:color="auto"/>
            </w:tcBorders>
            <w:noWrap/>
            <w:hideMark/>
          </w:tcPr>
          <w:p w14:paraId="342091AA"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-0.011</w:t>
            </w:r>
          </w:p>
        </w:tc>
        <w:tc>
          <w:tcPr>
            <w:tcW w:w="966" w:type="dxa"/>
            <w:tcBorders>
              <w:bottom w:val="single" w:sz="4" w:space="0" w:color="auto"/>
            </w:tcBorders>
            <w:noWrap/>
            <w:hideMark/>
          </w:tcPr>
          <w:p w14:paraId="6080EF36"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-0.005</w:t>
            </w:r>
          </w:p>
        </w:tc>
        <w:tc>
          <w:tcPr>
            <w:tcW w:w="966" w:type="dxa"/>
            <w:tcBorders>
              <w:bottom w:val="single" w:sz="4" w:space="0" w:color="auto"/>
              <w:right w:val="single" w:sz="4" w:space="0" w:color="auto"/>
            </w:tcBorders>
            <w:noWrap/>
            <w:hideMark/>
          </w:tcPr>
          <w:p w14:paraId="4D65DD42" w14:textId="77777777" w:rsidR="00071AF6" w:rsidRPr="00A9015F" w:rsidRDefault="00071AF6" w:rsidP="00071AF6">
            <w:pPr>
              <w:spacing w:after="160" w:line="259" w:lineRule="auto"/>
              <w:jc w:val="both"/>
              <w:rPr>
                <w:rFonts w:ascii="Times New Roman" w:hAnsi="Times New Roman"/>
                <w:sz w:val="20"/>
                <w:szCs w:val="20"/>
              </w:rPr>
            </w:pPr>
            <w:r w:rsidRPr="00A9015F">
              <w:rPr>
                <w:rFonts w:ascii="Times New Roman" w:hAnsi="Times New Roman"/>
                <w:sz w:val="20"/>
                <w:szCs w:val="20"/>
              </w:rPr>
              <w:t>-0.001</w:t>
            </w:r>
          </w:p>
        </w:tc>
      </w:tr>
    </w:tbl>
    <w:p w14:paraId="218B05CE" w14:textId="77777777" w:rsidR="00A9015F" w:rsidRPr="00A9015F" w:rsidRDefault="00A9015F" w:rsidP="00A9015F">
      <w:pPr>
        <w:jc w:val="both"/>
        <w:rPr>
          <w:rFonts w:ascii="Times New Roman" w:eastAsia="Times New Roman" w:hAnsi="Times New Roman" w:cs="Times New Roman"/>
          <w:sz w:val="24"/>
          <w:szCs w:val="24"/>
        </w:rPr>
      </w:pPr>
    </w:p>
    <w:p w14:paraId="2EEBB629" w14:textId="6F6DD859" w:rsidR="00DE7639" w:rsidRPr="00E30E2D" w:rsidRDefault="00DE7639" w:rsidP="00DE7639">
      <w:pPr>
        <w:jc w:val="both"/>
        <w:rPr>
          <w:rFonts w:ascii="Times New Roman" w:eastAsia="Times New Roman" w:hAnsi="Times New Roman" w:cs="Times New Roman"/>
          <w:b/>
          <w:bCs/>
          <w:sz w:val="28"/>
          <w:szCs w:val="28"/>
        </w:rPr>
      </w:pPr>
      <w:bookmarkStart w:id="163" w:name="_Toc132386114"/>
      <w:bookmarkStart w:id="164" w:name="_Toc132437306"/>
      <w:r w:rsidRPr="00E30E2D">
        <w:rPr>
          <w:rFonts w:ascii="Times New Roman" w:hAnsi="Times New Roman" w:cs="Times New Roman"/>
          <w:b/>
          <w:bCs/>
          <w:sz w:val="28"/>
          <w:szCs w:val="28"/>
        </w:rPr>
        <w:t>Table 5.</w:t>
      </w:r>
      <w:r w:rsidR="00221C3A">
        <w:rPr>
          <w:rFonts w:ascii="Times New Roman" w:hAnsi="Times New Roman" w:cs="Times New Roman"/>
          <w:b/>
          <w:bCs/>
          <w:sz w:val="28"/>
          <w:szCs w:val="28"/>
        </w:rPr>
        <w:t>3</w:t>
      </w:r>
      <w:r w:rsidRPr="00E30E2D">
        <w:rPr>
          <w:rFonts w:ascii="Times New Roman" w:hAnsi="Times New Roman" w:cs="Times New Roman"/>
          <w:b/>
          <w:bCs/>
          <w:sz w:val="28"/>
          <w:szCs w:val="28"/>
        </w:rPr>
        <w:t xml:space="preserve">. </w:t>
      </w:r>
      <w:r w:rsidRPr="00E30E2D">
        <w:rPr>
          <w:rFonts w:ascii="Times New Roman" w:eastAsia="Times New Roman" w:hAnsi="Times New Roman" w:cs="Times New Roman"/>
          <w:b/>
          <w:bCs/>
          <w:sz w:val="28"/>
          <w:szCs w:val="28"/>
        </w:rPr>
        <w:t>INED Attributes Heterogeneity And Bank Misconduct– Baseline Estimations</w:t>
      </w:r>
      <w:bookmarkEnd w:id="163"/>
      <w:bookmarkEnd w:id="164"/>
    </w:p>
    <w:p w14:paraId="4860BB5F" w14:textId="23B7FC24" w:rsidR="00DE7639" w:rsidRDefault="00DE7639" w:rsidP="00DE7639">
      <w:pPr>
        <w:pStyle w:val="Caption"/>
        <w:keepNext/>
      </w:pPr>
    </w:p>
    <w:tbl>
      <w:tblPr>
        <w:tblW w:w="9781" w:type="dxa"/>
        <w:jc w:val="center"/>
        <w:tblLayout w:type="fixed"/>
        <w:tblCellMar>
          <w:left w:w="75" w:type="dxa"/>
          <w:right w:w="75" w:type="dxa"/>
        </w:tblCellMar>
        <w:tblLook w:val="0000" w:firstRow="0" w:lastRow="0" w:firstColumn="0" w:lastColumn="0" w:noHBand="0" w:noVBand="0"/>
      </w:tblPr>
      <w:tblGrid>
        <w:gridCol w:w="2126"/>
        <w:gridCol w:w="1134"/>
        <w:gridCol w:w="1313"/>
        <w:gridCol w:w="1301"/>
        <w:gridCol w:w="1294"/>
        <w:gridCol w:w="1195"/>
        <w:gridCol w:w="1418"/>
      </w:tblGrid>
      <w:tr w:rsidR="00A9015F" w:rsidRPr="00A9015F" w14:paraId="7A5A97E4" w14:textId="77777777" w:rsidTr="009E69CE">
        <w:trPr>
          <w:trHeight w:val="275"/>
          <w:jc w:val="center"/>
        </w:trPr>
        <w:tc>
          <w:tcPr>
            <w:tcW w:w="2126" w:type="dxa"/>
            <w:tcBorders>
              <w:top w:val="single" w:sz="4" w:space="0" w:color="auto"/>
              <w:left w:val="single" w:sz="4" w:space="0" w:color="auto"/>
            </w:tcBorders>
          </w:tcPr>
          <w:p w14:paraId="6D6A6841" w14:textId="77777777" w:rsidR="00A9015F" w:rsidRPr="00A9015F" w:rsidRDefault="00A9015F" w:rsidP="00A9015F">
            <w:pPr>
              <w:jc w:val="both"/>
              <w:rPr>
                <w:rFonts w:ascii="Times New Roman" w:eastAsia="Times New Roman" w:hAnsi="Times New Roman" w:cs="Times New Roman"/>
                <w:sz w:val="20"/>
                <w:szCs w:val="20"/>
              </w:rPr>
            </w:pPr>
          </w:p>
        </w:tc>
        <w:tc>
          <w:tcPr>
            <w:tcW w:w="1134" w:type="dxa"/>
            <w:tcBorders>
              <w:top w:val="single" w:sz="4" w:space="0" w:color="auto"/>
            </w:tcBorders>
          </w:tcPr>
          <w:p w14:paraId="262E7D3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w:t>
            </w:r>
          </w:p>
        </w:tc>
        <w:tc>
          <w:tcPr>
            <w:tcW w:w="1313" w:type="dxa"/>
            <w:tcBorders>
              <w:top w:val="single" w:sz="4" w:space="0" w:color="auto"/>
            </w:tcBorders>
          </w:tcPr>
          <w:p w14:paraId="6085E37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(2)</w:t>
            </w:r>
          </w:p>
        </w:tc>
        <w:tc>
          <w:tcPr>
            <w:tcW w:w="1301" w:type="dxa"/>
            <w:tcBorders>
              <w:top w:val="single" w:sz="4" w:space="0" w:color="auto"/>
            </w:tcBorders>
          </w:tcPr>
          <w:p w14:paraId="0B74598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(3)</w:t>
            </w:r>
          </w:p>
        </w:tc>
        <w:tc>
          <w:tcPr>
            <w:tcW w:w="1294" w:type="dxa"/>
            <w:tcBorders>
              <w:top w:val="single" w:sz="4" w:space="0" w:color="auto"/>
            </w:tcBorders>
          </w:tcPr>
          <w:p w14:paraId="099C195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(4)</w:t>
            </w:r>
          </w:p>
        </w:tc>
        <w:tc>
          <w:tcPr>
            <w:tcW w:w="1195" w:type="dxa"/>
            <w:tcBorders>
              <w:top w:val="single" w:sz="4" w:space="0" w:color="auto"/>
            </w:tcBorders>
          </w:tcPr>
          <w:p w14:paraId="4485E5E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(5)</w:t>
            </w:r>
          </w:p>
        </w:tc>
        <w:tc>
          <w:tcPr>
            <w:tcW w:w="1418" w:type="dxa"/>
            <w:tcBorders>
              <w:top w:val="single" w:sz="4" w:space="0" w:color="auto"/>
              <w:right w:val="single" w:sz="4" w:space="0" w:color="auto"/>
            </w:tcBorders>
          </w:tcPr>
          <w:p w14:paraId="5FD1454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(6)</w:t>
            </w:r>
          </w:p>
        </w:tc>
      </w:tr>
      <w:tr w:rsidR="00A9015F" w:rsidRPr="00A9015F" w14:paraId="2CCA8FA9" w14:textId="77777777" w:rsidTr="009E69CE">
        <w:trPr>
          <w:trHeight w:val="275"/>
          <w:jc w:val="center"/>
        </w:trPr>
        <w:tc>
          <w:tcPr>
            <w:tcW w:w="2126" w:type="dxa"/>
            <w:tcBorders>
              <w:left w:val="single" w:sz="4" w:space="0" w:color="auto"/>
              <w:bottom w:val="single" w:sz="4" w:space="0" w:color="auto"/>
            </w:tcBorders>
          </w:tcPr>
          <w:p w14:paraId="0081F866"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VARIABLES</w:t>
            </w:r>
          </w:p>
        </w:tc>
        <w:tc>
          <w:tcPr>
            <w:tcW w:w="1134" w:type="dxa"/>
            <w:tcBorders>
              <w:bottom w:val="single" w:sz="4" w:space="0" w:color="auto"/>
            </w:tcBorders>
          </w:tcPr>
          <w:p w14:paraId="15230A31"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313" w:type="dxa"/>
            <w:tcBorders>
              <w:bottom w:val="single" w:sz="4" w:space="0" w:color="auto"/>
            </w:tcBorders>
          </w:tcPr>
          <w:p w14:paraId="7C4AC8EC"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301" w:type="dxa"/>
            <w:tcBorders>
              <w:bottom w:val="single" w:sz="4" w:space="0" w:color="auto"/>
            </w:tcBorders>
          </w:tcPr>
          <w:p w14:paraId="5C0B0A3E"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294" w:type="dxa"/>
            <w:tcBorders>
              <w:bottom w:val="single" w:sz="4" w:space="0" w:color="auto"/>
            </w:tcBorders>
          </w:tcPr>
          <w:p w14:paraId="2E94E289"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195" w:type="dxa"/>
            <w:tcBorders>
              <w:bottom w:val="single" w:sz="4" w:space="0" w:color="auto"/>
            </w:tcBorders>
          </w:tcPr>
          <w:p w14:paraId="20C37ED5"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418" w:type="dxa"/>
            <w:tcBorders>
              <w:bottom w:val="single" w:sz="4" w:space="0" w:color="auto"/>
              <w:right w:val="single" w:sz="4" w:space="0" w:color="auto"/>
            </w:tcBorders>
          </w:tcPr>
          <w:p w14:paraId="06E57BC9"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r>
      <w:tr w:rsidR="00A9015F" w:rsidRPr="00A9015F" w14:paraId="6A328AF8" w14:textId="77777777" w:rsidTr="009E69CE">
        <w:trPr>
          <w:trHeight w:val="288"/>
          <w:jc w:val="center"/>
        </w:trPr>
        <w:tc>
          <w:tcPr>
            <w:tcW w:w="2126" w:type="dxa"/>
            <w:tcBorders>
              <w:top w:val="single" w:sz="4" w:space="0" w:color="auto"/>
              <w:left w:val="single" w:sz="4" w:space="0" w:color="auto"/>
            </w:tcBorders>
          </w:tcPr>
          <w:p w14:paraId="71F5FE5D" w14:textId="77777777" w:rsidR="00A9015F" w:rsidRPr="00A9015F" w:rsidRDefault="00A9015F" w:rsidP="00A9015F">
            <w:pPr>
              <w:jc w:val="both"/>
              <w:rPr>
                <w:rFonts w:ascii="Times New Roman" w:eastAsia="Times New Roman" w:hAnsi="Times New Roman" w:cs="Times New Roman"/>
                <w:sz w:val="20"/>
                <w:szCs w:val="20"/>
              </w:rPr>
            </w:pPr>
          </w:p>
        </w:tc>
        <w:tc>
          <w:tcPr>
            <w:tcW w:w="1134" w:type="dxa"/>
            <w:tcBorders>
              <w:top w:val="single" w:sz="4" w:space="0" w:color="auto"/>
            </w:tcBorders>
          </w:tcPr>
          <w:p w14:paraId="052C29EE"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Borders>
              <w:top w:val="single" w:sz="4" w:space="0" w:color="auto"/>
            </w:tcBorders>
          </w:tcPr>
          <w:p w14:paraId="0A51318F"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Borders>
              <w:top w:val="single" w:sz="4" w:space="0" w:color="auto"/>
            </w:tcBorders>
          </w:tcPr>
          <w:p w14:paraId="67E6E0DC"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Borders>
              <w:top w:val="single" w:sz="4" w:space="0" w:color="auto"/>
            </w:tcBorders>
          </w:tcPr>
          <w:p w14:paraId="1F4D54AE"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Borders>
              <w:top w:val="single" w:sz="4" w:space="0" w:color="auto"/>
            </w:tcBorders>
          </w:tcPr>
          <w:p w14:paraId="74B65B3E" w14:textId="77777777" w:rsidR="00A9015F" w:rsidRPr="00A9015F" w:rsidRDefault="00A9015F" w:rsidP="00A9015F">
            <w:pPr>
              <w:jc w:val="both"/>
              <w:rPr>
                <w:rFonts w:ascii="Times New Roman" w:eastAsia="Times New Roman" w:hAnsi="Times New Roman" w:cs="Times New Roman"/>
                <w:sz w:val="20"/>
                <w:szCs w:val="20"/>
              </w:rPr>
            </w:pPr>
          </w:p>
        </w:tc>
        <w:tc>
          <w:tcPr>
            <w:tcW w:w="1418" w:type="dxa"/>
            <w:tcBorders>
              <w:top w:val="single" w:sz="4" w:space="0" w:color="auto"/>
              <w:right w:val="single" w:sz="4" w:space="0" w:color="auto"/>
            </w:tcBorders>
          </w:tcPr>
          <w:p w14:paraId="12D75708" w14:textId="77777777" w:rsidR="00A9015F" w:rsidRPr="00A9015F" w:rsidRDefault="00A9015F" w:rsidP="00A9015F">
            <w:pPr>
              <w:jc w:val="both"/>
              <w:rPr>
                <w:rFonts w:ascii="Times New Roman" w:eastAsia="Times New Roman" w:hAnsi="Times New Roman" w:cs="Times New Roman"/>
                <w:sz w:val="20"/>
                <w:szCs w:val="20"/>
              </w:rPr>
            </w:pPr>
          </w:p>
        </w:tc>
      </w:tr>
      <w:tr w:rsidR="00A9015F" w:rsidRPr="00A9015F" w14:paraId="1CA9CAB0" w14:textId="77777777" w:rsidTr="00DE7639">
        <w:trPr>
          <w:trHeight w:val="552"/>
          <w:jc w:val="center"/>
        </w:trPr>
        <w:tc>
          <w:tcPr>
            <w:tcW w:w="2126" w:type="dxa"/>
            <w:tcBorders>
              <w:left w:val="single" w:sz="4" w:space="0" w:color="auto"/>
            </w:tcBorders>
          </w:tcPr>
          <w:p w14:paraId="300A4DB9"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Gender Heterogeneity</w:t>
            </w:r>
          </w:p>
        </w:tc>
        <w:tc>
          <w:tcPr>
            <w:tcW w:w="1134" w:type="dxa"/>
          </w:tcPr>
          <w:p w14:paraId="16546ED4"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402C6C7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-0.0984** (0.04303)</w:t>
            </w:r>
          </w:p>
        </w:tc>
        <w:tc>
          <w:tcPr>
            <w:tcW w:w="1301" w:type="dxa"/>
          </w:tcPr>
          <w:p w14:paraId="034A0CF1"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Pr>
          <w:p w14:paraId="4ADF28C1"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Pr>
          <w:p w14:paraId="6E2B5E9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-0.0947** </w:t>
            </w:r>
          </w:p>
          <w:p w14:paraId="10D8959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(0.0431)</w:t>
            </w:r>
          </w:p>
        </w:tc>
        <w:tc>
          <w:tcPr>
            <w:tcW w:w="1418" w:type="dxa"/>
            <w:tcBorders>
              <w:right w:val="single" w:sz="4" w:space="0" w:color="auto"/>
            </w:tcBorders>
          </w:tcPr>
          <w:p w14:paraId="5FF0318D" w14:textId="77777777" w:rsidR="00A9015F" w:rsidRPr="00A9015F" w:rsidRDefault="00A9015F" w:rsidP="00A9015F">
            <w:pPr>
              <w:jc w:val="both"/>
              <w:rPr>
                <w:rFonts w:ascii="Times New Roman" w:eastAsia="Times New Roman" w:hAnsi="Times New Roman" w:cs="Times New Roman"/>
                <w:sz w:val="20"/>
                <w:szCs w:val="20"/>
              </w:rPr>
            </w:pPr>
          </w:p>
        </w:tc>
      </w:tr>
      <w:tr w:rsidR="00A9015F" w:rsidRPr="00A9015F" w14:paraId="4AFBFE60" w14:textId="77777777" w:rsidTr="00DE7639">
        <w:trPr>
          <w:trHeight w:val="552"/>
          <w:jc w:val="center"/>
        </w:trPr>
        <w:tc>
          <w:tcPr>
            <w:tcW w:w="2126" w:type="dxa"/>
            <w:tcBorders>
              <w:left w:val="single" w:sz="4" w:space="0" w:color="auto"/>
            </w:tcBorders>
          </w:tcPr>
          <w:p w14:paraId="38D17AF5"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Financial Expertise Heterogeneity</w:t>
            </w:r>
          </w:p>
        </w:tc>
        <w:tc>
          <w:tcPr>
            <w:tcW w:w="1134" w:type="dxa"/>
          </w:tcPr>
          <w:p w14:paraId="5766EB9C"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22699B03"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Pr>
          <w:p w14:paraId="486C85A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-0.0734*</w:t>
            </w:r>
          </w:p>
          <w:p w14:paraId="0651118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(0.0391)</w:t>
            </w:r>
          </w:p>
        </w:tc>
        <w:tc>
          <w:tcPr>
            <w:tcW w:w="1294" w:type="dxa"/>
          </w:tcPr>
          <w:p w14:paraId="6F1AD736"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Pr>
          <w:p w14:paraId="73BF2B0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-0.0704*</w:t>
            </w:r>
          </w:p>
          <w:p w14:paraId="07E2817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(0.0389)</w:t>
            </w:r>
          </w:p>
        </w:tc>
        <w:tc>
          <w:tcPr>
            <w:tcW w:w="1418" w:type="dxa"/>
            <w:tcBorders>
              <w:right w:val="single" w:sz="4" w:space="0" w:color="auto"/>
            </w:tcBorders>
          </w:tcPr>
          <w:p w14:paraId="178E5913" w14:textId="77777777" w:rsidR="00A9015F" w:rsidRPr="00A9015F" w:rsidRDefault="00A9015F" w:rsidP="00A9015F">
            <w:pPr>
              <w:jc w:val="both"/>
              <w:rPr>
                <w:rFonts w:ascii="Times New Roman" w:eastAsia="Times New Roman" w:hAnsi="Times New Roman" w:cs="Times New Roman"/>
                <w:sz w:val="20"/>
                <w:szCs w:val="20"/>
              </w:rPr>
            </w:pPr>
          </w:p>
        </w:tc>
      </w:tr>
      <w:tr w:rsidR="00A9015F" w:rsidRPr="00A9015F" w14:paraId="1166958F" w14:textId="77777777" w:rsidTr="00DE7639">
        <w:trPr>
          <w:trHeight w:val="275"/>
          <w:jc w:val="center"/>
        </w:trPr>
        <w:tc>
          <w:tcPr>
            <w:tcW w:w="2126" w:type="dxa"/>
            <w:tcBorders>
              <w:left w:val="single" w:sz="4" w:space="0" w:color="auto"/>
            </w:tcBorders>
          </w:tcPr>
          <w:p w14:paraId="405A85DC"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Tenure Heterogeneity</w:t>
            </w:r>
          </w:p>
        </w:tc>
        <w:tc>
          <w:tcPr>
            <w:tcW w:w="1134" w:type="dxa"/>
          </w:tcPr>
          <w:p w14:paraId="6BCE32B8"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607CA8F7"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Pr>
          <w:p w14:paraId="296AE9C4"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Pr>
          <w:p w14:paraId="0596DC7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-0.0682**</w:t>
            </w:r>
          </w:p>
        </w:tc>
        <w:tc>
          <w:tcPr>
            <w:tcW w:w="1195" w:type="dxa"/>
          </w:tcPr>
          <w:p w14:paraId="0794C06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-0.0676***</w:t>
            </w:r>
          </w:p>
        </w:tc>
        <w:tc>
          <w:tcPr>
            <w:tcW w:w="1418" w:type="dxa"/>
            <w:tcBorders>
              <w:right w:val="single" w:sz="4" w:space="0" w:color="auto"/>
            </w:tcBorders>
          </w:tcPr>
          <w:p w14:paraId="70A552CE" w14:textId="77777777" w:rsidR="00A9015F" w:rsidRPr="00A9015F" w:rsidRDefault="00A9015F" w:rsidP="00A9015F">
            <w:pPr>
              <w:jc w:val="both"/>
              <w:rPr>
                <w:rFonts w:ascii="Times New Roman" w:eastAsia="Times New Roman" w:hAnsi="Times New Roman" w:cs="Times New Roman"/>
                <w:sz w:val="20"/>
                <w:szCs w:val="20"/>
              </w:rPr>
            </w:pPr>
          </w:p>
        </w:tc>
      </w:tr>
      <w:tr w:rsidR="00A9015F" w:rsidRPr="00A9015F" w14:paraId="0723996B" w14:textId="77777777" w:rsidTr="00DE7639">
        <w:trPr>
          <w:trHeight w:val="275"/>
          <w:jc w:val="center"/>
        </w:trPr>
        <w:tc>
          <w:tcPr>
            <w:tcW w:w="2126" w:type="dxa"/>
            <w:tcBorders>
              <w:left w:val="single" w:sz="4" w:space="0" w:color="auto"/>
            </w:tcBorders>
          </w:tcPr>
          <w:p w14:paraId="27845802"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1B30FC07"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41414DF8"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Pr>
          <w:p w14:paraId="0158EA21"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Pr>
          <w:p w14:paraId="4B1AAEF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(0.0259)</w:t>
            </w:r>
          </w:p>
        </w:tc>
        <w:tc>
          <w:tcPr>
            <w:tcW w:w="1195" w:type="dxa"/>
          </w:tcPr>
          <w:p w14:paraId="59B6C4F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(0.0248)</w:t>
            </w:r>
          </w:p>
        </w:tc>
        <w:tc>
          <w:tcPr>
            <w:tcW w:w="1418" w:type="dxa"/>
            <w:tcBorders>
              <w:right w:val="single" w:sz="4" w:space="0" w:color="auto"/>
            </w:tcBorders>
          </w:tcPr>
          <w:p w14:paraId="53AF4CD6" w14:textId="77777777" w:rsidR="00A9015F" w:rsidRPr="00A9015F" w:rsidRDefault="00A9015F" w:rsidP="00A9015F">
            <w:pPr>
              <w:jc w:val="both"/>
              <w:rPr>
                <w:rFonts w:ascii="Times New Roman" w:eastAsia="Times New Roman" w:hAnsi="Times New Roman" w:cs="Times New Roman"/>
                <w:sz w:val="20"/>
                <w:szCs w:val="20"/>
              </w:rPr>
            </w:pPr>
          </w:p>
        </w:tc>
      </w:tr>
      <w:tr w:rsidR="00A9015F" w:rsidRPr="00A9015F" w14:paraId="0259A7ED" w14:textId="77777777" w:rsidTr="00DE7639">
        <w:trPr>
          <w:trHeight w:val="275"/>
          <w:jc w:val="center"/>
        </w:trPr>
        <w:tc>
          <w:tcPr>
            <w:tcW w:w="2126" w:type="dxa"/>
            <w:tcBorders>
              <w:left w:val="single" w:sz="4" w:space="0" w:color="auto"/>
            </w:tcBorders>
          </w:tcPr>
          <w:p w14:paraId="7BC15205"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Heterogeneity Index</w:t>
            </w:r>
          </w:p>
        </w:tc>
        <w:tc>
          <w:tcPr>
            <w:tcW w:w="1134" w:type="dxa"/>
          </w:tcPr>
          <w:p w14:paraId="427473D7"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088CD9D9"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Pr>
          <w:p w14:paraId="1E8E0C09"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Pr>
          <w:p w14:paraId="4A708392"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Pr>
          <w:p w14:paraId="59744AC2" w14:textId="77777777" w:rsidR="00A9015F" w:rsidRPr="00A9015F" w:rsidRDefault="00A9015F" w:rsidP="00A9015F">
            <w:pPr>
              <w:jc w:val="both"/>
              <w:rPr>
                <w:rFonts w:ascii="Times New Roman" w:eastAsia="Times New Roman" w:hAnsi="Times New Roman" w:cs="Times New Roman"/>
                <w:sz w:val="20"/>
                <w:szCs w:val="20"/>
              </w:rPr>
            </w:pPr>
          </w:p>
        </w:tc>
        <w:tc>
          <w:tcPr>
            <w:tcW w:w="1418" w:type="dxa"/>
            <w:tcBorders>
              <w:right w:val="single" w:sz="4" w:space="0" w:color="auto"/>
            </w:tcBorders>
          </w:tcPr>
          <w:p w14:paraId="5D64E2B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-0.0734***</w:t>
            </w:r>
          </w:p>
        </w:tc>
      </w:tr>
      <w:tr w:rsidR="00A9015F" w:rsidRPr="00A9015F" w14:paraId="324087C3" w14:textId="77777777" w:rsidTr="00DE7639">
        <w:trPr>
          <w:trHeight w:val="275"/>
          <w:jc w:val="center"/>
        </w:trPr>
        <w:tc>
          <w:tcPr>
            <w:tcW w:w="2126" w:type="dxa"/>
            <w:tcBorders>
              <w:left w:val="single" w:sz="4" w:space="0" w:color="auto"/>
            </w:tcBorders>
          </w:tcPr>
          <w:p w14:paraId="448BD9BB"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442CC256" w14:textId="77777777" w:rsidR="00A9015F" w:rsidRPr="00A9015F" w:rsidRDefault="00A9015F" w:rsidP="00A9015F">
            <w:pPr>
              <w:jc w:val="both"/>
              <w:rPr>
                <w:rFonts w:ascii="Times New Roman" w:eastAsia="Times New Roman" w:hAnsi="Times New Roman" w:cs="Times New Roman"/>
                <w:sz w:val="20"/>
                <w:szCs w:val="20"/>
              </w:rPr>
            </w:pPr>
          </w:p>
        </w:tc>
        <w:tc>
          <w:tcPr>
            <w:tcW w:w="1313" w:type="dxa"/>
          </w:tcPr>
          <w:p w14:paraId="04284133" w14:textId="77777777" w:rsidR="00A9015F" w:rsidRPr="00A9015F" w:rsidRDefault="00A9015F" w:rsidP="00A9015F">
            <w:pPr>
              <w:jc w:val="both"/>
              <w:rPr>
                <w:rFonts w:ascii="Times New Roman" w:eastAsia="Times New Roman" w:hAnsi="Times New Roman" w:cs="Times New Roman"/>
                <w:sz w:val="20"/>
                <w:szCs w:val="20"/>
              </w:rPr>
            </w:pPr>
          </w:p>
        </w:tc>
        <w:tc>
          <w:tcPr>
            <w:tcW w:w="1301" w:type="dxa"/>
          </w:tcPr>
          <w:p w14:paraId="175A00D8" w14:textId="77777777" w:rsidR="00A9015F" w:rsidRPr="00A9015F" w:rsidRDefault="00A9015F" w:rsidP="00A9015F">
            <w:pPr>
              <w:jc w:val="both"/>
              <w:rPr>
                <w:rFonts w:ascii="Times New Roman" w:eastAsia="Times New Roman" w:hAnsi="Times New Roman" w:cs="Times New Roman"/>
                <w:sz w:val="20"/>
                <w:szCs w:val="20"/>
              </w:rPr>
            </w:pPr>
          </w:p>
        </w:tc>
        <w:tc>
          <w:tcPr>
            <w:tcW w:w="1294" w:type="dxa"/>
          </w:tcPr>
          <w:p w14:paraId="72DF2499"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Pr>
          <w:p w14:paraId="758C0261" w14:textId="77777777" w:rsidR="00A9015F" w:rsidRPr="00A9015F" w:rsidRDefault="00A9015F" w:rsidP="00A9015F">
            <w:pPr>
              <w:jc w:val="both"/>
              <w:rPr>
                <w:rFonts w:ascii="Times New Roman" w:eastAsia="Times New Roman" w:hAnsi="Times New Roman" w:cs="Times New Roman"/>
                <w:sz w:val="20"/>
                <w:szCs w:val="20"/>
              </w:rPr>
            </w:pPr>
          </w:p>
        </w:tc>
        <w:tc>
          <w:tcPr>
            <w:tcW w:w="1418" w:type="dxa"/>
            <w:tcBorders>
              <w:right w:val="single" w:sz="4" w:space="0" w:color="auto"/>
            </w:tcBorders>
          </w:tcPr>
          <w:p w14:paraId="17444CB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(0.0182)</w:t>
            </w:r>
          </w:p>
        </w:tc>
      </w:tr>
      <w:tr w:rsidR="00A9015F" w:rsidRPr="00A9015F" w14:paraId="75538E94" w14:textId="77777777" w:rsidTr="00DE7639">
        <w:trPr>
          <w:trHeight w:val="275"/>
          <w:jc w:val="center"/>
        </w:trPr>
        <w:tc>
          <w:tcPr>
            <w:tcW w:w="2126" w:type="dxa"/>
            <w:tcBorders>
              <w:left w:val="single" w:sz="4" w:space="0" w:color="auto"/>
            </w:tcBorders>
          </w:tcPr>
          <w:p w14:paraId="70A517E8"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Board Independence</w:t>
            </w:r>
          </w:p>
        </w:tc>
        <w:tc>
          <w:tcPr>
            <w:tcW w:w="1134" w:type="dxa"/>
          </w:tcPr>
          <w:p w14:paraId="089317D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0.0191</w:t>
            </w:r>
          </w:p>
        </w:tc>
        <w:tc>
          <w:tcPr>
            <w:tcW w:w="1313" w:type="dxa"/>
          </w:tcPr>
          <w:p w14:paraId="0E0676F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0.0285</w:t>
            </w:r>
          </w:p>
        </w:tc>
        <w:tc>
          <w:tcPr>
            <w:tcW w:w="1301" w:type="dxa"/>
          </w:tcPr>
          <w:p w14:paraId="290F804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0.0124</w:t>
            </w:r>
          </w:p>
        </w:tc>
        <w:tc>
          <w:tcPr>
            <w:tcW w:w="1294" w:type="dxa"/>
          </w:tcPr>
          <w:p w14:paraId="52B82E3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0.0163</w:t>
            </w:r>
          </w:p>
        </w:tc>
        <w:tc>
          <w:tcPr>
            <w:tcW w:w="1195" w:type="dxa"/>
          </w:tcPr>
          <w:p w14:paraId="7ED2677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0.0287</w:t>
            </w:r>
          </w:p>
        </w:tc>
        <w:tc>
          <w:tcPr>
            <w:tcW w:w="1418" w:type="dxa"/>
            <w:tcBorders>
              <w:right w:val="single" w:sz="4" w:space="0" w:color="auto"/>
            </w:tcBorders>
          </w:tcPr>
          <w:p w14:paraId="68D959B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0.0191</w:t>
            </w:r>
          </w:p>
        </w:tc>
      </w:tr>
      <w:tr w:rsidR="00A9015F" w:rsidRPr="00A9015F" w14:paraId="0FBFB81B" w14:textId="77777777" w:rsidTr="00DE7639">
        <w:trPr>
          <w:trHeight w:val="275"/>
          <w:jc w:val="center"/>
        </w:trPr>
        <w:tc>
          <w:tcPr>
            <w:tcW w:w="2126" w:type="dxa"/>
            <w:tcBorders>
              <w:left w:val="single" w:sz="4" w:space="0" w:color="auto"/>
            </w:tcBorders>
          </w:tcPr>
          <w:p w14:paraId="2191C073"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6F90B8D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(0.0511)</w:t>
            </w:r>
          </w:p>
        </w:tc>
        <w:tc>
          <w:tcPr>
            <w:tcW w:w="1313" w:type="dxa"/>
          </w:tcPr>
          <w:p w14:paraId="1E1011B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(0.0502)</w:t>
            </w:r>
          </w:p>
        </w:tc>
        <w:tc>
          <w:tcPr>
            <w:tcW w:w="1301" w:type="dxa"/>
          </w:tcPr>
          <w:p w14:paraId="6985161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(0.0511)</w:t>
            </w:r>
          </w:p>
        </w:tc>
        <w:tc>
          <w:tcPr>
            <w:tcW w:w="1294" w:type="dxa"/>
          </w:tcPr>
          <w:p w14:paraId="31AC499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(0.0503)</w:t>
            </w:r>
          </w:p>
        </w:tc>
        <w:tc>
          <w:tcPr>
            <w:tcW w:w="1195" w:type="dxa"/>
          </w:tcPr>
          <w:p w14:paraId="398F0CC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(0.0510)</w:t>
            </w:r>
          </w:p>
        </w:tc>
        <w:tc>
          <w:tcPr>
            <w:tcW w:w="1418" w:type="dxa"/>
            <w:tcBorders>
              <w:right w:val="single" w:sz="4" w:space="0" w:color="auto"/>
            </w:tcBorders>
          </w:tcPr>
          <w:p w14:paraId="3FEA049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(0.0506)</w:t>
            </w:r>
          </w:p>
        </w:tc>
      </w:tr>
      <w:tr w:rsidR="00A9015F" w:rsidRPr="00A9015F" w14:paraId="47D3F2EF" w14:textId="77777777" w:rsidTr="00DE7639">
        <w:trPr>
          <w:trHeight w:val="275"/>
          <w:jc w:val="center"/>
        </w:trPr>
        <w:tc>
          <w:tcPr>
            <w:tcW w:w="2126" w:type="dxa"/>
            <w:tcBorders>
              <w:left w:val="single" w:sz="4" w:space="0" w:color="auto"/>
            </w:tcBorders>
          </w:tcPr>
          <w:p w14:paraId="490698B5"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Board Size</w:t>
            </w:r>
          </w:p>
        </w:tc>
        <w:tc>
          <w:tcPr>
            <w:tcW w:w="1134" w:type="dxa"/>
          </w:tcPr>
          <w:p w14:paraId="1D1D3AB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-0.130**</w:t>
            </w:r>
          </w:p>
        </w:tc>
        <w:tc>
          <w:tcPr>
            <w:tcW w:w="1313" w:type="dxa"/>
          </w:tcPr>
          <w:p w14:paraId="0563161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-0.130**</w:t>
            </w:r>
          </w:p>
        </w:tc>
        <w:tc>
          <w:tcPr>
            <w:tcW w:w="1301" w:type="dxa"/>
          </w:tcPr>
          <w:p w14:paraId="45542BE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-0.109**</w:t>
            </w:r>
          </w:p>
        </w:tc>
        <w:tc>
          <w:tcPr>
            <w:tcW w:w="1294" w:type="dxa"/>
          </w:tcPr>
          <w:p w14:paraId="49242C4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-0.119**</w:t>
            </w:r>
          </w:p>
        </w:tc>
        <w:tc>
          <w:tcPr>
            <w:tcW w:w="1195" w:type="dxa"/>
          </w:tcPr>
          <w:p w14:paraId="0BC496D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-0.0985*</w:t>
            </w:r>
          </w:p>
        </w:tc>
        <w:tc>
          <w:tcPr>
            <w:tcW w:w="1418" w:type="dxa"/>
            <w:tcBorders>
              <w:right w:val="single" w:sz="4" w:space="0" w:color="auto"/>
            </w:tcBorders>
          </w:tcPr>
          <w:p w14:paraId="0FDA615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-0.0947*</w:t>
            </w:r>
          </w:p>
        </w:tc>
      </w:tr>
      <w:tr w:rsidR="00A9015F" w:rsidRPr="00A9015F" w14:paraId="132689DD" w14:textId="77777777" w:rsidTr="00DE7639">
        <w:trPr>
          <w:trHeight w:val="275"/>
          <w:jc w:val="center"/>
        </w:trPr>
        <w:tc>
          <w:tcPr>
            <w:tcW w:w="2126" w:type="dxa"/>
            <w:tcBorders>
              <w:left w:val="single" w:sz="4" w:space="0" w:color="auto"/>
            </w:tcBorders>
          </w:tcPr>
          <w:p w14:paraId="291B8F7F"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215CB85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(0.0577)</w:t>
            </w:r>
          </w:p>
        </w:tc>
        <w:tc>
          <w:tcPr>
            <w:tcW w:w="1313" w:type="dxa"/>
          </w:tcPr>
          <w:p w14:paraId="7D193DE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(0.0581)</w:t>
            </w:r>
          </w:p>
        </w:tc>
        <w:tc>
          <w:tcPr>
            <w:tcW w:w="1301" w:type="dxa"/>
          </w:tcPr>
          <w:p w14:paraId="4C6854E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(0.0521)</w:t>
            </w:r>
          </w:p>
        </w:tc>
        <w:tc>
          <w:tcPr>
            <w:tcW w:w="1294" w:type="dxa"/>
          </w:tcPr>
          <w:p w14:paraId="598F071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(0.0568)</w:t>
            </w:r>
          </w:p>
        </w:tc>
        <w:tc>
          <w:tcPr>
            <w:tcW w:w="1195" w:type="dxa"/>
          </w:tcPr>
          <w:p w14:paraId="5F1045B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(0.0518)</w:t>
            </w:r>
          </w:p>
        </w:tc>
        <w:tc>
          <w:tcPr>
            <w:tcW w:w="1418" w:type="dxa"/>
            <w:tcBorders>
              <w:right w:val="single" w:sz="4" w:space="0" w:color="auto"/>
            </w:tcBorders>
          </w:tcPr>
          <w:p w14:paraId="0E4F4C1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(0.0513)</w:t>
            </w:r>
          </w:p>
        </w:tc>
      </w:tr>
      <w:tr w:rsidR="00A9015F" w:rsidRPr="00A9015F" w14:paraId="4A91AFC6" w14:textId="77777777" w:rsidTr="00DE7639">
        <w:trPr>
          <w:trHeight w:val="275"/>
          <w:jc w:val="center"/>
        </w:trPr>
        <w:tc>
          <w:tcPr>
            <w:tcW w:w="2126" w:type="dxa"/>
            <w:tcBorders>
              <w:left w:val="single" w:sz="4" w:space="0" w:color="auto"/>
            </w:tcBorders>
          </w:tcPr>
          <w:p w14:paraId="48839AA8"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Growth</w:t>
            </w:r>
          </w:p>
        </w:tc>
        <w:tc>
          <w:tcPr>
            <w:tcW w:w="1134" w:type="dxa"/>
          </w:tcPr>
          <w:p w14:paraId="7BD101C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0.0359</w:t>
            </w:r>
          </w:p>
        </w:tc>
        <w:tc>
          <w:tcPr>
            <w:tcW w:w="1313" w:type="dxa"/>
          </w:tcPr>
          <w:p w14:paraId="1C3E654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0.0469</w:t>
            </w:r>
          </w:p>
        </w:tc>
        <w:tc>
          <w:tcPr>
            <w:tcW w:w="1301" w:type="dxa"/>
          </w:tcPr>
          <w:p w14:paraId="20C0D00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0.0335</w:t>
            </w:r>
          </w:p>
        </w:tc>
        <w:tc>
          <w:tcPr>
            <w:tcW w:w="1294" w:type="dxa"/>
          </w:tcPr>
          <w:p w14:paraId="1FF977F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0.0468</w:t>
            </w:r>
          </w:p>
        </w:tc>
        <w:tc>
          <w:tcPr>
            <w:tcW w:w="1195" w:type="dxa"/>
          </w:tcPr>
          <w:p w14:paraId="407BBC8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0.0562*</w:t>
            </w:r>
          </w:p>
        </w:tc>
        <w:tc>
          <w:tcPr>
            <w:tcW w:w="1418" w:type="dxa"/>
            <w:tcBorders>
              <w:right w:val="single" w:sz="4" w:space="0" w:color="auto"/>
            </w:tcBorders>
          </w:tcPr>
          <w:p w14:paraId="65FD898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0.0485</w:t>
            </w:r>
          </w:p>
        </w:tc>
      </w:tr>
      <w:tr w:rsidR="00A9015F" w:rsidRPr="00A9015F" w14:paraId="14A63B13" w14:textId="77777777" w:rsidTr="00DE7639">
        <w:trPr>
          <w:trHeight w:val="275"/>
          <w:jc w:val="center"/>
        </w:trPr>
        <w:tc>
          <w:tcPr>
            <w:tcW w:w="2126" w:type="dxa"/>
            <w:tcBorders>
              <w:left w:val="single" w:sz="4" w:space="0" w:color="auto"/>
            </w:tcBorders>
          </w:tcPr>
          <w:p w14:paraId="52110D74"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733E02C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(0.0291)</w:t>
            </w:r>
          </w:p>
        </w:tc>
        <w:tc>
          <w:tcPr>
            <w:tcW w:w="1313" w:type="dxa"/>
          </w:tcPr>
          <w:p w14:paraId="2CFCFB1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(0.0302)</w:t>
            </w:r>
          </w:p>
        </w:tc>
        <w:tc>
          <w:tcPr>
            <w:tcW w:w="1301" w:type="dxa"/>
          </w:tcPr>
          <w:p w14:paraId="003850F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c>
          <w:tcPr>
            <w:tcW w:w="1294" w:type="dxa"/>
          </w:tcPr>
          <w:p w14:paraId="0B87818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(0.0285)</w:t>
            </w:r>
          </w:p>
        </w:tc>
        <w:tc>
          <w:tcPr>
            <w:tcW w:w="1195" w:type="dxa"/>
          </w:tcPr>
          <w:p w14:paraId="6881EC4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c>
          <w:tcPr>
            <w:tcW w:w="1418" w:type="dxa"/>
            <w:tcBorders>
              <w:right w:val="single" w:sz="4" w:space="0" w:color="auto"/>
            </w:tcBorders>
          </w:tcPr>
          <w:p w14:paraId="5B52DAF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(0.0332)</w:t>
            </w:r>
          </w:p>
        </w:tc>
      </w:tr>
      <w:tr w:rsidR="00A9015F" w:rsidRPr="00A9015F" w14:paraId="12DF049B" w14:textId="77777777" w:rsidTr="00DE7639">
        <w:trPr>
          <w:trHeight w:val="275"/>
          <w:jc w:val="center"/>
        </w:trPr>
        <w:tc>
          <w:tcPr>
            <w:tcW w:w="2126" w:type="dxa"/>
            <w:tcBorders>
              <w:left w:val="single" w:sz="4" w:space="0" w:color="auto"/>
            </w:tcBorders>
          </w:tcPr>
          <w:p w14:paraId="4835147B"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Bank Size</w:t>
            </w:r>
          </w:p>
        </w:tc>
        <w:tc>
          <w:tcPr>
            <w:tcW w:w="1134" w:type="dxa"/>
          </w:tcPr>
          <w:p w14:paraId="375F7E9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0.135</w:t>
            </w:r>
          </w:p>
        </w:tc>
        <w:tc>
          <w:tcPr>
            <w:tcW w:w="1313" w:type="dxa"/>
          </w:tcPr>
          <w:p w14:paraId="65881A6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0.261</w:t>
            </w:r>
          </w:p>
        </w:tc>
        <w:tc>
          <w:tcPr>
            <w:tcW w:w="1301" w:type="dxa"/>
          </w:tcPr>
          <w:p w14:paraId="3169E06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0.0648</w:t>
            </w:r>
          </w:p>
        </w:tc>
        <w:tc>
          <w:tcPr>
            <w:tcW w:w="1294" w:type="dxa"/>
          </w:tcPr>
          <w:p w14:paraId="45D3648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0.253</w:t>
            </w:r>
          </w:p>
        </w:tc>
        <w:tc>
          <w:tcPr>
            <w:tcW w:w="1195" w:type="dxa"/>
          </w:tcPr>
          <w:p w14:paraId="59C3777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0.300*</w:t>
            </w:r>
          </w:p>
        </w:tc>
        <w:tc>
          <w:tcPr>
            <w:tcW w:w="1418" w:type="dxa"/>
            <w:tcBorders>
              <w:right w:val="single" w:sz="4" w:space="0" w:color="auto"/>
            </w:tcBorders>
          </w:tcPr>
          <w:p w14:paraId="3ACAD87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0.175</w:t>
            </w:r>
          </w:p>
        </w:tc>
      </w:tr>
      <w:tr w:rsidR="00A9015F" w:rsidRPr="00A9015F" w14:paraId="11AE9BBF" w14:textId="77777777" w:rsidTr="00DE7639">
        <w:trPr>
          <w:trHeight w:val="275"/>
          <w:jc w:val="center"/>
        </w:trPr>
        <w:tc>
          <w:tcPr>
            <w:tcW w:w="2126" w:type="dxa"/>
            <w:tcBorders>
              <w:left w:val="single" w:sz="4" w:space="0" w:color="auto"/>
            </w:tcBorders>
          </w:tcPr>
          <w:p w14:paraId="10C06AB4"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40CA3E4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(0.160)</w:t>
            </w:r>
          </w:p>
        </w:tc>
        <w:tc>
          <w:tcPr>
            <w:tcW w:w="1313" w:type="dxa"/>
          </w:tcPr>
          <w:p w14:paraId="29C4F1A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1301" w:type="dxa"/>
          </w:tcPr>
          <w:p w14:paraId="037874A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(0.141)</w:t>
            </w:r>
          </w:p>
        </w:tc>
        <w:tc>
          <w:tcPr>
            <w:tcW w:w="1294" w:type="dxa"/>
          </w:tcPr>
          <w:p w14:paraId="3F201FB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(0.156)</w:t>
            </w:r>
          </w:p>
        </w:tc>
        <w:tc>
          <w:tcPr>
            <w:tcW w:w="1195" w:type="dxa"/>
          </w:tcPr>
          <w:p w14:paraId="4E6D31F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(0.154)</w:t>
            </w:r>
          </w:p>
        </w:tc>
        <w:tc>
          <w:tcPr>
            <w:tcW w:w="1418" w:type="dxa"/>
            <w:tcBorders>
              <w:right w:val="single" w:sz="4" w:space="0" w:color="auto"/>
            </w:tcBorders>
          </w:tcPr>
          <w:p w14:paraId="4E22374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(0.135)</w:t>
            </w:r>
          </w:p>
        </w:tc>
      </w:tr>
      <w:tr w:rsidR="00A9015F" w:rsidRPr="00A9015F" w14:paraId="52699AFA" w14:textId="77777777" w:rsidTr="00DE7639">
        <w:trPr>
          <w:trHeight w:val="275"/>
          <w:jc w:val="center"/>
        </w:trPr>
        <w:tc>
          <w:tcPr>
            <w:tcW w:w="2126" w:type="dxa"/>
            <w:tcBorders>
              <w:left w:val="single" w:sz="4" w:space="0" w:color="auto"/>
            </w:tcBorders>
          </w:tcPr>
          <w:p w14:paraId="7299ADC6"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Charter Value</w:t>
            </w:r>
          </w:p>
        </w:tc>
        <w:tc>
          <w:tcPr>
            <w:tcW w:w="1134" w:type="dxa"/>
          </w:tcPr>
          <w:p w14:paraId="0CAC786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-0.383*</w:t>
            </w:r>
          </w:p>
        </w:tc>
        <w:tc>
          <w:tcPr>
            <w:tcW w:w="1313" w:type="dxa"/>
          </w:tcPr>
          <w:p w14:paraId="4F93911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-0.391**</w:t>
            </w:r>
          </w:p>
        </w:tc>
        <w:tc>
          <w:tcPr>
            <w:tcW w:w="1301" w:type="dxa"/>
          </w:tcPr>
          <w:p w14:paraId="6B31BD0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-0.377**</w:t>
            </w:r>
          </w:p>
        </w:tc>
        <w:tc>
          <w:tcPr>
            <w:tcW w:w="1294" w:type="dxa"/>
          </w:tcPr>
          <w:p w14:paraId="6E2D8CA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-0.305</w:t>
            </w:r>
          </w:p>
        </w:tc>
        <w:tc>
          <w:tcPr>
            <w:tcW w:w="1195" w:type="dxa"/>
          </w:tcPr>
          <w:p w14:paraId="647AF90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-0.336*</w:t>
            </w:r>
          </w:p>
        </w:tc>
        <w:tc>
          <w:tcPr>
            <w:tcW w:w="1418" w:type="dxa"/>
            <w:tcBorders>
              <w:right w:val="single" w:sz="4" w:space="0" w:color="auto"/>
            </w:tcBorders>
          </w:tcPr>
          <w:p w14:paraId="5CAF76B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-0.364*</w:t>
            </w:r>
          </w:p>
        </w:tc>
      </w:tr>
      <w:tr w:rsidR="00A9015F" w:rsidRPr="00A9015F" w14:paraId="6EC96892" w14:textId="77777777" w:rsidTr="00DE7639">
        <w:trPr>
          <w:trHeight w:val="275"/>
          <w:jc w:val="center"/>
        </w:trPr>
        <w:tc>
          <w:tcPr>
            <w:tcW w:w="2126" w:type="dxa"/>
            <w:tcBorders>
              <w:left w:val="single" w:sz="4" w:space="0" w:color="auto"/>
            </w:tcBorders>
          </w:tcPr>
          <w:p w14:paraId="386B3C84"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04FD69A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(0.194)</w:t>
            </w:r>
          </w:p>
        </w:tc>
        <w:tc>
          <w:tcPr>
            <w:tcW w:w="1313" w:type="dxa"/>
          </w:tcPr>
          <w:p w14:paraId="08CBBD8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(0.180)</w:t>
            </w:r>
          </w:p>
        </w:tc>
        <w:tc>
          <w:tcPr>
            <w:tcW w:w="1301" w:type="dxa"/>
          </w:tcPr>
          <w:p w14:paraId="0B32E04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1294" w:type="dxa"/>
          </w:tcPr>
          <w:p w14:paraId="39D2BD6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(0.205)</w:t>
            </w:r>
          </w:p>
        </w:tc>
        <w:tc>
          <w:tcPr>
            <w:tcW w:w="1195" w:type="dxa"/>
          </w:tcPr>
          <w:p w14:paraId="64B9592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1418" w:type="dxa"/>
            <w:tcBorders>
              <w:right w:val="single" w:sz="4" w:space="0" w:color="auto"/>
            </w:tcBorders>
          </w:tcPr>
          <w:p w14:paraId="359D4E1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(0.188)</w:t>
            </w:r>
          </w:p>
        </w:tc>
      </w:tr>
      <w:tr w:rsidR="00A9015F" w:rsidRPr="00A9015F" w14:paraId="791F4B5C" w14:textId="77777777" w:rsidTr="00DE7639">
        <w:trPr>
          <w:trHeight w:val="275"/>
          <w:jc w:val="center"/>
        </w:trPr>
        <w:tc>
          <w:tcPr>
            <w:tcW w:w="2126" w:type="dxa"/>
            <w:tcBorders>
              <w:left w:val="single" w:sz="4" w:space="0" w:color="auto"/>
            </w:tcBorders>
          </w:tcPr>
          <w:p w14:paraId="3FBDAD4A"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Bank Capital</w:t>
            </w:r>
          </w:p>
        </w:tc>
        <w:tc>
          <w:tcPr>
            <w:tcW w:w="1134" w:type="dxa"/>
          </w:tcPr>
          <w:p w14:paraId="6AADBA4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0.130*</w:t>
            </w:r>
          </w:p>
        </w:tc>
        <w:tc>
          <w:tcPr>
            <w:tcW w:w="1313" w:type="dxa"/>
          </w:tcPr>
          <w:p w14:paraId="25D06A8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0.138*</w:t>
            </w:r>
          </w:p>
        </w:tc>
        <w:tc>
          <w:tcPr>
            <w:tcW w:w="1301" w:type="dxa"/>
          </w:tcPr>
          <w:p w14:paraId="47934EA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0.137*</w:t>
            </w:r>
          </w:p>
        </w:tc>
        <w:tc>
          <w:tcPr>
            <w:tcW w:w="1294" w:type="dxa"/>
          </w:tcPr>
          <w:p w14:paraId="793D2A7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0.0884</w:t>
            </w:r>
          </w:p>
        </w:tc>
        <w:tc>
          <w:tcPr>
            <w:tcW w:w="1195" w:type="dxa"/>
          </w:tcPr>
          <w:p w14:paraId="3A921FB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0.119</w:t>
            </w:r>
          </w:p>
        </w:tc>
        <w:tc>
          <w:tcPr>
            <w:tcW w:w="1418" w:type="dxa"/>
            <w:tcBorders>
              <w:right w:val="single" w:sz="4" w:space="0" w:color="auto"/>
            </w:tcBorders>
          </w:tcPr>
          <w:p w14:paraId="12D7BAA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r>
      <w:tr w:rsidR="00A9015F" w:rsidRPr="00A9015F" w14:paraId="26F362B1" w14:textId="77777777" w:rsidTr="00DE7639">
        <w:trPr>
          <w:trHeight w:val="275"/>
          <w:jc w:val="center"/>
        </w:trPr>
        <w:tc>
          <w:tcPr>
            <w:tcW w:w="2126" w:type="dxa"/>
            <w:tcBorders>
              <w:left w:val="single" w:sz="4" w:space="0" w:color="auto"/>
            </w:tcBorders>
          </w:tcPr>
          <w:p w14:paraId="409B1450"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18671FB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(0.0763)</w:t>
            </w:r>
          </w:p>
        </w:tc>
        <w:tc>
          <w:tcPr>
            <w:tcW w:w="1313" w:type="dxa"/>
          </w:tcPr>
          <w:p w14:paraId="4737D95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(0.0749)</w:t>
            </w:r>
          </w:p>
        </w:tc>
        <w:tc>
          <w:tcPr>
            <w:tcW w:w="1301" w:type="dxa"/>
          </w:tcPr>
          <w:p w14:paraId="4498B03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(0.0767)</w:t>
            </w:r>
          </w:p>
        </w:tc>
        <w:tc>
          <w:tcPr>
            <w:tcW w:w="1294" w:type="dxa"/>
          </w:tcPr>
          <w:p w14:paraId="30AE471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(0.0749)</w:t>
            </w:r>
          </w:p>
        </w:tc>
        <w:tc>
          <w:tcPr>
            <w:tcW w:w="1195" w:type="dxa"/>
          </w:tcPr>
          <w:p w14:paraId="28EA0DE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(0.0768)</w:t>
            </w:r>
          </w:p>
        </w:tc>
        <w:tc>
          <w:tcPr>
            <w:tcW w:w="1418" w:type="dxa"/>
            <w:tcBorders>
              <w:right w:val="single" w:sz="4" w:space="0" w:color="auto"/>
            </w:tcBorders>
          </w:tcPr>
          <w:p w14:paraId="36243AE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(0.0761)</w:t>
            </w:r>
          </w:p>
        </w:tc>
      </w:tr>
      <w:tr w:rsidR="00A9015F" w:rsidRPr="00A9015F" w14:paraId="5F7C27BB" w14:textId="77777777" w:rsidTr="00DE7639">
        <w:trPr>
          <w:trHeight w:val="288"/>
          <w:jc w:val="center"/>
        </w:trPr>
        <w:tc>
          <w:tcPr>
            <w:tcW w:w="2126" w:type="dxa"/>
            <w:tcBorders>
              <w:left w:val="single" w:sz="4" w:space="0" w:color="auto"/>
            </w:tcBorders>
          </w:tcPr>
          <w:p w14:paraId="621DE66F"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ROA</w:t>
            </w:r>
          </w:p>
        </w:tc>
        <w:tc>
          <w:tcPr>
            <w:tcW w:w="1134" w:type="dxa"/>
          </w:tcPr>
          <w:p w14:paraId="301E0AC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-0.178*</w:t>
            </w:r>
          </w:p>
        </w:tc>
        <w:tc>
          <w:tcPr>
            <w:tcW w:w="1313" w:type="dxa"/>
          </w:tcPr>
          <w:p w14:paraId="0B8FBDE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-0.162*</w:t>
            </w:r>
          </w:p>
        </w:tc>
        <w:tc>
          <w:tcPr>
            <w:tcW w:w="1301" w:type="dxa"/>
          </w:tcPr>
          <w:p w14:paraId="2474D8F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-0.180*</w:t>
            </w:r>
          </w:p>
        </w:tc>
        <w:tc>
          <w:tcPr>
            <w:tcW w:w="1294" w:type="dxa"/>
          </w:tcPr>
          <w:p w14:paraId="31B4C00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-0.179*</w:t>
            </w:r>
          </w:p>
        </w:tc>
        <w:tc>
          <w:tcPr>
            <w:tcW w:w="1195" w:type="dxa"/>
          </w:tcPr>
          <w:p w14:paraId="7E383BE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-0.155</w:t>
            </w:r>
          </w:p>
        </w:tc>
        <w:tc>
          <w:tcPr>
            <w:tcW w:w="1418" w:type="dxa"/>
            <w:tcBorders>
              <w:right w:val="single" w:sz="4" w:space="0" w:color="auto"/>
            </w:tcBorders>
          </w:tcPr>
          <w:p w14:paraId="4E604D2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-0.162</w:t>
            </w:r>
          </w:p>
        </w:tc>
      </w:tr>
      <w:tr w:rsidR="00A9015F" w:rsidRPr="00A9015F" w14:paraId="7E3626AA" w14:textId="77777777" w:rsidTr="00DE7639">
        <w:trPr>
          <w:trHeight w:val="275"/>
          <w:jc w:val="center"/>
        </w:trPr>
        <w:tc>
          <w:tcPr>
            <w:tcW w:w="2126" w:type="dxa"/>
            <w:tcBorders>
              <w:left w:val="single" w:sz="4" w:space="0" w:color="auto"/>
            </w:tcBorders>
          </w:tcPr>
          <w:p w14:paraId="390D1FFA"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47909B0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(0.0970)</w:t>
            </w:r>
          </w:p>
        </w:tc>
        <w:tc>
          <w:tcPr>
            <w:tcW w:w="1313" w:type="dxa"/>
          </w:tcPr>
          <w:p w14:paraId="11973F6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(0.0909)</w:t>
            </w:r>
          </w:p>
        </w:tc>
        <w:tc>
          <w:tcPr>
            <w:tcW w:w="1301" w:type="dxa"/>
          </w:tcPr>
          <w:p w14:paraId="7267CAD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(0.0989)</w:t>
            </w:r>
          </w:p>
        </w:tc>
        <w:tc>
          <w:tcPr>
            <w:tcW w:w="1294" w:type="dxa"/>
          </w:tcPr>
          <w:p w14:paraId="12DDD9C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(0.106)</w:t>
            </w:r>
          </w:p>
        </w:tc>
        <w:tc>
          <w:tcPr>
            <w:tcW w:w="1195" w:type="dxa"/>
          </w:tcPr>
          <w:p w14:paraId="63F84CF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(0.0985)</w:t>
            </w:r>
          </w:p>
        </w:tc>
        <w:tc>
          <w:tcPr>
            <w:tcW w:w="1418" w:type="dxa"/>
            <w:tcBorders>
              <w:right w:val="single" w:sz="4" w:space="0" w:color="auto"/>
            </w:tcBorders>
          </w:tcPr>
          <w:p w14:paraId="47AE210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(0.0983)</w:t>
            </w:r>
          </w:p>
        </w:tc>
      </w:tr>
      <w:tr w:rsidR="00A9015F" w:rsidRPr="00A9015F" w14:paraId="75B86ED1" w14:textId="77777777" w:rsidTr="00DE7639">
        <w:trPr>
          <w:trHeight w:val="275"/>
          <w:jc w:val="center"/>
        </w:trPr>
        <w:tc>
          <w:tcPr>
            <w:tcW w:w="2126" w:type="dxa"/>
            <w:tcBorders>
              <w:left w:val="single" w:sz="4" w:space="0" w:color="auto"/>
            </w:tcBorders>
          </w:tcPr>
          <w:p w14:paraId="7E764423"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CEO Tenure</w:t>
            </w:r>
          </w:p>
        </w:tc>
        <w:tc>
          <w:tcPr>
            <w:tcW w:w="1134" w:type="dxa"/>
          </w:tcPr>
          <w:p w14:paraId="1A20E0A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-0.0533</w:t>
            </w:r>
          </w:p>
        </w:tc>
        <w:tc>
          <w:tcPr>
            <w:tcW w:w="1313" w:type="dxa"/>
          </w:tcPr>
          <w:p w14:paraId="7A5692A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-0.0461</w:t>
            </w:r>
          </w:p>
        </w:tc>
        <w:tc>
          <w:tcPr>
            <w:tcW w:w="1301" w:type="dxa"/>
          </w:tcPr>
          <w:p w14:paraId="6645B8E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-0.0501</w:t>
            </w:r>
          </w:p>
        </w:tc>
        <w:tc>
          <w:tcPr>
            <w:tcW w:w="1294" w:type="dxa"/>
          </w:tcPr>
          <w:p w14:paraId="1BD48AC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-0.0589</w:t>
            </w:r>
          </w:p>
        </w:tc>
        <w:tc>
          <w:tcPr>
            <w:tcW w:w="1195" w:type="dxa"/>
          </w:tcPr>
          <w:p w14:paraId="43DBF77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-0.0489</w:t>
            </w:r>
          </w:p>
        </w:tc>
        <w:tc>
          <w:tcPr>
            <w:tcW w:w="1418" w:type="dxa"/>
            <w:tcBorders>
              <w:right w:val="single" w:sz="4" w:space="0" w:color="auto"/>
            </w:tcBorders>
          </w:tcPr>
          <w:p w14:paraId="68B1528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-0.0477</w:t>
            </w:r>
          </w:p>
        </w:tc>
      </w:tr>
      <w:tr w:rsidR="00A9015F" w:rsidRPr="00A9015F" w14:paraId="417BC257" w14:textId="77777777" w:rsidTr="00DE7639">
        <w:trPr>
          <w:trHeight w:val="275"/>
          <w:jc w:val="center"/>
        </w:trPr>
        <w:tc>
          <w:tcPr>
            <w:tcW w:w="2126" w:type="dxa"/>
            <w:tcBorders>
              <w:left w:val="single" w:sz="4" w:space="0" w:color="auto"/>
            </w:tcBorders>
          </w:tcPr>
          <w:p w14:paraId="3F803D57"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35BDFE5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(0.0400)</w:t>
            </w:r>
          </w:p>
        </w:tc>
        <w:tc>
          <w:tcPr>
            <w:tcW w:w="1313" w:type="dxa"/>
          </w:tcPr>
          <w:p w14:paraId="54D3DB6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(0.0399)</w:t>
            </w:r>
          </w:p>
        </w:tc>
        <w:tc>
          <w:tcPr>
            <w:tcW w:w="1301" w:type="dxa"/>
          </w:tcPr>
          <w:p w14:paraId="5E94B8E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(0.0372)</w:t>
            </w:r>
          </w:p>
        </w:tc>
        <w:tc>
          <w:tcPr>
            <w:tcW w:w="1294" w:type="dxa"/>
          </w:tcPr>
          <w:p w14:paraId="0A87A3B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(0.0371)</w:t>
            </w:r>
          </w:p>
        </w:tc>
        <w:tc>
          <w:tcPr>
            <w:tcW w:w="1195" w:type="dxa"/>
          </w:tcPr>
          <w:p w14:paraId="10A02C6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(0.0371)</w:t>
            </w:r>
          </w:p>
        </w:tc>
        <w:tc>
          <w:tcPr>
            <w:tcW w:w="1418" w:type="dxa"/>
            <w:tcBorders>
              <w:right w:val="single" w:sz="4" w:space="0" w:color="auto"/>
            </w:tcBorders>
          </w:tcPr>
          <w:p w14:paraId="6BD4102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(0.0369)</w:t>
            </w:r>
          </w:p>
        </w:tc>
      </w:tr>
      <w:tr w:rsidR="00A9015F" w:rsidRPr="00A9015F" w14:paraId="768BB5C2" w14:textId="77777777" w:rsidTr="00DE7639">
        <w:trPr>
          <w:trHeight w:val="275"/>
          <w:jc w:val="center"/>
        </w:trPr>
        <w:tc>
          <w:tcPr>
            <w:tcW w:w="2126" w:type="dxa"/>
            <w:tcBorders>
              <w:left w:val="single" w:sz="4" w:space="0" w:color="auto"/>
            </w:tcBorders>
          </w:tcPr>
          <w:p w14:paraId="43DB634A"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Risk</w:t>
            </w:r>
          </w:p>
        </w:tc>
        <w:tc>
          <w:tcPr>
            <w:tcW w:w="1134" w:type="dxa"/>
          </w:tcPr>
          <w:p w14:paraId="527CE5F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-0.0565**</w:t>
            </w:r>
          </w:p>
        </w:tc>
        <w:tc>
          <w:tcPr>
            <w:tcW w:w="1313" w:type="dxa"/>
          </w:tcPr>
          <w:p w14:paraId="1C9058D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-0.0656**</w:t>
            </w:r>
          </w:p>
        </w:tc>
        <w:tc>
          <w:tcPr>
            <w:tcW w:w="1301" w:type="dxa"/>
          </w:tcPr>
          <w:p w14:paraId="68AD8EA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-0.0536*</w:t>
            </w:r>
          </w:p>
        </w:tc>
        <w:tc>
          <w:tcPr>
            <w:tcW w:w="1294" w:type="dxa"/>
          </w:tcPr>
          <w:p w14:paraId="6546158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-0.0771**</w:t>
            </w:r>
          </w:p>
        </w:tc>
        <w:tc>
          <w:tcPr>
            <w:tcW w:w="1195" w:type="dxa"/>
          </w:tcPr>
          <w:p w14:paraId="4CB5923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-0.0841***</w:t>
            </w:r>
          </w:p>
        </w:tc>
        <w:tc>
          <w:tcPr>
            <w:tcW w:w="1418" w:type="dxa"/>
            <w:tcBorders>
              <w:right w:val="single" w:sz="4" w:space="0" w:color="auto"/>
            </w:tcBorders>
          </w:tcPr>
          <w:p w14:paraId="6CB8546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-0.0631**</w:t>
            </w:r>
          </w:p>
        </w:tc>
      </w:tr>
      <w:tr w:rsidR="00A9015F" w:rsidRPr="00A9015F" w14:paraId="5EF59A34" w14:textId="77777777" w:rsidTr="00DE7639">
        <w:trPr>
          <w:trHeight w:val="275"/>
          <w:jc w:val="center"/>
        </w:trPr>
        <w:tc>
          <w:tcPr>
            <w:tcW w:w="2126" w:type="dxa"/>
            <w:tcBorders>
              <w:left w:val="single" w:sz="4" w:space="0" w:color="auto"/>
            </w:tcBorders>
          </w:tcPr>
          <w:p w14:paraId="68C8BD7F"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781AB23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(0.0282)</w:t>
            </w:r>
          </w:p>
        </w:tc>
        <w:tc>
          <w:tcPr>
            <w:tcW w:w="1313" w:type="dxa"/>
          </w:tcPr>
          <w:p w14:paraId="3334A6B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(0.0272)</w:t>
            </w:r>
          </w:p>
        </w:tc>
        <w:tc>
          <w:tcPr>
            <w:tcW w:w="1301" w:type="dxa"/>
          </w:tcPr>
          <w:p w14:paraId="05ECFC0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(0.0282)</w:t>
            </w:r>
          </w:p>
        </w:tc>
        <w:tc>
          <w:tcPr>
            <w:tcW w:w="1294" w:type="dxa"/>
          </w:tcPr>
          <w:p w14:paraId="6F8D2C7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(0.0321)</w:t>
            </w:r>
          </w:p>
        </w:tc>
        <w:tc>
          <w:tcPr>
            <w:tcW w:w="1195" w:type="dxa"/>
          </w:tcPr>
          <w:p w14:paraId="15F003F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(0.0291)</w:t>
            </w:r>
          </w:p>
        </w:tc>
        <w:tc>
          <w:tcPr>
            <w:tcW w:w="1418" w:type="dxa"/>
            <w:tcBorders>
              <w:right w:val="single" w:sz="4" w:space="0" w:color="auto"/>
            </w:tcBorders>
          </w:tcPr>
          <w:p w14:paraId="33D3C9E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(0.0280)</w:t>
            </w:r>
          </w:p>
        </w:tc>
      </w:tr>
      <w:tr w:rsidR="00A9015F" w:rsidRPr="00A9015F" w14:paraId="0BC0B0FB" w14:textId="77777777" w:rsidTr="00DE7639">
        <w:trPr>
          <w:trHeight w:val="275"/>
          <w:jc w:val="center"/>
        </w:trPr>
        <w:tc>
          <w:tcPr>
            <w:tcW w:w="2126" w:type="dxa"/>
            <w:tcBorders>
              <w:left w:val="single" w:sz="4" w:space="0" w:color="auto"/>
            </w:tcBorders>
          </w:tcPr>
          <w:p w14:paraId="0F299D54"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Leverage</w:t>
            </w:r>
          </w:p>
        </w:tc>
        <w:tc>
          <w:tcPr>
            <w:tcW w:w="1134" w:type="dxa"/>
          </w:tcPr>
          <w:p w14:paraId="4A854A3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-1.212**</w:t>
            </w:r>
          </w:p>
        </w:tc>
        <w:tc>
          <w:tcPr>
            <w:tcW w:w="1313" w:type="dxa"/>
          </w:tcPr>
          <w:p w14:paraId="767D5B1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-1.280**</w:t>
            </w:r>
          </w:p>
        </w:tc>
        <w:tc>
          <w:tcPr>
            <w:tcW w:w="1301" w:type="dxa"/>
          </w:tcPr>
          <w:p w14:paraId="421BD71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-1.280*</w:t>
            </w:r>
          </w:p>
        </w:tc>
        <w:tc>
          <w:tcPr>
            <w:tcW w:w="1294" w:type="dxa"/>
          </w:tcPr>
          <w:p w14:paraId="4117A2D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-1.111**</w:t>
            </w:r>
          </w:p>
        </w:tc>
        <w:tc>
          <w:tcPr>
            <w:tcW w:w="1195" w:type="dxa"/>
          </w:tcPr>
          <w:p w14:paraId="42CED3E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-1.419**</w:t>
            </w:r>
          </w:p>
        </w:tc>
        <w:tc>
          <w:tcPr>
            <w:tcW w:w="1418" w:type="dxa"/>
            <w:tcBorders>
              <w:right w:val="single" w:sz="4" w:space="0" w:color="auto"/>
            </w:tcBorders>
          </w:tcPr>
          <w:p w14:paraId="13A3BE1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-1.289*</w:t>
            </w:r>
          </w:p>
        </w:tc>
      </w:tr>
      <w:tr w:rsidR="00A9015F" w:rsidRPr="00A9015F" w14:paraId="2C92B1F0" w14:textId="77777777" w:rsidTr="00DE7639">
        <w:trPr>
          <w:trHeight w:val="275"/>
          <w:jc w:val="center"/>
        </w:trPr>
        <w:tc>
          <w:tcPr>
            <w:tcW w:w="2126" w:type="dxa"/>
            <w:tcBorders>
              <w:left w:val="single" w:sz="4" w:space="0" w:color="auto"/>
            </w:tcBorders>
          </w:tcPr>
          <w:p w14:paraId="7A52563C"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43C33FD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(0.575)</w:t>
            </w:r>
          </w:p>
        </w:tc>
        <w:tc>
          <w:tcPr>
            <w:tcW w:w="1313" w:type="dxa"/>
          </w:tcPr>
          <w:p w14:paraId="3474373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(0.502)</w:t>
            </w:r>
          </w:p>
        </w:tc>
        <w:tc>
          <w:tcPr>
            <w:tcW w:w="1301" w:type="dxa"/>
          </w:tcPr>
          <w:p w14:paraId="6977810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(0.692)</w:t>
            </w:r>
          </w:p>
        </w:tc>
        <w:tc>
          <w:tcPr>
            <w:tcW w:w="1294" w:type="dxa"/>
          </w:tcPr>
          <w:p w14:paraId="289E35B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(0.460)</w:t>
            </w:r>
          </w:p>
        </w:tc>
        <w:tc>
          <w:tcPr>
            <w:tcW w:w="1195" w:type="dxa"/>
          </w:tcPr>
          <w:p w14:paraId="587FD2E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(0.688)</w:t>
            </w:r>
          </w:p>
        </w:tc>
        <w:tc>
          <w:tcPr>
            <w:tcW w:w="1418" w:type="dxa"/>
            <w:tcBorders>
              <w:right w:val="single" w:sz="4" w:space="0" w:color="auto"/>
            </w:tcBorders>
          </w:tcPr>
          <w:p w14:paraId="3ACB83F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(0.687)</w:t>
            </w:r>
          </w:p>
        </w:tc>
      </w:tr>
      <w:tr w:rsidR="00A9015F" w:rsidRPr="00A9015F" w14:paraId="2E7670AB" w14:textId="77777777" w:rsidTr="00DE7639">
        <w:trPr>
          <w:trHeight w:val="275"/>
          <w:jc w:val="center"/>
        </w:trPr>
        <w:tc>
          <w:tcPr>
            <w:tcW w:w="2126" w:type="dxa"/>
            <w:tcBorders>
              <w:left w:val="single" w:sz="4" w:space="0" w:color="auto"/>
            </w:tcBorders>
          </w:tcPr>
          <w:p w14:paraId="12C10CCC" w14:textId="1B1303A8"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Total Fine</w:t>
            </w:r>
            <w:r w:rsidR="00940E21">
              <w:rPr>
                <w:rFonts w:ascii="Times New Roman" w:eastAsia="Times New Roman" w:hAnsi="Times New Roman" w:cs="Times New Roman"/>
                <w:sz w:val="20"/>
                <w:szCs w:val="20"/>
              </w:rPr>
              <w:t xml:space="preserve"> t-1</w:t>
            </w:r>
          </w:p>
        </w:tc>
        <w:tc>
          <w:tcPr>
            <w:tcW w:w="1134" w:type="dxa"/>
          </w:tcPr>
          <w:p w14:paraId="1314A1F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0.0335</w:t>
            </w:r>
          </w:p>
        </w:tc>
        <w:tc>
          <w:tcPr>
            <w:tcW w:w="1313" w:type="dxa"/>
          </w:tcPr>
          <w:p w14:paraId="1996288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0.0328</w:t>
            </w:r>
          </w:p>
        </w:tc>
        <w:tc>
          <w:tcPr>
            <w:tcW w:w="1301" w:type="dxa"/>
          </w:tcPr>
          <w:p w14:paraId="309D3B1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0.0324</w:t>
            </w:r>
          </w:p>
        </w:tc>
        <w:tc>
          <w:tcPr>
            <w:tcW w:w="1294" w:type="dxa"/>
          </w:tcPr>
          <w:p w14:paraId="1AF1248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.02955</w:t>
            </w:r>
          </w:p>
        </w:tc>
        <w:tc>
          <w:tcPr>
            <w:tcW w:w="1195" w:type="dxa"/>
          </w:tcPr>
          <w:p w14:paraId="3013C90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0.0238</w:t>
            </w:r>
          </w:p>
        </w:tc>
        <w:tc>
          <w:tcPr>
            <w:tcW w:w="1418" w:type="dxa"/>
            <w:tcBorders>
              <w:right w:val="single" w:sz="4" w:space="0" w:color="auto"/>
            </w:tcBorders>
          </w:tcPr>
          <w:p w14:paraId="0213036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0.0231</w:t>
            </w:r>
          </w:p>
        </w:tc>
      </w:tr>
      <w:tr w:rsidR="00A9015F" w:rsidRPr="00A9015F" w14:paraId="5F94BD2B" w14:textId="77777777" w:rsidTr="00DE7639">
        <w:trPr>
          <w:trHeight w:val="275"/>
          <w:jc w:val="center"/>
        </w:trPr>
        <w:tc>
          <w:tcPr>
            <w:tcW w:w="2126" w:type="dxa"/>
            <w:tcBorders>
              <w:left w:val="single" w:sz="4" w:space="0" w:color="auto"/>
            </w:tcBorders>
          </w:tcPr>
          <w:p w14:paraId="10CD1955"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275187C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(0.0563)</w:t>
            </w:r>
          </w:p>
        </w:tc>
        <w:tc>
          <w:tcPr>
            <w:tcW w:w="1313" w:type="dxa"/>
          </w:tcPr>
          <w:p w14:paraId="7DD1C19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(0.0557)</w:t>
            </w:r>
          </w:p>
        </w:tc>
        <w:tc>
          <w:tcPr>
            <w:tcW w:w="1301" w:type="dxa"/>
          </w:tcPr>
          <w:p w14:paraId="72FCACD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1294" w:type="dxa"/>
          </w:tcPr>
          <w:p w14:paraId="627EF4F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(0.0538)</w:t>
            </w:r>
          </w:p>
        </w:tc>
        <w:tc>
          <w:tcPr>
            <w:tcW w:w="1195" w:type="dxa"/>
          </w:tcPr>
          <w:p w14:paraId="3B8796B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c>
          <w:tcPr>
            <w:tcW w:w="1418" w:type="dxa"/>
            <w:tcBorders>
              <w:right w:val="single" w:sz="4" w:space="0" w:color="auto"/>
            </w:tcBorders>
          </w:tcPr>
          <w:p w14:paraId="5BAEE50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r>
      <w:tr w:rsidR="00A9015F" w:rsidRPr="00A9015F" w14:paraId="40B26479" w14:textId="77777777" w:rsidTr="00DE7639">
        <w:trPr>
          <w:trHeight w:val="275"/>
          <w:jc w:val="center"/>
        </w:trPr>
        <w:tc>
          <w:tcPr>
            <w:tcW w:w="2126" w:type="dxa"/>
            <w:tcBorders>
              <w:left w:val="single" w:sz="4" w:space="0" w:color="auto"/>
            </w:tcBorders>
          </w:tcPr>
          <w:p w14:paraId="6829F7FB"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Constant</w:t>
            </w:r>
          </w:p>
        </w:tc>
        <w:tc>
          <w:tcPr>
            <w:tcW w:w="1134" w:type="dxa"/>
          </w:tcPr>
          <w:p w14:paraId="2D1B3E7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-0.879***</w:t>
            </w:r>
          </w:p>
        </w:tc>
        <w:tc>
          <w:tcPr>
            <w:tcW w:w="1313" w:type="dxa"/>
          </w:tcPr>
          <w:p w14:paraId="09380C6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-0.914***</w:t>
            </w:r>
          </w:p>
        </w:tc>
        <w:tc>
          <w:tcPr>
            <w:tcW w:w="1301" w:type="dxa"/>
          </w:tcPr>
          <w:p w14:paraId="463FEB6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-0.919***</w:t>
            </w:r>
          </w:p>
        </w:tc>
        <w:tc>
          <w:tcPr>
            <w:tcW w:w="1294" w:type="dxa"/>
          </w:tcPr>
          <w:p w14:paraId="1D37E76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-0.745***</w:t>
            </w:r>
          </w:p>
        </w:tc>
        <w:tc>
          <w:tcPr>
            <w:tcW w:w="1195" w:type="dxa"/>
          </w:tcPr>
          <w:p w14:paraId="04B436D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-0.9333***</w:t>
            </w:r>
          </w:p>
        </w:tc>
        <w:tc>
          <w:tcPr>
            <w:tcW w:w="1418" w:type="dxa"/>
            <w:tcBorders>
              <w:right w:val="single" w:sz="4" w:space="0" w:color="auto"/>
            </w:tcBorders>
          </w:tcPr>
          <w:p w14:paraId="10A90F0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-0.925**</w:t>
            </w:r>
          </w:p>
        </w:tc>
      </w:tr>
      <w:tr w:rsidR="00A9015F" w:rsidRPr="00A9015F" w14:paraId="20668523" w14:textId="77777777" w:rsidTr="00DE7639">
        <w:trPr>
          <w:trHeight w:val="275"/>
          <w:jc w:val="center"/>
        </w:trPr>
        <w:tc>
          <w:tcPr>
            <w:tcW w:w="2126" w:type="dxa"/>
            <w:tcBorders>
              <w:left w:val="single" w:sz="4" w:space="0" w:color="auto"/>
            </w:tcBorders>
          </w:tcPr>
          <w:p w14:paraId="16C54323" w14:textId="77777777" w:rsidR="00A9015F" w:rsidRPr="00A9015F" w:rsidRDefault="00A9015F" w:rsidP="00071AF6">
            <w:pPr>
              <w:rPr>
                <w:rFonts w:ascii="Times New Roman" w:eastAsia="Times New Roman" w:hAnsi="Times New Roman" w:cs="Times New Roman"/>
                <w:sz w:val="20"/>
                <w:szCs w:val="20"/>
              </w:rPr>
            </w:pPr>
          </w:p>
        </w:tc>
        <w:tc>
          <w:tcPr>
            <w:tcW w:w="1134" w:type="dxa"/>
          </w:tcPr>
          <w:p w14:paraId="28AD4CA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(0.308)</w:t>
            </w:r>
          </w:p>
        </w:tc>
        <w:tc>
          <w:tcPr>
            <w:tcW w:w="1313" w:type="dxa"/>
          </w:tcPr>
          <w:p w14:paraId="1B61E88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(0.272)</w:t>
            </w:r>
          </w:p>
        </w:tc>
        <w:tc>
          <w:tcPr>
            <w:tcW w:w="1301" w:type="dxa"/>
          </w:tcPr>
          <w:p w14:paraId="1622385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(0.329)</w:t>
            </w:r>
          </w:p>
        </w:tc>
        <w:tc>
          <w:tcPr>
            <w:tcW w:w="1294" w:type="dxa"/>
          </w:tcPr>
          <w:p w14:paraId="39D75AE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(0.464)</w:t>
            </w:r>
          </w:p>
        </w:tc>
        <w:tc>
          <w:tcPr>
            <w:tcW w:w="1195" w:type="dxa"/>
          </w:tcPr>
          <w:p w14:paraId="15C679A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(0.478)</w:t>
            </w:r>
          </w:p>
        </w:tc>
        <w:tc>
          <w:tcPr>
            <w:tcW w:w="1418" w:type="dxa"/>
            <w:tcBorders>
              <w:right w:val="single" w:sz="4" w:space="0" w:color="auto"/>
            </w:tcBorders>
          </w:tcPr>
          <w:p w14:paraId="7A36B91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(0.326)</w:t>
            </w:r>
          </w:p>
        </w:tc>
      </w:tr>
      <w:tr w:rsidR="00A9015F" w:rsidRPr="00A9015F" w14:paraId="497C0944" w14:textId="77777777" w:rsidTr="00DE7639">
        <w:trPr>
          <w:trHeight w:val="275"/>
          <w:jc w:val="center"/>
        </w:trPr>
        <w:tc>
          <w:tcPr>
            <w:tcW w:w="2126" w:type="dxa"/>
            <w:tcBorders>
              <w:left w:val="single" w:sz="4" w:space="0" w:color="auto"/>
            </w:tcBorders>
          </w:tcPr>
          <w:p w14:paraId="180E5FF7"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Year and Bank Control</w:t>
            </w:r>
          </w:p>
        </w:tc>
        <w:tc>
          <w:tcPr>
            <w:tcW w:w="1134" w:type="dxa"/>
          </w:tcPr>
          <w:p w14:paraId="7A844EC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313" w:type="dxa"/>
          </w:tcPr>
          <w:p w14:paraId="40D0515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301" w:type="dxa"/>
          </w:tcPr>
          <w:p w14:paraId="12CE217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294" w:type="dxa"/>
          </w:tcPr>
          <w:p w14:paraId="08E7CE4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195" w:type="dxa"/>
          </w:tcPr>
          <w:p w14:paraId="3FE0EB5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18" w:type="dxa"/>
            <w:tcBorders>
              <w:right w:val="single" w:sz="4" w:space="0" w:color="auto"/>
            </w:tcBorders>
          </w:tcPr>
          <w:p w14:paraId="32B0F38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416D65E2" w14:textId="77777777" w:rsidTr="00DE7639">
        <w:trPr>
          <w:trHeight w:val="275"/>
          <w:jc w:val="center"/>
        </w:trPr>
        <w:tc>
          <w:tcPr>
            <w:tcW w:w="2126" w:type="dxa"/>
            <w:tcBorders>
              <w:left w:val="single" w:sz="4" w:space="0" w:color="auto"/>
              <w:bottom w:val="single" w:sz="4" w:space="0" w:color="auto"/>
            </w:tcBorders>
          </w:tcPr>
          <w:p w14:paraId="367C5384"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Observations</w:t>
            </w:r>
          </w:p>
        </w:tc>
        <w:tc>
          <w:tcPr>
            <w:tcW w:w="1134" w:type="dxa"/>
            <w:tcBorders>
              <w:bottom w:val="single" w:sz="4" w:space="0" w:color="auto"/>
            </w:tcBorders>
          </w:tcPr>
          <w:p w14:paraId="5A9CB25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313" w:type="dxa"/>
            <w:tcBorders>
              <w:bottom w:val="single" w:sz="4" w:space="0" w:color="auto"/>
            </w:tcBorders>
          </w:tcPr>
          <w:p w14:paraId="48718C3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301" w:type="dxa"/>
            <w:tcBorders>
              <w:bottom w:val="single" w:sz="4" w:space="0" w:color="auto"/>
            </w:tcBorders>
          </w:tcPr>
          <w:p w14:paraId="471CFC1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294" w:type="dxa"/>
            <w:tcBorders>
              <w:bottom w:val="single" w:sz="4" w:space="0" w:color="auto"/>
            </w:tcBorders>
          </w:tcPr>
          <w:p w14:paraId="3DFEC2B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195" w:type="dxa"/>
            <w:tcBorders>
              <w:bottom w:val="single" w:sz="4" w:space="0" w:color="auto"/>
            </w:tcBorders>
          </w:tcPr>
          <w:p w14:paraId="718186B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418" w:type="dxa"/>
            <w:tcBorders>
              <w:bottom w:val="single" w:sz="4" w:space="0" w:color="auto"/>
              <w:right w:val="single" w:sz="4" w:space="0" w:color="auto"/>
            </w:tcBorders>
          </w:tcPr>
          <w:p w14:paraId="111A850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r>
      <w:tr w:rsidR="00A9015F" w:rsidRPr="00A9015F" w14:paraId="1ED6C689" w14:textId="77777777" w:rsidTr="00DE7639">
        <w:trPr>
          <w:trHeight w:val="275"/>
          <w:jc w:val="center"/>
        </w:trPr>
        <w:tc>
          <w:tcPr>
            <w:tcW w:w="2126" w:type="dxa"/>
            <w:tcBorders>
              <w:top w:val="single" w:sz="4" w:space="0" w:color="auto"/>
              <w:left w:val="single" w:sz="4" w:space="0" w:color="auto"/>
              <w:bottom w:val="single" w:sz="4" w:space="0" w:color="auto"/>
            </w:tcBorders>
          </w:tcPr>
          <w:p w14:paraId="1CEA65DF" w14:textId="77777777"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R-squared</w:t>
            </w:r>
          </w:p>
        </w:tc>
        <w:tc>
          <w:tcPr>
            <w:tcW w:w="1134" w:type="dxa"/>
            <w:tcBorders>
              <w:top w:val="single" w:sz="4" w:space="0" w:color="auto"/>
              <w:bottom w:val="single" w:sz="4" w:space="0" w:color="auto"/>
            </w:tcBorders>
          </w:tcPr>
          <w:p w14:paraId="6752DC8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0.571</w:t>
            </w:r>
          </w:p>
        </w:tc>
        <w:tc>
          <w:tcPr>
            <w:tcW w:w="1313" w:type="dxa"/>
            <w:tcBorders>
              <w:top w:val="single" w:sz="4" w:space="0" w:color="auto"/>
              <w:bottom w:val="single" w:sz="4" w:space="0" w:color="auto"/>
            </w:tcBorders>
          </w:tcPr>
          <w:p w14:paraId="70E2E99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0.574</w:t>
            </w:r>
          </w:p>
        </w:tc>
        <w:tc>
          <w:tcPr>
            <w:tcW w:w="1301" w:type="dxa"/>
            <w:tcBorders>
              <w:top w:val="single" w:sz="4" w:space="0" w:color="auto"/>
              <w:bottom w:val="single" w:sz="4" w:space="0" w:color="auto"/>
            </w:tcBorders>
          </w:tcPr>
          <w:p w14:paraId="4C27B7F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0.573</w:t>
            </w:r>
          </w:p>
        </w:tc>
        <w:tc>
          <w:tcPr>
            <w:tcW w:w="1294" w:type="dxa"/>
            <w:tcBorders>
              <w:top w:val="single" w:sz="4" w:space="0" w:color="auto"/>
              <w:bottom w:val="single" w:sz="4" w:space="0" w:color="auto"/>
            </w:tcBorders>
          </w:tcPr>
          <w:p w14:paraId="2ACA7466" w14:textId="77777777" w:rsidR="00A9015F" w:rsidRPr="00A9015F" w:rsidRDefault="00A9015F" w:rsidP="00A9015F">
            <w:pPr>
              <w:jc w:val="both"/>
              <w:rPr>
                <w:rFonts w:ascii="Times New Roman" w:eastAsia="Times New Roman" w:hAnsi="Times New Roman" w:cs="Times New Roman"/>
                <w:sz w:val="20"/>
                <w:szCs w:val="20"/>
              </w:rPr>
            </w:pPr>
          </w:p>
        </w:tc>
        <w:tc>
          <w:tcPr>
            <w:tcW w:w="1195" w:type="dxa"/>
            <w:tcBorders>
              <w:top w:val="single" w:sz="4" w:space="0" w:color="auto"/>
              <w:bottom w:val="single" w:sz="4" w:space="0" w:color="auto"/>
            </w:tcBorders>
          </w:tcPr>
          <w:p w14:paraId="33E040D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0.580</w:t>
            </w:r>
          </w:p>
        </w:tc>
        <w:tc>
          <w:tcPr>
            <w:tcW w:w="1418" w:type="dxa"/>
            <w:tcBorders>
              <w:top w:val="single" w:sz="4" w:space="0" w:color="auto"/>
              <w:bottom w:val="single" w:sz="4" w:space="0" w:color="auto"/>
              <w:right w:val="single" w:sz="4" w:space="0" w:color="auto"/>
            </w:tcBorders>
          </w:tcPr>
          <w:p w14:paraId="3D23BB5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0.580</w:t>
            </w:r>
          </w:p>
        </w:tc>
      </w:tr>
    </w:tbl>
    <w:p w14:paraId="0727C0C0" w14:textId="77777777" w:rsidR="00E30E2D" w:rsidRPr="00A9015F" w:rsidRDefault="00E30E2D" w:rsidP="00E30E2D">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The table reports the panel fixed effect model results for the total misconduct fines in year t. independent director’s attributes heterogeneity variables are Gender Heterogeneity, Financial Expertise Heterogeneity, and Tenure Heterogeneity. Gender Heterogeneity is a Blau Index for gender. Financial Expertise Heterogeneity is a Blau index for financial expertise. Tenure Heterogeneity is the </w:t>
      </w:r>
      <w:r>
        <w:rPr>
          <w:rFonts w:ascii="Times New Roman" w:eastAsia="Times New Roman" w:hAnsi="Times New Roman" w:cs="Times New Roman"/>
          <w:sz w:val="20"/>
          <w:szCs w:val="20"/>
        </w:rPr>
        <w:t>coefficient of variation</w:t>
      </w:r>
      <w:r w:rsidRPr="00A9015F">
        <w:rPr>
          <w:rFonts w:ascii="Times New Roman" w:eastAsia="Times New Roman" w:hAnsi="Times New Roman" w:cs="Times New Roman"/>
          <w:sz w:val="20"/>
          <w:szCs w:val="20"/>
        </w:rPr>
        <w:t xml:space="preserve"> of </w:t>
      </w:r>
      <w:r>
        <w:rPr>
          <w:rFonts w:ascii="Times New Roman" w:eastAsia="Times New Roman" w:hAnsi="Times New Roman" w:cs="Times New Roman"/>
          <w:sz w:val="20"/>
          <w:szCs w:val="20"/>
        </w:rPr>
        <w:t xml:space="preserve">an </w:t>
      </w:r>
      <w:r w:rsidRPr="00A9015F">
        <w:rPr>
          <w:rFonts w:ascii="Times New Roman" w:eastAsia="Times New Roman" w:hAnsi="Times New Roman" w:cs="Times New Roman"/>
          <w:sz w:val="20"/>
          <w:szCs w:val="20"/>
        </w:rPr>
        <w:t xml:space="preserve">independent director’s board tenure. INED Heterogeneity Index is a standardized </w:t>
      </w:r>
      <w:r>
        <w:rPr>
          <w:rFonts w:ascii="Times New Roman" w:eastAsia="Times New Roman" w:hAnsi="Times New Roman" w:cs="Times New Roman"/>
          <w:sz w:val="20"/>
          <w:szCs w:val="20"/>
        </w:rPr>
        <w:t>heterogeneity index</w:t>
      </w:r>
      <w:r w:rsidRPr="00A9015F">
        <w:rPr>
          <w:rFonts w:ascii="Times New Roman" w:eastAsia="Times New Roman" w:hAnsi="Times New Roman" w:cs="Times New Roman"/>
          <w:sz w:val="20"/>
          <w:szCs w:val="20"/>
        </w:rPr>
        <w:t xml:space="preserve"> of three independent director</w:t>
      </w:r>
      <w:r>
        <w:rPr>
          <w:rFonts w:ascii="Times New Roman" w:eastAsia="Times New Roman" w:hAnsi="Times New Roman" w:cs="Times New Roman"/>
          <w:sz w:val="20"/>
          <w:szCs w:val="20"/>
        </w:rPr>
        <w:t>s’</w:t>
      </w:r>
      <w:r w:rsidRPr="00A9015F">
        <w:rPr>
          <w:rFonts w:ascii="Times New Roman" w:eastAsia="Times New Roman" w:hAnsi="Times New Roman" w:cs="Times New Roman"/>
          <w:sz w:val="20"/>
          <w:szCs w:val="20"/>
        </w:rPr>
        <w:t xml:space="preserve"> attributes. Board controls include board size and CEO tenure. Bank controls include size, profitability, growth, risk, leverage, capital, </w:t>
      </w:r>
      <w:r>
        <w:rPr>
          <w:rFonts w:ascii="Times New Roman" w:eastAsia="Times New Roman" w:hAnsi="Times New Roman" w:cs="Times New Roman"/>
          <w:sz w:val="20"/>
          <w:szCs w:val="20"/>
        </w:rPr>
        <w:t xml:space="preserve">and </w:t>
      </w:r>
      <w:r w:rsidRPr="00A9015F">
        <w:rPr>
          <w:rFonts w:ascii="Times New Roman" w:eastAsia="Times New Roman" w:hAnsi="Times New Roman" w:cs="Times New Roman"/>
          <w:sz w:val="20"/>
          <w:szCs w:val="20"/>
        </w:rPr>
        <w:t xml:space="preserve">charter value. ***, **, * denote significance at the 1%, 5%, 10% level, respectively. Definitions of the variables are provided in </w:t>
      </w:r>
      <w:r>
        <w:rPr>
          <w:rFonts w:ascii="Times New Roman" w:eastAsia="Times New Roman" w:hAnsi="Times New Roman" w:cs="Times New Roman"/>
          <w:sz w:val="20"/>
          <w:szCs w:val="20"/>
        </w:rPr>
        <w:t>Appendix B</w:t>
      </w:r>
      <w:r w:rsidRPr="00A9015F">
        <w:rPr>
          <w:rFonts w:ascii="Times New Roman" w:eastAsia="Times New Roman" w:hAnsi="Times New Roman" w:cs="Times New Roman"/>
          <w:sz w:val="20"/>
          <w:szCs w:val="20"/>
        </w:rPr>
        <w:t xml:space="preserve">. All independent variables are lagged by one year. Standard errors </w:t>
      </w:r>
      <w:r>
        <w:rPr>
          <w:rFonts w:ascii="Times New Roman" w:eastAsia="Times New Roman" w:hAnsi="Times New Roman" w:cs="Times New Roman"/>
          <w:sz w:val="20"/>
          <w:szCs w:val="20"/>
        </w:rPr>
        <w:t xml:space="preserve">are </w:t>
      </w:r>
      <w:r w:rsidRPr="00A9015F">
        <w:rPr>
          <w:rFonts w:ascii="Times New Roman" w:eastAsia="Times New Roman" w:hAnsi="Times New Roman" w:cs="Times New Roman"/>
          <w:sz w:val="20"/>
          <w:szCs w:val="20"/>
        </w:rPr>
        <w:t>clustered at the bank level and are reported in parentheses.</w:t>
      </w:r>
    </w:p>
    <w:p w14:paraId="12F7CD01" w14:textId="77777777" w:rsidR="00E30E2D" w:rsidRDefault="00E30E2D" w:rsidP="00A9015F">
      <w:pPr>
        <w:jc w:val="both"/>
        <w:rPr>
          <w:rFonts w:ascii="Times New Roman" w:eastAsia="Times New Roman" w:hAnsi="Times New Roman" w:cs="Times New Roman"/>
          <w:sz w:val="24"/>
          <w:szCs w:val="24"/>
        </w:rPr>
      </w:pPr>
    </w:p>
    <w:p w14:paraId="20AC2582" w14:textId="77777777" w:rsidR="00E30E2D" w:rsidRDefault="00E30E2D" w:rsidP="00A9015F">
      <w:pPr>
        <w:jc w:val="both"/>
        <w:rPr>
          <w:rFonts w:ascii="Times New Roman" w:eastAsia="Times New Roman" w:hAnsi="Times New Roman" w:cs="Times New Roman"/>
          <w:sz w:val="24"/>
          <w:szCs w:val="24"/>
        </w:rPr>
      </w:pPr>
    </w:p>
    <w:p w14:paraId="55BC3819" w14:textId="478050E4" w:rsidR="00A9015F" w:rsidRPr="00A9015F" w:rsidRDefault="00A9015F" w:rsidP="00A9015F">
      <w:pPr>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br w:type="page"/>
      </w:r>
    </w:p>
    <w:p w14:paraId="5749A256" w14:textId="15A9A382" w:rsidR="00DE7639" w:rsidRPr="00E30E2D" w:rsidRDefault="00DE7639" w:rsidP="00DE7639">
      <w:pPr>
        <w:ind w:left="142"/>
        <w:jc w:val="both"/>
        <w:rPr>
          <w:rFonts w:ascii="Times New Roman" w:eastAsia="Times New Roman" w:hAnsi="Times New Roman" w:cs="Times New Roman"/>
          <w:b/>
          <w:bCs/>
        </w:rPr>
      </w:pPr>
      <w:bookmarkStart w:id="165" w:name="_Toc132386115"/>
      <w:bookmarkStart w:id="166" w:name="_Toc132437307"/>
      <w:r w:rsidRPr="00E30E2D">
        <w:rPr>
          <w:rFonts w:ascii="Times New Roman" w:hAnsi="Times New Roman" w:cs="Times New Roman"/>
          <w:b/>
          <w:bCs/>
        </w:rPr>
        <w:t>Table 5.</w:t>
      </w:r>
      <w:r w:rsidR="00221C3A">
        <w:rPr>
          <w:rFonts w:ascii="Times New Roman" w:hAnsi="Times New Roman" w:cs="Times New Roman"/>
          <w:b/>
          <w:bCs/>
        </w:rPr>
        <w:t>4</w:t>
      </w:r>
      <w:r w:rsidRPr="00E30E2D">
        <w:rPr>
          <w:rFonts w:ascii="Times New Roman" w:hAnsi="Times New Roman" w:cs="Times New Roman"/>
          <w:b/>
          <w:bCs/>
        </w:rPr>
        <w:t xml:space="preserve">. </w:t>
      </w:r>
      <w:r w:rsidRPr="00E30E2D">
        <w:rPr>
          <w:rFonts w:ascii="Times New Roman" w:eastAsia="Times New Roman" w:hAnsi="Times New Roman" w:cs="Times New Roman"/>
          <w:b/>
          <w:bCs/>
        </w:rPr>
        <w:t>Regression Estimates Using a 2SLS Two-Stage Instrumental Variable (IV) Model.</w:t>
      </w:r>
      <w:bookmarkEnd w:id="165"/>
      <w:bookmarkEnd w:id="166"/>
    </w:p>
    <w:p w14:paraId="0E38332D" w14:textId="77777777" w:rsidR="00DE7639" w:rsidRPr="00DE7639" w:rsidRDefault="00DE7639" w:rsidP="00DE7639">
      <w:pPr>
        <w:ind w:left="142"/>
        <w:jc w:val="both"/>
        <w:rPr>
          <w:rFonts w:ascii="Times New Roman" w:eastAsia="Times New Roman" w:hAnsi="Times New Roman" w:cs="Times New Roman"/>
          <w:b/>
          <w:bCs/>
          <w:sz w:val="20"/>
          <w:szCs w:val="20"/>
        </w:rPr>
      </w:pPr>
    </w:p>
    <w:tbl>
      <w:tblPr>
        <w:tblpPr w:leftFromText="180" w:rightFromText="180" w:vertAnchor="page" w:horzAnchor="margin" w:tblpXSpec="center" w:tblpY="2520"/>
        <w:tblW w:w="8998" w:type="dxa"/>
        <w:tblLayout w:type="fixed"/>
        <w:tblCellMar>
          <w:left w:w="75" w:type="dxa"/>
          <w:right w:w="75" w:type="dxa"/>
        </w:tblCellMar>
        <w:tblLook w:val="0000" w:firstRow="0" w:lastRow="0" w:firstColumn="0" w:lastColumn="0" w:noHBand="0" w:noVBand="0"/>
      </w:tblPr>
      <w:tblGrid>
        <w:gridCol w:w="1862"/>
        <w:gridCol w:w="2430"/>
        <w:gridCol w:w="565"/>
        <w:gridCol w:w="4141"/>
      </w:tblGrid>
      <w:tr w:rsidR="006E71BB" w:rsidRPr="001278ED" w14:paraId="439FB6C0" w14:textId="77777777" w:rsidTr="000463F4">
        <w:trPr>
          <w:trHeight w:val="223"/>
        </w:trPr>
        <w:tc>
          <w:tcPr>
            <w:tcW w:w="1862" w:type="dxa"/>
            <w:tcBorders>
              <w:top w:val="single" w:sz="4" w:space="0" w:color="auto"/>
              <w:left w:val="single" w:sz="4" w:space="0" w:color="auto"/>
              <w:bottom w:val="single" w:sz="4" w:space="0" w:color="auto"/>
            </w:tcBorders>
          </w:tcPr>
          <w:p w14:paraId="1581A813" w14:textId="77777777" w:rsidR="006E71BB" w:rsidRPr="001278ED" w:rsidRDefault="006E71BB" w:rsidP="006E71BB">
            <w:pPr>
              <w:jc w:val="both"/>
              <w:rPr>
                <w:rFonts w:ascii="Times New Roman" w:eastAsia="Times New Roman" w:hAnsi="Times New Roman" w:cs="Times New Roman"/>
                <w:sz w:val="20"/>
                <w:szCs w:val="20"/>
              </w:rPr>
            </w:pPr>
          </w:p>
        </w:tc>
        <w:tc>
          <w:tcPr>
            <w:tcW w:w="2995" w:type="dxa"/>
            <w:gridSpan w:val="2"/>
            <w:tcBorders>
              <w:top w:val="single" w:sz="4" w:space="0" w:color="auto"/>
              <w:bottom w:val="single" w:sz="4" w:space="0" w:color="auto"/>
            </w:tcBorders>
          </w:tcPr>
          <w:p w14:paraId="2A19ADE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w:t>
            </w:r>
          </w:p>
        </w:tc>
        <w:tc>
          <w:tcPr>
            <w:tcW w:w="4140" w:type="dxa"/>
            <w:tcBorders>
              <w:top w:val="single" w:sz="4" w:space="0" w:color="auto"/>
              <w:bottom w:val="single" w:sz="4" w:space="0" w:color="auto"/>
              <w:right w:val="single" w:sz="4" w:space="0" w:color="auto"/>
            </w:tcBorders>
          </w:tcPr>
          <w:p w14:paraId="363252D0"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w:t>
            </w:r>
          </w:p>
        </w:tc>
      </w:tr>
      <w:tr w:rsidR="006E71BB" w:rsidRPr="001278ED" w14:paraId="0B26ADE8" w14:textId="77777777" w:rsidTr="000463F4">
        <w:trPr>
          <w:trHeight w:val="223"/>
        </w:trPr>
        <w:tc>
          <w:tcPr>
            <w:tcW w:w="1862" w:type="dxa"/>
            <w:tcBorders>
              <w:top w:val="single" w:sz="4" w:space="0" w:color="auto"/>
              <w:left w:val="single" w:sz="4" w:space="0" w:color="auto"/>
              <w:bottom w:val="single" w:sz="4" w:space="0" w:color="auto"/>
            </w:tcBorders>
          </w:tcPr>
          <w:p w14:paraId="6132BEA3" w14:textId="77777777" w:rsidR="006E71BB" w:rsidRPr="001278ED" w:rsidRDefault="006E71BB" w:rsidP="006E71BB">
            <w:pPr>
              <w:ind w:left="-76"/>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VARIABLES</w:t>
            </w:r>
          </w:p>
        </w:tc>
        <w:tc>
          <w:tcPr>
            <w:tcW w:w="7136" w:type="dxa"/>
            <w:gridSpan w:val="3"/>
            <w:tcBorders>
              <w:top w:val="single" w:sz="4" w:space="0" w:color="auto"/>
              <w:bottom w:val="single" w:sz="4" w:space="0" w:color="auto"/>
              <w:right w:val="single" w:sz="4" w:space="0" w:color="auto"/>
            </w:tcBorders>
          </w:tcPr>
          <w:p w14:paraId="72C859B7" w14:textId="77777777" w:rsidR="006E71BB" w:rsidRPr="001278ED" w:rsidRDefault="006E71BB" w:rsidP="006E71BB">
            <w:pPr>
              <w:jc w:val="both"/>
              <w:rPr>
                <w:rFonts w:ascii="Times New Roman" w:eastAsia="Times New Roman" w:hAnsi="Times New Roman" w:cs="Times New Roman"/>
                <w:sz w:val="20"/>
                <w:szCs w:val="20"/>
              </w:rPr>
            </w:pPr>
          </w:p>
        </w:tc>
      </w:tr>
      <w:tr w:rsidR="006E71BB" w:rsidRPr="001278ED" w14:paraId="75B40E5B" w14:textId="77777777" w:rsidTr="000463F4">
        <w:trPr>
          <w:trHeight w:val="223"/>
        </w:trPr>
        <w:tc>
          <w:tcPr>
            <w:tcW w:w="1862" w:type="dxa"/>
            <w:tcBorders>
              <w:top w:val="single" w:sz="4" w:space="0" w:color="auto"/>
              <w:left w:val="single" w:sz="4" w:space="0" w:color="auto"/>
              <w:bottom w:val="single" w:sz="4" w:space="0" w:color="auto"/>
            </w:tcBorders>
          </w:tcPr>
          <w:p w14:paraId="65EA4A76" w14:textId="77777777" w:rsidR="006E71BB" w:rsidRPr="001278ED" w:rsidRDefault="006E71BB" w:rsidP="006E71BB">
            <w:pPr>
              <w:jc w:val="both"/>
              <w:rPr>
                <w:rFonts w:ascii="Times New Roman" w:eastAsia="Times New Roman" w:hAnsi="Times New Roman" w:cs="Times New Roman"/>
                <w:sz w:val="20"/>
                <w:szCs w:val="20"/>
              </w:rPr>
            </w:pPr>
          </w:p>
        </w:tc>
        <w:tc>
          <w:tcPr>
            <w:tcW w:w="2430" w:type="dxa"/>
            <w:tcBorders>
              <w:top w:val="single" w:sz="4" w:space="0" w:color="auto"/>
              <w:bottom w:val="single" w:sz="4" w:space="0" w:color="auto"/>
            </w:tcBorders>
          </w:tcPr>
          <w:p w14:paraId="68377F02" w14:textId="77777777" w:rsidR="006E71BB" w:rsidRPr="001278ED" w:rsidRDefault="006E71BB" w:rsidP="006E71BB">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First Stage</w:t>
            </w:r>
          </w:p>
        </w:tc>
        <w:tc>
          <w:tcPr>
            <w:tcW w:w="4705" w:type="dxa"/>
            <w:gridSpan w:val="2"/>
            <w:tcBorders>
              <w:top w:val="single" w:sz="4" w:space="0" w:color="auto"/>
              <w:bottom w:val="single" w:sz="4" w:space="0" w:color="auto"/>
              <w:right w:val="single" w:sz="4" w:space="0" w:color="auto"/>
            </w:tcBorders>
          </w:tcPr>
          <w:p w14:paraId="34107061" w14:textId="77777777" w:rsidR="006E71BB" w:rsidRPr="001278ED" w:rsidRDefault="006E71BB" w:rsidP="006E71BB">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Second Stage</w:t>
            </w:r>
          </w:p>
        </w:tc>
      </w:tr>
      <w:tr w:rsidR="006E71BB" w:rsidRPr="001278ED" w14:paraId="50CE279E" w14:textId="77777777" w:rsidTr="000463F4">
        <w:trPr>
          <w:trHeight w:val="223"/>
        </w:trPr>
        <w:tc>
          <w:tcPr>
            <w:tcW w:w="1862" w:type="dxa"/>
            <w:tcBorders>
              <w:top w:val="single" w:sz="4" w:space="0" w:color="auto"/>
              <w:left w:val="single" w:sz="4" w:space="0" w:color="auto"/>
            </w:tcBorders>
          </w:tcPr>
          <w:p w14:paraId="1797A016" w14:textId="77777777" w:rsidR="006E71BB" w:rsidRPr="001278ED" w:rsidRDefault="006E71BB" w:rsidP="006E71BB">
            <w:pPr>
              <w:jc w:val="both"/>
              <w:rPr>
                <w:rFonts w:ascii="Times New Roman" w:eastAsia="Times New Roman" w:hAnsi="Times New Roman" w:cs="Times New Roman"/>
                <w:sz w:val="20"/>
                <w:szCs w:val="20"/>
              </w:rPr>
            </w:pPr>
          </w:p>
        </w:tc>
        <w:tc>
          <w:tcPr>
            <w:tcW w:w="2995" w:type="dxa"/>
            <w:gridSpan w:val="2"/>
            <w:tcBorders>
              <w:top w:val="single" w:sz="4" w:space="0" w:color="auto"/>
            </w:tcBorders>
          </w:tcPr>
          <w:p w14:paraId="2EE53C8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INED Heterogeneity</w:t>
            </w:r>
          </w:p>
          <w:p w14:paraId="2B505E17" w14:textId="77777777" w:rsidR="006E71BB" w:rsidRPr="001278ED" w:rsidRDefault="006E71BB" w:rsidP="006E71BB">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sz w:val="20"/>
                <w:szCs w:val="20"/>
              </w:rPr>
              <w:t>Index</w:t>
            </w:r>
          </w:p>
        </w:tc>
        <w:tc>
          <w:tcPr>
            <w:tcW w:w="4140" w:type="dxa"/>
            <w:tcBorders>
              <w:top w:val="single" w:sz="4" w:space="0" w:color="auto"/>
              <w:right w:val="single" w:sz="4" w:space="0" w:color="auto"/>
            </w:tcBorders>
          </w:tcPr>
          <w:p w14:paraId="453657A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Misconduct</w:t>
            </w:r>
          </w:p>
        </w:tc>
      </w:tr>
      <w:tr w:rsidR="006E71BB" w:rsidRPr="001278ED" w14:paraId="24351874" w14:textId="77777777" w:rsidTr="000463F4">
        <w:trPr>
          <w:trHeight w:val="448"/>
        </w:trPr>
        <w:tc>
          <w:tcPr>
            <w:tcW w:w="1862" w:type="dxa"/>
            <w:tcBorders>
              <w:left w:val="single" w:sz="4" w:space="0" w:color="auto"/>
            </w:tcBorders>
          </w:tcPr>
          <w:p w14:paraId="0FD2B2D7"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State Population</w:t>
            </w:r>
          </w:p>
        </w:tc>
        <w:tc>
          <w:tcPr>
            <w:tcW w:w="2995" w:type="dxa"/>
            <w:gridSpan w:val="2"/>
          </w:tcPr>
          <w:p w14:paraId="21239ECD"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-0.4147***</w:t>
            </w:r>
          </w:p>
          <w:p w14:paraId="6E8FD6E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 (0.1379)</w:t>
            </w:r>
          </w:p>
        </w:tc>
        <w:tc>
          <w:tcPr>
            <w:tcW w:w="4140" w:type="dxa"/>
            <w:tcBorders>
              <w:right w:val="single" w:sz="4" w:space="0" w:color="auto"/>
            </w:tcBorders>
          </w:tcPr>
          <w:p w14:paraId="1F33E06A" w14:textId="77777777" w:rsidR="006E71BB" w:rsidRPr="001278ED" w:rsidRDefault="006E71BB" w:rsidP="006E71BB">
            <w:pPr>
              <w:jc w:val="both"/>
              <w:rPr>
                <w:rFonts w:ascii="Times New Roman" w:eastAsia="Times New Roman" w:hAnsi="Times New Roman" w:cs="Times New Roman"/>
                <w:sz w:val="20"/>
                <w:szCs w:val="20"/>
              </w:rPr>
            </w:pPr>
          </w:p>
        </w:tc>
      </w:tr>
      <w:tr w:rsidR="006E71BB" w:rsidRPr="001278ED" w14:paraId="0C10F845" w14:textId="77777777" w:rsidTr="000463F4">
        <w:trPr>
          <w:trHeight w:val="223"/>
        </w:trPr>
        <w:tc>
          <w:tcPr>
            <w:tcW w:w="1862" w:type="dxa"/>
            <w:tcBorders>
              <w:left w:val="single" w:sz="4" w:space="0" w:color="auto"/>
            </w:tcBorders>
          </w:tcPr>
          <w:p w14:paraId="23F7DAB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INED Heterogeneity Index</w:t>
            </w:r>
          </w:p>
        </w:tc>
        <w:tc>
          <w:tcPr>
            <w:tcW w:w="2995" w:type="dxa"/>
            <w:gridSpan w:val="2"/>
          </w:tcPr>
          <w:p w14:paraId="768F016F" w14:textId="77777777" w:rsidR="006E71BB" w:rsidRPr="001278ED" w:rsidRDefault="006E71BB" w:rsidP="006E71BB">
            <w:pPr>
              <w:jc w:val="both"/>
              <w:rPr>
                <w:rFonts w:ascii="Times New Roman" w:eastAsia="Times New Roman" w:hAnsi="Times New Roman" w:cs="Times New Roman"/>
                <w:sz w:val="20"/>
                <w:szCs w:val="20"/>
              </w:rPr>
            </w:pPr>
          </w:p>
        </w:tc>
        <w:tc>
          <w:tcPr>
            <w:tcW w:w="4140" w:type="dxa"/>
            <w:tcBorders>
              <w:right w:val="single" w:sz="4" w:space="0" w:color="auto"/>
            </w:tcBorders>
          </w:tcPr>
          <w:p w14:paraId="673706C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-0.6328*** </w:t>
            </w:r>
          </w:p>
          <w:p w14:paraId="450C832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(0.2669)</w:t>
            </w:r>
          </w:p>
        </w:tc>
      </w:tr>
      <w:tr w:rsidR="006E71BB" w:rsidRPr="001278ED" w14:paraId="67CE6F26" w14:textId="77777777" w:rsidTr="000463F4">
        <w:trPr>
          <w:trHeight w:val="223"/>
        </w:trPr>
        <w:tc>
          <w:tcPr>
            <w:tcW w:w="1862" w:type="dxa"/>
            <w:tcBorders>
              <w:left w:val="single" w:sz="4" w:space="0" w:color="auto"/>
            </w:tcBorders>
          </w:tcPr>
          <w:p w14:paraId="021114E9"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Board Independence</w:t>
            </w:r>
          </w:p>
        </w:tc>
        <w:tc>
          <w:tcPr>
            <w:tcW w:w="2995" w:type="dxa"/>
            <w:gridSpan w:val="2"/>
          </w:tcPr>
          <w:p w14:paraId="645BD7B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0.3169***</w:t>
            </w:r>
          </w:p>
          <w:p w14:paraId="326F02E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(0.1381)</w:t>
            </w:r>
          </w:p>
        </w:tc>
        <w:tc>
          <w:tcPr>
            <w:tcW w:w="4140" w:type="dxa"/>
            <w:tcBorders>
              <w:right w:val="single" w:sz="4" w:space="0" w:color="auto"/>
            </w:tcBorders>
          </w:tcPr>
          <w:p w14:paraId="67CF926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0.3395***</w:t>
            </w:r>
          </w:p>
          <w:p w14:paraId="2130CA52"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(0.1429)</w:t>
            </w:r>
          </w:p>
        </w:tc>
      </w:tr>
      <w:tr w:rsidR="006E71BB" w:rsidRPr="001278ED" w14:paraId="097770BA" w14:textId="77777777" w:rsidTr="000463F4">
        <w:trPr>
          <w:trHeight w:val="448"/>
        </w:trPr>
        <w:tc>
          <w:tcPr>
            <w:tcW w:w="1862" w:type="dxa"/>
            <w:tcBorders>
              <w:left w:val="single" w:sz="4" w:space="0" w:color="auto"/>
            </w:tcBorders>
          </w:tcPr>
          <w:p w14:paraId="758AE9F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Board Size </w:t>
            </w:r>
          </w:p>
        </w:tc>
        <w:tc>
          <w:tcPr>
            <w:tcW w:w="2995" w:type="dxa"/>
            <w:gridSpan w:val="2"/>
          </w:tcPr>
          <w:p w14:paraId="6D3E3E1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1.7929***</w:t>
            </w:r>
          </w:p>
          <w:p w14:paraId="07E0A2F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(0.7089) </w:t>
            </w:r>
          </w:p>
        </w:tc>
        <w:tc>
          <w:tcPr>
            <w:tcW w:w="4140" w:type="dxa"/>
            <w:tcBorders>
              <w:right w:val="single" w:sz="4" w:space="0" w:color="auto"/>
            </w:tcBorders>
          </w:tcPr>
          <w:p w14:paraId="4FD9AB63"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1.1425</w:t>
            </w:r>
          </w:p>
          <w:p w14:paraId="6C90C8E2"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(0.7266)</w:t>
            </w:r>
          </w:p>
        </w:tc>
      </w:tr>
      <w:tr w:rsidR="006E71BB" w:rsidRPr="001278ED" w14:paraId="75329C48" w14:textId="77777777" w:rsidTr="000463F4">
        <w:trPr>
          <w:trHeight w:val="448"/>
        </w:trPr>
        <w:tc>
          <w:tcPr>
            <w:tcW w:w="1862" w:type="dxa"/>
            <w:tcBorders>
              <w:left w:val="single" w:sz="4" w:space="0" w:color="auto"/>
            </w:tcBorders>
          </w:tcPr>
          <w:p w14:paraId="462C555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Bank Size</w:t>
            </w:r>
          </w:p>
        </w:tc>
        <w:tc>
          <w:tcPr>
            <w:tcW w:w="2995" w:type="dxa"/>
            <w:gridSpan w:val="2"/>
          </w:tcPr>
          <w:p w14:paraId="2DD2557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0.0392</w:t>
            </w:r>
          </w:p>
          <w:p w14:paraId="7925FA9D"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(0.1045)</w:t>
            </w:r>
          </w:p>
        </w:tc>
        <w:tc>
          <w:tcPr>
            <w:tcW w:w="4140" w:type="dxa"/>
            <w:tcBorders>
              <w:right w:val="single" w:sz="4" w:space="0" w:color="auto"/>
            </w:tcBorders>
          </w:tcPr>
          <w:p w14:paraId="410C5C4F"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0.3619***</w:t>
            </w:r>
          </w:p>
          <w:p w14:paraId="123E2588"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(0.0839)</w:t>
            </w:r>
          </w:p>
        </w:tc>
      </w:tr>
      <w:tr w:rsidR="006E71BB" w:rsidRPr="001278ED" w14:paraId="18D100DF" w14:textId="77777777" w:rsidTr="000463F4">
        <w:trPr>
          <w:trHeight w:val="448"/>
        </w:trPr>
        <w:tc>
          <w:tcPr>
            <w:tcW w:w="1862" w:type="dxa"/>
            <w:tcBorders>
              <w:left w:val="single" w:sz="4" w:space="0" w:color="auto"/>
            </w:tcBorders>
          </w:tcPr>
          <w:p w14:paraId="31A27A1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Growth</w:t>
            </w:r>
          </w:p>
        </w:tc>
        <w:tc>
          <w:tcPr>
            <w:tcW w:w="2995" w:type="dxa"/>
            <w:gridSpan w:val="2"/>
          </w:tcPr>
          <w:p w14:paraId="413332B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30.557***</w:t>
            </w:r>
          </w:p>
          <w:p w14:paraId="642CF583"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 (13.662)</w:t>
            </w:r>
          </w:p>
        </w:tc>
        <w:tc>
          <w:tcPr>
            <w:tcW w:w="4140" w:type="dxa"/>
            <w:tcBorders>
              <w:right w:val="single" w:sz="4" w:space="0" w:color="auto"/>
            </w:tcBorders>
          </w:tcPr>
          <w:p w14:paraId="2BD37F6D"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26.67**</w:t>
            </w:r>
          </w:p>
          <w:p w14:paraId="6BCC547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(14.125)</w:t>
            </w:r>
          </w:p>
        </w:tc>
      </w:tr>
      <w:tr w:rsidR="006E71BB" w:rsidRPr="001278ED" w14:paraId="1A36C02B" w14:textId="77777777" w:rsidTr="000463F4">
        <w:trPr>
          <w:trHeight w:val="448"/>
        </w:trPr>
        <w:tc>
          <w:tcPr>
            <w:tcW w:w="1862" w:type="dxa"/>
            <w:tcBorders>
              <w:left w:val="single" w:sz="4" w:space="0" w:color="auto"/>
            </w:tcBorders>
          </w:tcPr>
          <w:p w14:paraId="251B21F0"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Charter Value</w:t>
            </w:r>
          </w:p>
        </w:tc>
        <w:tc>
          <w:tcPr>
            <w:tcW w:w="2995" w:type="dxa"/>
            <w:gridSpan w:val="2"/>
          </w:tcPr>
          <w:p w14:paraId="1CF1AD23"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-0.4909</w:t>
            </w:r>
          </w:p>
          <w:p w14:paraId="7E8BCCF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(1.0083)</w:t>
            </w:r>
          </w:p>
        </w:tc>
        <w:tc>
          <w:tcPr>
            <w:tcW w:w="4140" w:type="dxa"/>
            <w:tcBorders>
              <w:right w:val="single" w:sz="4" w:space="0" w:color="auto"/>
            </w:tcBorders>
          </w:tcPr>
          <w:p w14:paraId="5443E55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-0.1088</w:t>
            </w:r>
          </w:p>
          <w:p w14:paraId="4BC330DF"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(0.8115)</w:t>
            </w:r>
          </w:p>
        </w:tc>
      </w:tr>
      <w:tr w:rsidR="006E71BB" w:rsidRPr="001278ED" w14:paraId="749B28EE" w14:textId="77777777" w:rsidTr="000463F4">
        <w:trPr>
          <w:trHeight w:val="448"/>
        </w:trPr>
        <w:tc>
          <w:tcPr>
            <w:tcW w:w="1862" w:type="dxa"/>
            <w:tcBorders>
              <w:left w:val="single" w:sz="4" w:space="0" w:color="auto"/>
            </w:tcBorders>
          </w:tcPr>
          <w:p w14:paraId="4176ED57"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Capital</w:t>
            </w:r>
          </w:p>
        </w:tc>
        <w:tc>
          <w:tcPr>
            <w:tcW w:w="2995" w:type="dxa"/>
            <w:gridSpan w:val="2"/>
          </w:tcPr>
          <w:p w14:paraId="0A7BF388"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0.0446</w:t>
            </w:r>
          </w:p>
          <w:p w14:paraId="503A627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(0.0367)</w:t>
            </w:r>
          </w:p>
        </w:tc>
        <w:tc>
          <w:tcPr>
            <w:tcW w:w="4140" w:type="dxa"/>
            <w:tcBorders>
              <w:right w:val="single" w:sz="4" w:space="0" w:color="auto"/>
            </w:tcBorders>
          </w:tcPr>
          <w:p w14:paraId="6AE0B36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-0.0794**</w:t>
            </w:r>
          </w:p>
          <w:p w14:paraId="494EF1B2"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(0.0283)</w:t>
            </w:r>
          </w:p>
        </w:tc>
      </w:tr>
      <w:tr w:rsidR="006E71BB" w:rsidRPr="001278ED" w14:paraId="0150BC3A" w14:textId="77777777" w:rsidTr="000463F4">
        <w:trPr>
          <w:trHeight w:val="448"/>
        </w:trPr>
        <w:tc>
          <w:tcPr>
            <w:tcW w:w="1862" w:type="dxa"/>
            <w:tcBorders>
              <w:left w:val="single" w:sz="4" w:space="0" w:color="auto"/>
            </w:tcBorders>
          </w:tcPr>
          <w:p w14:paraId="7F7E288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ROA</w:t>
            </w:r>
          </w:p>
        </w:tc>
        <w:tc>
          <w:tcPr>
            <w:tcW w:w="2995" w:type="dxa"/>
            <w:gridSpan w:val="2"/>
          </w:tcPr>
          <w:p w14:paraId="25E666E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-0.9950</w:t>
            </w:r>
          </w:p>
          <w:p w14:paraId="1305FF30"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(5.9902)</w:t>
            </w:r>
          </w:p>
        </w:tc>
        <w:tc>
          <w:tcPr>
            <w:tcW w:w="4140" w:type="dxa"/>
            <w:tcBorders>
              <w:right w:val="single" w:sz="4" w:space="0" w:color="auto"/>
            </w:tcBorders>
          </w:tcPr>
          <w:p w14:paraId="681B9D6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0.04737</w:t>
            </w:r>
          </w:p>
          <w:p w14:paraId="0672E891"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(0.0323)</w:t>
            </w:r>
          </w:p>
        </w:tc>
      </w:tr>
      <w:tr w:rsidR="006E71BB" w:rsidRPr="001278ED" w14:paraId="46412DCB" w14:textId="77777777" w:rsidTr="000463F4">
        <w:trPr>
          <w:trHeight w:val="448"/>
        </w:trPr>
        <w:tc>
          <w:tcPr>
            <w:tcW w:w="1862" w:type="dxa"/>
            <w:tcBorders>
              <w:left w:val="single" w:sz="4" w:space="0" w:color="auto"/>
            </w:tcBorders>
          </w:tcPr>
          <w:p w14:paraId="11519D5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CEO Tenure</w:t>
            </w:r>
          </w:p>
        </w:tc>
        <w:tc>
          <w:tcPr>
            <w:tcW w:w="2995" w:type="dxa"/>
            <w:gridSpan w:val="2"/>
          </w:tcPr>
          <w:p w14:paraId="030EDDA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0.0189***</w:t>
            </w:r>
          </w:p>
          <w:p w14:paraId="6C59AE49"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 (0.0292)</w:t>
            </w:r>
          </w:p>
        </w:tc>
        <w:tc>
          <w:tcPr>
            <w:tcW w:w="4140" w:type="dxa"/>
            <w:tcBorders>
              <w:right w:val="single" w:sz="4" w:space="0" w:color="auto"/>
            </w:tcBorders>
          </w:tcPr>
          <w:p w14:paraId="4780169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0.0501*</w:t>
            </w:r>
          </w:p>
          <w:p w14:paraId="17EEFBD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(0.0293)</w:t>
            </w:r>
          </w:p>
        </w:tc>
      </w:tr>
      <w:tr w:rsidR="006E71BB" w:rsidRPr="001278ED" w14:paraId="15D0B3BC" w14:textId="77777777" w:rsidTr="000463F4">
        <w:trPr>
          <w:trHeight w:val="673"/>
        </w:trPr>
        <w:tc>
          <w:tcPr>
            <w:tcW w:w="1862" w:type="dxa"/>
            <w:tcBorders>
              <w:left w:val="single" w:sz="4" w:space="0" w:color="auto"/>
            </w:tcBorders>
          </w:tcPr>
          <w:p w14:paraId="4D869CC9"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Risk</w:t>
            </w:r>
          </w:p>
        </w:tc>
        <w:tc>
          <w:tcPr>
            <w:tcW w:w="2995" w:type="dxa"/>
            <w:gridSpan w:val="2"/>
          </w:tcPr>
          <w:p w14:paraId="4039B54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-0.4577</w:t>
            </w:r>
          </w:p>
          <w:p w14:paraId="00EBE147"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(15.704)</w:t>
            </w:r>
          </w:p>
        </w:tc>
        <w:tc>
          <w:tcPr>
            <w:tcW w:w="4140" w:type="dxa"/>
            <w:tcBorders>
              <w:right w:val="single" w:sz="4" w:space="0" w:color="auto"/>
            </w:tcBorders>
          </w:tcPr>
          <w:p w14:paraId="742DFFA9"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-12.890*</w:t>
            </w:r>
          </w:p>
          <w:p w14:paraId="23B5F04E"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(24.200)</w:t>
            </w:r>
          </w:p>
        </w:tc>
      </w:tr>
      <w:tr w:rsidR="006E71BB" w:rsidRPr="001278ED" w14:paraId="5F5335CA" w14:textId="77777777" w:rsidTr="000463F4">
        <w:trPr>
          <w:trHeight w:val="448"/>
        </w:trPr>
        <w:tc>
          <w:tcPr>
            <w:tcW w:w="1862" w:type="dxa"/>
            <w:tcBorders>
              <w:left w:val="single" w:sz="4" w:space="0" w:color="auto"/>
            </w:tcBorders>
          </w:tcPr>
          <w:p w14:paraId="028BED2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Leverage</w:t>
            </w:r>
          </w:p>
        </w:tc>
        <w:tc>
          <w:tcPr>
            <w:tcW w:w="2995" w:type="dxa"/>
            <w:gridSpan w:val="2"/>
          </w:tcPr>
          <w:p w14:paraId="4D15609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1.4906</w:t>
            </w:r>
          </w:p>
          <w:p w14:paraId="4828150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(1.4127)</w:t>
            </w:r>
          </w:p>
        </w:tc>
        <w:tc>
          <w:tcPr>
            <w:tcW w:w="4140" w:type="dxa"/>
            <w:tcBorders>
              <w:right w:val="single" w:sz="4" w:space="0" w:color="auto"/>
            </w:tcBorders>
          </w:tcPr>
          <w:p w14:paraId="44BC25B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1.4106</w:t>
            </w:r>
          </w:p>
          <w:p w14:paraId="00FF5B03"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(1.7028)</w:t>
            </w:r>
          </w:p>
        </w:tc>
      </w:tr>
      <w:tr w:rsidR="006E71BB" w:rsidRPr="001278ED" w14:paraId="5E2D0B79" w14:textId="77777777" w:rsidTr="000463F4">
        <w:trPr>
          <w:trHeight w:val="448"/>
        </w:trPr>
        <w:tc>
          <w:tcPr>
            <w:tcW w:w="1862" w:type="dxa"/>
            <w:tcBorders>
              <w:left w:val="single" w:sz="4" w:space="0" w:color="auto"/>
            </w:tcBorders>
          </w:tcPr>
          <w:p w14:paraId="16436CF7" w14:textId="55F97CD2"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Total Fine</w:t>
            </w:r>
            <w:r w:rsidR="00940E21">
              <w:rPr>
                <w:rFonts w:ascii="Times New Roman" w:eastAsia="Times New Roman" w:hAnsi="Times New Roman" w:cs="Times New Roman"/>
                <w:sz w:val="20"/>
                <w:szCs w:val="20"/>
              </w:rPr>
              <w:t xml:space="preserve"> t-1</w:t>
            </w:r>
          </w:p>
        </w:tc>
        <w:tc>
          <w:tcPr>
            <w:tcW w:w="2995" w:type="dxa"/>
            <w:gridSpan w:val="2"/>
          </w:tcPr>
          <w:p w14:paraId="33B7F1D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 -0.1211</w:t>
            </w:r>
          </w:p>
          <w:p w14:paraId="32C64C41"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(0.1638)</w:t>
            </w:r>
          </w:p>
        </w:tc>
        <w:tc>
          <w:tcPr>
            <w:tcW w:w="4140" w:type="dxa"/>
            <w:tcBorders>
              <w:right w:val="single" w:sz="4" w:space="0" w:color="auto"/>
            </w:tcBorders>
          </w:tcPr>
          <w:p w14:paraId="7C683074"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0.5579***</w:t>
            </w:r>
          </w:p>
          <w:p w14:paraId="4417BFF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(0.2154)</w:t>
            </w:r>
          </w:p>
        </w:tc>
      </w:tr>
      <w:tr w:rsidR="006E71BB" w:rsidRPr="001278ED" w14:paraId="04524BF0" w14:textId="77777777" w:rsidTr="000463F4">
        <w:trPr>
          <w:trHeight w:val="448"/>
        </w:trPr>
        <w:tc>
          <w:tcPr>
            <w:tcW w:w="1862" w:type="dxa"/>
            <w:tcBorders>
              <w:left w:val="single" w:sz="4" w:space="0" w:color="auto"/>
            </w:tcBorders>
          </w:tcPr>
          <w:p w14:paraId="011E1480"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Constant</w:t>
            </w:r>
          </w:p>
        </w:tc>
        <w:tc>
          <w:tcPr>
            <w:tcW w:w="2995" w:type="dxa"/>
            <w:gridSpan w:val="2"/>
          </w:tcPr>
          <w:p w14:paraId="7A05296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5.0471***</w:t>
            </w:r>
          </w:p>
          <w:p w14:paraId="3312F38C"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(1.7860)</w:t>
            </w:r>
          </w:p>
        </w:tc>
        <w:tc>
          <w:tcPr>
            <w:tcW w:w="4140" w:type="dxa"/>
            <w:tcBorders>
              <w:right w:val="single" w:sz="4" w:space="0" w:color="auto"/>
            </w:tcBorders>
          </w:tcPr>
          <w:p w14:paraId="791602AB"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-6.2164***</w:t>
            </w:r>
          </w:p>
          <w:p w14:paraId="5C715EE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(1.6690)</w:t>
            </w:r>
          </w:p>
        </w:tc>
      </w:tr>
      <w:tr w:rsidR="006E71BB" w:rsidRPr="001278ED" w14:paraId="68697923" w14:textId="77777777" w:rsidTr="000463F4">
        <w:trPr>
          <w:trHeight w:val="223"/>
        </w:trPr>
        <w:tc>
          <w:tcPr>
            <w:tcW w:w="1862" w:type="dxa"/>
            <w:tcBorders>
              <w:left w:val="single" w:sz="4" w:space="0" w:color="auto"/>
            </w:tcBorders>
          </w:tcPr>
          <w:p w14:paraId="6437FA5F"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Observations</w:t>
            </w:r>
          </w:p>
        </w:tc>
        <w:tc>
          <w:tcPr>
            <w:tcW w:w="2995" w:type="dxa"/>
            <w:gridSpan w:val="2"/>
          </w:tcPr>
          <w:p w14:paraId="528CF397"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c>
          <w:tcPr>
            <w:tcW w:w="4140" w:type="dxa"/>
            <w:tcBorders>
              <w:right w:val="single" w:sz="4" w:space="0" w:color="auto"/>
            </w:tcBorders>
          </w:tcPr>
          <w:p w14:paraId="0469C2F9"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r>
      <w:tr w:rsidR="006E71BB" w:rsidRPr="001278ED" w14:paraId="45497034" w14:textId="77777777" w:rsidTr="000463F4">
        <w:trPr>
          <w:trHeight w:val="223"/>
        </w:trPr>
        <w:tc>
          <w:tcPr>
            <w:tcW w:w="1862" w:type="dxa"/>
            <w:tcBorders>
              <w:left w:val="single" w:sz="4" w:space="0" w:color="auto"/>
            </w:tcBorders>
          </w:tcPr>
          <w:p w14:paraId="315913C6"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Year and Bank FE</w:t>
            </w:r>
          </w:p>
        </w:tc>
        <w:tc>
          <w:tcPr>
            <w:tcW w:w="2995" w:type="dxa"/>
            <w:gridSpan w:val="2"/>
          </w:tcPr>
          <w:p w14:paraId="41586786"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c>
          <w:tcPr>
            <w:tcW w:w="4140" w:type="dxa"/>
            <w:tcBorders>
              <w:right w:val="single" w:sz="4" w:space="0" w:color="auto"/>
            </w:tcBorders>
          </w:tcPr>
          <w:p w14:paraId="77885C4A"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r>
      <w:tr w:rsidR="006E71BB" w:rsidRPr="001278ED" w14:paraId="3FCE7CE0" w14:textId="77777777" w:rsidTr="000463F4">
        <w:trPr>
          <w:trHeight w:val="223"/>
        </w:trPr>
        <w:tc>
          <w:tcPr>
            <w:tcW w:w="1862" w:type="dxa"/>
            <w:tcBorders>
              <w:left w:val="single" w:sz="4" w:space="0" w:color="auto"/>
            </w:tcBorders>
          </w:tcPr>
          <w:p w14:paraId="2D625555"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R-squared</w:t>
            </w:r>
          </w:p>
        </w:tc>
        <w:tc>
          <w:tcPr>
            <w:tcW w:w="2995" w:type="dxa"/>
            <w:gridSpan w:val="2"/>
          </w:tcPr>
          <w:p w14:paraId="30705A92"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0.275</w:t>
            </w:r>
          </w:p>
        </w:tc>
        <w:tc>
          <w:tcPr>
            <w:tcW w:w="4140" w:type="dxa"/>
            <w:tcBorders>
              <w:right w:val="single" w:sz="4" w:space="0" w:color="auto"/>
            </w:tcBorders>
          </w:tcPr>
          <w:p w14:paraId="614F71D2"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0.264</w:t>
            </w:r>
          </w:p>
        </w:tc>
      </w:tr>
      <w:tr w:rsidR="006E71BB" w:rsidRPr="001278ED" w14:paraId="1429FCF3" w14:textId="77777777" w:rsidTr="000463F4">
        <w:trPr>
          <w:trHeight w:val="223"/>
        </w:trPr>
        <w:tc>
          <w:tcPr>
            <w:tcW w:w="1862" w:type="dxa"/>
            <w:tcBorders>
              <w:left w:val="single" w:sz="4" w:space="0" w:color="auto"/>
            </w:tcBorders>
          </w:tcPr>
          <w:p w14:paraId="6F997351" w14:textId="77777777" w:rsidR="006E71BB" w:rsidRPr="001278ED" w:rsidRDefault="006E71BB" w:rsidP="006E71BB">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Endogeneity Test</w:t>
            </w:r>
          </w:p>
        </w:tc>
        <w:tc>
          <w:tcPr>
            <w:tcW w:w="2995" w:type="dxa"/>
            <w:gridSpan w:val="2"/>
          </w:tcPr>
          <w:p w14:paraId="6CE9D160" w14:textId="77777777" w:rsidR="006E71BB" w:rsidRPr="001278ED" w:rsidRDefault="006E71BB" w:rsidP="006E71BB">
            <w:pPr>
              <w:jc w:val="both"/>
              <w:rPr>
                <w:rFonts w:ascii="Times New Roman" w:eastAsia="Times New Roman" w:hAnsi="Times New Roman" w:cs="Times New Roman"/>
                <w:sz w:val="20"/>
                <w:szCs w:val="20"/>
              </w:rPr>
            </w:pPr>
          </w:p>
        </w:tc>
        <w:tc>
          <w:tcPr>
            <w:tcW w:w="4140" w:type="dxa"/>
            <w:tcBorders>
              <w:right w:val="single" w:sz="4" w:space="0" w:color="auto"/>
            </w:tcBorders>
          </w:tcPr>
          <w:p w14:paraId="61123FE4" w14:textId="77777777" w:rsidR="006E71BB" w:rsidRPr="001278ED" w:rsidRDefault="006E71BB" w:rsidP="006E71BB">
            <w:pPr>
              <w:jc w:val="both"/>
              <w:rPr>
                <w:rFonts w:ascii="Times New Roman" w:eastAsia="Times New Roman" w:hAnsi="Times New Roman" w:cs="Times New Roman"/>
                <w:sz w:val="20"/>
                <w:szCs w:val="20"/>
              </w:rPr>
            </w:pPr>
          </w:p>
        </w:tc>
      </w:tr>
      <w:tr w:rsidR="006E71BB" w:rsidRPr="001278ED" w14:paraId="200F2B1A" w14:textId="77777777" w:rsidTr="000463F4">
        <w:trPr>
          <w:trHeight w:val="223"/>
        </w:trPr>
        <w:tc>
          <w:tcPr>
            <w:tcW w:w="1862" w:type="dxa"/>
            <w:tcBorders>
              <w:left w:val="single" w:sz="4" w:space="0" w:color="auto"/>
            </w:tcBorders>
          </w:tcPr>
          <w:p w14:paraId="29D9B811"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Wu Hausman F Statistics</w:t>
            </w:r>
          </w:p>
        </w:tc>
        <w:tc>
          <w:tcPr>
            <w:tcW w:w="2995" w:type="dxa"/>
            <w:gridSpan w:val="2"/>
          </w:tcPr>
          <w:p w14:paraId="20772A16"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13.42***</w:t>
            </w:r>
          </w:p>
        </w:tc>
        <w:tc>
          <w:tcPr>
            <w:tcW w:w="4140" w:type="dxa"/>
            <w:tcBorders>
              <w:right w:val="single" w:sz="4" w:space="0" w:color="auto"/>
            </w:tcBorders>
          </w:tcPr>
          <w:p w14:paraId="16965387" w14:textId="77777777" w:rsidR="006E71BB" w:rsidRPr="001278ED" w:rsidRDefault="006E71BB" w:rsidP="006E71BB">
            <w:pPr>
              <w:jc w:val="both"/>
              <w:rPr>
                <w:rFonts w:ascii="Times New Roman" w:eastAsia="Times New Roman" w:hAnsi="Times New Roman" w:cs="Times New Roman"/>
                <w:sz w:val="20"/>
                <w:szCs w:val="20"/>
              </w:rPr>
            </w:pPr>
          </w:p>
        </w:tc>
      </w:tr>
      <w:tr w:rsidR="006E71BB" w:rsidRPr="001278ED" w14:paraId="0D217C86" w14:textId="77777777" w:rsidTr="000463F4">
        <w:trPr>
          <w:trHeight w:val="223"/>
        </w:trPr>
        <w:tc>
          <w:tcPr>
            <w:tcW w:w="1862" w:type="dxa"/>
            <w:tcBorders>
              <w:left w:val="single" w:sz="4" w:space="0" w:color="auto"/>
            </w:tcBorders>
          </w:tcPr>
          <w:p w14:paraId="70AAA800" w14:textId="77777777" w:rsidR="006E71BB" w:rsidRPr="001278ED" w:rsidRDefault="006E71BB" w:rsidP="006E71BB">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Weak Instrument Test</w:t>
            </w:r>
          </w:p>
        </w:tc>
        <w:tc>
          <w:tcPr>
            <w:tcW w:w="2995" w:type="dxa"/>
            <w:gridSpan w:val="2"/>
          </w:tcPr>
          <w:p w14:paraId="5DFBF731" w14:textId="77777777" w:rsidR="006E71BB" w:rsidRPr="001278ED" w:rsidRDefault="006E71BB" w:rsidP="006E71BB">
            <w:pPr>
              <w:jc w:val="both"/>
              <w:rPr>
                <w:rFonts w:ascii="Times New Roman" w:eastAsia="Times New Roman" w:hAnsi="Times New Roman" w:cs="Times New Roman"/>
                <w:sz w:val="20"/>
                <w:szCs w:val="20"/>
              </w:rPr>
            </w:pPr>
          </w:p>
        </w:tc>
        <w:tc>
          <w:tcPr>
            <w:tcW w:w="4140" w:type="dxa"/>
            <w:tcBorders>
              <w:right w:val="single" w:sz="4" w:space="0" w:color="auto"/>
            </w:tcBorders>
          </w:tcPr>
          <w:p w14:paraId="264701EC" w14:textId="77777777" w:rsidR="006E71BB" w:rsidRPr="001278ED" w:rsidRDefault="006E71BB" w:rsidP="006E71BB">
            <w:pPr>
              <w:jc w:val="both"/>
              <w:rPr>
                <w:rFonts w:ascii="Times New Roman" w:eastAsia="Times New Roman" w:hAnsi="Times New Roman" w:cs="Times New Roman"/>
                <w:sz w:val="20"/>
                <w:szCs w:val="20"/>
              </w:rPr>
            </w:pPr>
          </w:p>
        </w:tc>
      </w:tr>
      <w:tr w:rsidR="006E71BB" w:rsidRPr="001278ED" w14:paraId="2FB7B243" w14:textId="77777777" w:rsidTr="000463F4">
        <w:trPr>
          <w:trHeight w:val="223"/>
        </w:trPr>
        <w:tc>
          <w:tcPr>
            <w:tcW w:w="1862" w:type="dxa"/>
            <w:tcBorders>
              <w:left w:val="single" w:sz="4" w:space="0" w:color="auto"/>
            </w:tcBorders>
          </w:tcPr>
          <w:p w14:paraId="58B2E696"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Anderson-Rubin Wald Chi2</w:t>
            </w:r>
          </w:p>
        </w:tc>
        <w:tc>
          <w:tcPr>
            <w:tcW w:w="2995" w:type="dxa"/>
            <w:gridSpan w:val="2"/>
          </w:tcPr>
          <w:p w14:paraId="6244F463" w14:textId="77777777" w:rsidR="006E71BB" w:rsidRPr="001278ED" w:rsidRDefault="006E71BB" w:rsidP="006E71BB">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6.38***</w:t>
            </w:r>
          </w:p>
        </w:tc>
        <w:tc>
          <w:tcPr>
            <w:tcW w:w="4140" w:type="dxa"/>
            <w:tcBorders>
              <w:right w:val="single" w:sz="4" w:space="0" w:color="auto"/>
            </w:tcBorders>
          </w:tcPr>
          <w:p w14:paraId="0A606963" w14:textId="77777777" w:rsidR="006E71BB" w:rsidRPr="001278ED" w:rsidRDefault="006E71BB" w:rsidP="006E71BB">
            <w:pPr>
              <w:jc w:val="both"/>
              <w:rPr>
                <w:rFonts w:ascii="Times New Roman" w:eastAsia="Times New Roman" w:hAnsi="Times New Roman" w:cs="Times New Roman"/>
                <w:sz w:val="20"/>
                <w:szCs w:val="20"/>
              </w:rPr>
            </w:pPr>
          </w:p>
        </w:tc>
      </w:tr>
    </w:tbl>
    <w:p w14:paraId="7B8ED2FD" w14:textId="3D5C23AE" w:rsidR="006F604C" w:rsidRPr="00A9015F" w:rsidRDefault="006F604C" w:rsidP="002209C9">
      <w:pPr>
        <w:ind w:left="284"/>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The table presents the results of the 2SLS regressions. Column (1) show</w:t>
      </w:r>
      <w:r>
        <w:rPr>
          <w:rFonts w:ascii="Times New Roman" w:eastAsia="Times New Roman" w:hAnsi="Times New Roman" w:cs="Times New Roman"/>
          <w:sz w:val="20"/>
          <w:szCs w:val="20"/>
        </w:rPr>
        <w:t>s</w:t>
      </w:r>
      <w:r w:rsidRPr="00A9015F">
        <w:rPr>
          <w:rFonts w:ascii="Times New Roman" w:eastAsia="Times New Roman" w:hAnsi="Times New Roman" w:cs="Times New Roman"/>
          <w:sz w:val="20"/>
          <w:szCs w:val="20"/>
        </w:rPr>
        <w:t xml:space="preserve"> the first-stage regression where </w:t>
      </w:r>
      <w:r>
        <w:rPr>
          <w:rFonts w:ascii="Times New Roman" w:eastAsia="Times New Roman" w:hAnsi="Times New Roman" w:cs="Times New Roman"/>
          <w:sz w:val="20"/>
          <w:szCs w:val="20"/>
        </w:rPr>
        <w:t xml:space="preserve">the </w:t>
      </w:r>
      <w:r w:rsidRPr="00A9015F">
        <w:rPr>
          <w:rFonts w:ascii="Times New Roman" w:eastAsia="Times New Roman" w:hAnsi="Times New Roman" w:cs="Times New Roman"/>
          <w:sz w:val="20"/>
          <w:szCs w:val="20"/>
        </w:rPr>
        <w:t>independent directors Heterogeneity Index is the dependent variable. The instrumental variable is City Population</w:t>
      </w:r>
      <w:r>
        <w:rPr>
          <w:rFonts w:ascii="Times New Roman" w:eastAsia="Times New Roman" w:hAnsi="Times New Roman" w:cs="Times New Roman"/>
          <w:sz w:val="20"/>
          <w:szCs w:val="20"/>
        </w:rPr>
        <w:t>, and c</w:t>
      </w:r>
      <w:r w:rsidRPr="00A9015F">
        <w:rPr>
          <w:rFonts w:ascii="Times New Roman" w:eastAsia="Times New Roman" w:hAnsi="Times New Roman" w:cs="Times New Roman"/>
          <w:sz w:val="20"/>
          <w:szCs w:val="20"/>
        </w:rPr>
        <w:t>ity Population is the log of bank headquarters</w:t>
      </w:r>
      <w:r>
        <w:rPr>
          <w:rFonts w:ascii="Times New Roman" w:eastAsia="Times New Roman" w:hAnsi="Times New Roman" w:cs="Times New Roman"/>
          <w:sz w:val="20"/>
          <w:szCs w:val="20"/>
        </w:rPr>
        <w:t>'</w:t>
      </w:r>
      <w:r w:rsidRPr="00A9015F">
        <w:rPr>
          <w:rFonts w:ascii="Times New Roman" w:eastAsia="Times New Roman" w:hAnsi="Times New Roman" w:cs="Times New Roman"/>
          <w:sz w:val="20"/>
          <w:szCs w:val="20"/>
        </w:rPr>
        <w:t xml:space="preserve"> city population. Columns 2 report results for second stage models for bank misconduct. Other right hand side variables remain the same as the baseline model. Control variables are winsorized at 99% of the bank-year distribution. All independent and control variables are lagged by one period. The standard errors are clustered at the bank level and are reported in parentheses. Definitions of the variables are provided in </w:t>
      </w:r>
      <w:r>
        <w:rPr>
          <w:rFonts w:ascii="Times New Roman" w:eastAsia="Times New Roman" w:hAnsi="Times New Roman" w:cs="Times New Roman"/>
          <w:sz w:val="20"/>
          <w:szCs w:val="20"/>
        </w:rPr>
        <w:t>Appendix B</w:t>
      </w:r>
      <w:r w:rsidRPr="00A9015F">
        <w:rPr>
          <w:rFonts w:ascii="Times New Roman" w:eastAsia="Times New Roman" w:hAnsi="Times New Roman" w:cs="Times New Roman"/>
          <w:sz w:val="20"/>
          <w:szCs w:val="20"/>
        </w:rPr>
        <w:t>. *, **, and ***Significance at 10%, 5%, and 1% levels, respectively.</w:t>
      </w:r>
    </w:p>
    <w:p w14:paraId="67868E01" w14:textId="77777777" w:rsidR="00071AF6" w:rsidRDefault="00071AF6" w:rsidP="00A9015F">
      <w:pPr>
        <w:jc w:val="both"/>
        <w:rPr>
          <w:rFonts w:ascii="Times New Roman" w:eastAsia="Times New Roman" w:hAnsi="Times New Roman" w:cs="Times New Roman"/>
          <w:sz w:val="20"/>
          <w:szCs w:val="20"/>
        </w:rPr>
      </w:pPr>
    </w:p>
    <w:p w14:paraId="54FC91A4" w14:textId="2FD522DF" w:rsidR="00A9015F" w:rsidRPr="00A9015F" w:rsidRDefault="00A9015F" w:rsidP="00071AF6">
      <w:pPr>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br w:type="page"/>
      </w:r>
    </w:p>
    <w:p w14:paraId="325B9E1B" w14:textId="3E204DAE" w:rsidR="00E30E2D" w:rsidRPr="00E30E2D" w:rsidRDefault="00E30E2D" w:rsidP="00E30E2D">
      <w:pPr>
        <w:jc w:val="both"/>
        <w:rPr>
          <w:rFonts w:ascii="Times New Roman" w:eastAsia="Times New Roman" w:hAnsi="Times New Roman" w:cs="Times New Roman"/>
          <w:b/>
          <w:bCs/>
          <w:sz w:val="24"/>
          <w:szCs w:val="24"/>
        </w:rPr>
      </w:pPr>
      <w:bookmarkStart w:id="167" w:name="_Toc132386116"/>
      <w:bookmarkStart w:id="168" w:name="_Toc132437308"/>
      <w:r w:rsidRPr="00E30E2D">
        <w:rPr>
          <w:rFonts w:ascii="Times New Roman" w:hAnsi="Times New Roman" w:cs="Times New Roman"/>
          <w:b/>
          <w:bCs/>
        </w:rPr>
        <w:t>Table 5.</w:t>
      </w:r>
      <w:r w:rsidR="00221C3A">
        <w:rPr>
          <w:rFonts w:ascii="Times New Roman" w:hAnsi="Times New Roman" w:cs="Times New Roman"/>
          <w:b/>
          <w:bCs/>
        </w:rPr>
        <w:t>5</w:t>
      </w:r>
      <w:r w:rsidRPr="00E30E2D">
        <w:rPr>
          <w:rFonts w:ascii="Times New Roman" w:hAnsi="Times New Roman" w:cs="Times New Roman"/>
          <w:b/>
          <w:bCs/>
        </w:rPr>
        <w:t>.</w:t>
      </w:r>
      <w:r w:rsidRPr="00E30E2D">
        <w:rPr>
          <w:rFonts w:ascii="Times New Roman" w:eastAsia="Times New Roman" w:hAnsi="Times New Roman" w:cs="Times New Roman"/>
          <w:b/>
          <w:bCs/>
          <w:sz w:val="24"/>
          <w:szCs w:val="24"/>
        </w:rPr>
        <w:t xml:space="preserve"> INED Attributes Heterogeneity </w:t>
      </w:r>
      <w:r w:rsidR="000463F4" w:rsidRPr="00E30E2D">
        <w:rPr>
          <w:rFonts w:ascii="Times New Roman" w:eastAsia="Times New Roman" w:hAnsi="Times New Roman" w:cs="Times New Roman"/>
          <w:b/>
          <w:bCs/>
          <w:sz w:val="24"/>
          <w:szCs w:val="24"/>
        </w:rPr>
        <w:t>and</w:t>
      </w:r>
      <w:r w:rsidRPr="00E30E2D">
        <w:rPr>
          <w:rFonts w:ascii="Times New Roman" w:eastAsia="Times New Roman" w:hAnsi="Times New Roman" w:cs="Times New Roman"/>
          <w:b/>
          <w:bCs/>
          <w:sz w:val="24"/>
          <w:szCs w:val="24"/>
        </w:rPr>
        <w:t xml:space="preserve"> Bank Misconduct– Propensity Score Matching (PSM)</w:t>
      </w:r>
      <w:bookmarkEnd w:id="167"/>
      <w:bookmarkEnd w:id="168"/>
    </w:p>
    <w:tbl>
      <w:tblPr>
        <w:tblpPr w:leftFromText="180" w:rightFromText="180" w:vertAnchor="page" w:horzAnchor="margin" w:tblpXSpec="center" w:tblpY="2370"/>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673"/>
        <w:gridCol w:w="1129"/>
        <w:gridCol w:w="535"/>
        <w:gridCol w:w="1408"/>
        <w:gridCol w:w="2113"/>
      </w:tblGrid>
      <w:tr w:rsidR="00E30E2D" w:rsidRPr="00071AF6" w14:paraId="06BC7431" w14:textId="77777777" w:rsidTr="00264F85">
        <w:trPr>
          <w:trHeight w:val="265"/>
        </w:trPr>
        <w:tc>
          <w:tcPr>
            <w:tcW w:w="8939" w:type="dxa"/>
            <w:gridSpan w:val="6"/>
            <w:tcBorders>
              <w:top w:val="single" w:sz="4" w:space="0" w:color="auto"/>
              <w:left w:val="single" w:sz="4" w:space="0" w:color="auto"/>
              <w:bottom w:val="single" w:sz="4" w:space="0" w:color="auto"/>
              <w:right w:val="single" w:sz="4" w:space="0" w:color="auto"/>
            </w:tcBorders>
            <w:noWrap/>
          </w:tcPr>
          <w:p w14:paraId="5B848A5A"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 xml:space="preserve">Panel A: </w:t>
            </w:r>
            <w:r w:rsidRPr="009E69CE">
              <w:rPr>
                <w:rFonts w:ascii="Times New Roman" w:eastAsia="Times New Roman" w:hAnsi="Times New Roman" w:cs="Times New Roman"/>
                <w:b/>
                <w:bCs/>
                <w:sz w:val="20"/>
                <w:szCs w:val="20"/>
              </w:rPr>
              <w:t>Balancing table for propensity score matching – Outcome Variable: Bank Misconduct</w:t>
            </w:r>
          </w:p>
        </w:tc>
      </w:tr>
      <w:tr w:rsidR="00E30E2D" w:rsidRPr="00071AF6" w14:paraId="514EFF43" w14:textId="77777777" w:rsidTr="00264F85">
        <w:trPr>
          <w:trHeight w:val="265"/>
        </w:trPr>
        <w:tc>
          <w:tcPr>
            <w:tcW w:w="2081" w:type="dxa"/>
            <w:tcBorders>
              <w:top w:val="single" w:sz="4" w:space="0" w:color="auto"/>
              <w:left w:val="single" w:sz="4" w:space="0" w:color="auto"/>
              <w:bottom w:val="single" w:sz="4" w:space="0" w:color="auto"/>
              <w:right w:val="nil"/>
            </w:tcBorders>
            <w:noWrap/>
          </w:tcPr>
          <w:p w14:paraId="06C238F2" w14:textId="77777777" w:rsidR="00E30E2D" w:rsidRPr="00071AF6" w:rsidRDefault="00E30E2D" w:rsidP="00264F85">
            <w:pPr>
              <w:jc w:val="both"/>
              <w:rPr>
                <w:rFonts w:ascii="Times New Roman" w:eastAsia="Times New Roman" w:hAnsi="Times New Roman" w:cs="Times New Roman"/>
                <w:sz w:val="20"/>
                <w:szCs w:val="20"/>
              </w:rPr>
            </w:pPr>
          </w:p>
        </w:tc>
        <w:tc>
          <w:tcPr>
            <w:tcW w:w="2802" w:type="dxa"/>
            <w:gridSpan w:val="2"/>
            <w:tcBorders>
              <w:top w:val="single" w:sz="4" w:space="0" w:color="auto"/>
              <w:left w:val="nil"/>
              <w:bottom w:val="single" w:sz="4" w:space="0" w:color="auto"/>
              <w:right w:val="nil"/>
            </w:tcBorders>
          </w:tcPr>
          <w:p w14:paraId="640F57C8"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Treated</w:t>
            </w:r>
          </w:p>
        </w:tc>
        <w:tc>
          <w:tcPr>
            <w:tcW w:w="1943" w:type="dxa"/>
            <w:gridSpan w:val="2"/>
            <w:tcBorders>
              <w:top w:val="single" w:sz="4" w:space="0" w:color="auto"/>
              <w:left w:val="nil"/>
              <w:bottom w:val="single" w:sz="4" w:space="0" w:color="auto"/>
              <w:right w:val="nil"/>
            </w:tcBorders>
            <w:noWrap/>
          </w:tcPr>
          <w:p w14:paraId="3BA77284"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Control</w:t>
            </w:r>
          </w:p>
        </w:tc>
        <w:tc>
          <w:tcPr>
            <w:tcW w:w="2113" w:type="dxa"/>
            <w:tcBorders>
              <w:top w:val="single" w:sz="4" w:space="0" w:color="auto"/>
              <w:left w:val="nil"/>
              <w:bottom w:val="single" w:sz="4" w:space="0" w:color="auto"/>
              <w:right w:val="single" w:sz="4" w:space="0" w:color="auto"/>
            </w:tcBorders>
            <w:noWrap/>
          </w:tcPr>
          <w:p w14:paraId="21E10A25"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Treatment - Control</w:t>
            </w:r>
          </w:p>
        </w:tc>
      </w:tr>
      <w:tr w:rsidR="00E30E2D" w:rsidRPr="00071AF6" w14:paraId="351DB78B" w14:textId="77777777" w:rsidTr="00264F85">
        <w:trPr>
          <w:trHeight w:val="265"/>
        </w:trPr>
        <w:tc>
          <w:tcPr>
            <w:tcW w:w="2081" w:type="dxa"/>
            <w:tcBorders>
              <w:top w:val="single" w:sz="4" w:space="0" w:color="auto"/>
              <w:left w:val="single" w:sz="4" w:space="0" w:color="auto"/>
              <w:bottom w:val="single" w:sz="4" w:space="0" w:color="auto"/>
              <w:right w:val="nil"/>
            </w:tcBorders>
            <w:noWrap/>
          </w:tcPr>
          <w:p w14:paraId="5EA394AA"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Variables</w:t>
            </w:r>
          </w:p>
        </w:tc>
        <w:tc>
          <w:tcPr>
            <w:tcW w:w="1673" w:type="dxa"/>
            <w:tcBorders>
              <w:top w:val="single" w:sz="4" w:space="0" w:color="auto"/>
              <w:left w:val="nil"/>
              <w:bottom w:val="single" w:sz="4" w:space="0" w:color="auto"/>
              <w:right w:val="nil"/>
            </w:tcBorders>
          </w:tcPr>
          <w:p w14:paraId="448B2A1B"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N</w:t>
            </w:r>
          </w:p>
        </w:tc>
        <w:tc>
          <w:tcPr>
            <w:tcW w:w="1129" w:type="dxa"/>
            <w:tcBorders>
              <w:top w:val="single" w:sz="4" w:space="0" w:color="auto"/>
              <w:left w:val="nil"/>
              <w:bottom w:val="single" w:sz="4" w:space="0" w:color="auto"/>
              <w:right w:val="nil"/>
            </w:tcBorders>
            <w:noWrap/>
          </w:tcPr>
          <w:p w14:paraId="29DB1A50"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 xml:space="preserve">Mean </w:t>
            </w:r>
          </w:p>
        </w:tc>
        <w:tc>
          <w:tcPr>
            <w:tcW w:w="535" w:type="dxa"/>
            <w:tcBorders>
              <w:top w:val="single" w:sz="4" w:space="0" w:color="auto"/>
              <w:left w:val="nil"/>
              <w:bottom w:val="single" w:sz="4" w:space="0" w:color="auto"/>
              <w:right w:val="nil"/>
            </w:tcBorders>
          </w:tcPr>
          <w:p w14:paraId="558D33FF"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N</w:t>
            </w:r>
          </w:p>
        </w:tc>
        <w:tc>
          <w:tcPr>
            <w:tcW w:w="1408" w:type="dxa"/>
            <w:tcBorders>
              <w:top w:val="single" w:sz="4" w:space="0" w:color="auto"/>
              <w:left w:val="nil"/>
              <w:bottom w:val="single" w:sz="4" w:space="0" w:color="auto"/>
              <w:right w:val="nil"/>
            </w:tcBorders>
            <w:noWrap/>
          </w:tcPr>
          <w:p w14:paraId="25109BAC"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Mean</w:t>
            </w:r>
          </w:p>
        </w:tc>
        <w:tc>
          <w:tcPr>
            <w:tcW w:w="2113" w:type="dxa"/>
            <w:tcBorders>
              <w:top w:val="single" w:sz="4" w:space="0" w:color="auto"/>
              <w:left w:val="nil"/>
              <w:bottom w:val="single" w:sz="4" w:space="0" w:color="auto"/>
              <w:right w:val="single" w:sz="4" w:space="0" w:color="auto"/>
            </w:tcBorders>
            <w:noWrap/>
          </w:tcPr>
          <w:p w14:paraId="0930EDC1"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t-test (p value)</w:t>
            </w:r>
          </w:p>
        </w:tc>
      </w:tr>
      <w:tr w:rsidR="00E30E2D" w:rsidRPr="00071AF6" w14:paraId="40FB75DF" w14:textId="77777777" w:rsidTr="00264F85">
        <w:trPr>
          <w:trHeight w:val="265"/>
        </w:trPr>
        <w:tc>
          <w:tcPr>
            <w:tcW w:w="2081" w:type="dxa"/>
            <w:tcBorders>
              <w:top w:val="single" w:sz="4" w:space="0" w:color="auto"/>
              <w:left w:val="single" w:sz="4" w:space="0" w:color="auto"/>
              <w:bottom w:val="nil"/>
              <w:right w:val="nil"/>
            </w:tcBorders>
            <w:noWrap/>
            <w:hideMark/>
          </w:tcPr>
          <w:p w14:paraId="50170C5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Heterogeneity Index</w:t>
            </w:r>
          </w:p>
        </w:tc>
        <w:tc>
          <w:tcPr>
            <w:tcW w:w="1673" w:type="dxa"/>
            <w:tcBorders>
              <w:top w:val="single" w:sz="4" w:space="0" w:color="auto"/>
              <w:left w:val="nil"/>
              <w:bottom w:val="nil"/>
              <w:right w:val="nil"/>
            </w:tcBorders>
          </w:tcPr>
          <w:p w14:paraId="1F412BF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single" w:sz="4" w:space="0" w:color="auto"/>
              <w:left w:val="nil"/>
              <w:bottom w:val="nil"/>
              <w:right w:val="nil"/>
            </w:tcBorders>
            <w:noWrap/>
            <w:hideMark/>
          </w:tcPr>
          <w:p w14:paraId="22406BB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3.6011</w:t>
            </w:r>
          </w:p>
        </w:tc>
        <w:tc>
          <w:tcPr>
            <w:tcW w:w="535" w:type="dxa"/>
            <w:tcBorders>
              <w:top w:val="single" w:sz="4" w:space="0" w:color="auto"/>
              <w:left w:val="nil"/>
              <w:bottom w:val="nil"/>
              <w:right w:val="nil"/>
            </w:tcBorders>
          </w:tcPr>
          <w:p w14:paraId="1C70FBD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single" w:sz="4" w:space="0" w:color="auto"/>
              <w:left w:val="nil"/>
              <w:bottom w:val="nil"/>
              <w:right w:val="nil"/>
            </w:tcBorders>
            <w:noWrap/>
            <w:hideMark/>
          </w:tcPr>
          <w:p w14:paraId="3579141C"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3.6113</w:t>
            </w:r>
          </w:p>
        </w:tc>
        <w:tc>
          <w:tcPr>
            <w:tcW w:w="2113" w:type="dxa"/>
            <w:tcBorders>
              <w:top w:val="single" w:sz="4" w:space="0" w:color="auto"/>
              <w:left w:val="nil"/>
              <w:bottom w:val="nil"/>
              <w:right w:val="single" w:sz="4" w:space="0" w:color="auto"/>
            </w:tcBorders>
            <w:noWrap/>
            <w:hideMark/>
          </w:tcPr>
          <w:p w14:paraId="01053CD5"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-0.28 (0.778)</w:t>
            </w:r>
          </w:p>
        </w:tc>
      </w:tr>
      <w:tr w:rsidR="00E30E2D" w:rsidRPr="00071AF6" w14:paraId="2427CED4" w14:textId="77777777" w:rsidTr="00264F85">
        <w:trPr>
          <w:trHeight w:val="265"/>
        </w:trPr>
        <w:tc>
          <w:tcPr>
            <w:tcW w:w="2081" w:type="dxa"/>
            <w:tcBorders>
              <w:top w:val="nil"/>
              <w:left w:val="single" w:sz="4" w:space="0" w:color="auto"/>
              <w:bottom w:val="nil"/>
              <w:right w:val="nil"/>
            </w:tcBorders>
            <w:noWrap/>
          </w:tcPr>
          <w:p w14:paraId="09E5B23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Board Independence </w:t>
            </w:r>
          </w:p>
        </w:tc>
        <w:tc>
          <w:tcPr>
            <w:tcW w:w="1673" w:type="dxa"/>
            <w:tcBorders>
              <w:top w:val="nil"/>
              <w:left w:val="nil"/>
              <w:bottom w:val="nil"/>
              <w:right w:val="nil"/>
            </w:tcBorders>
          </w:tcPr>
          <w:p w14:paraId="4BF2FB3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tcPr>
          <w:p w14:paraId="439C43E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0.18724</w:t>
            </w:r>
          </w:p>
        </w:tc>
        <w:tc>
          <w:tcPr>
            <w:tcW w:w="535" w:type="dxa"/>
            <w:tcBorders>
              <w:top w:val="nil"/>
              <w:left w:val="nil"/>
              <w:bottom w:val="nil"/>
              <w:right w:val="nil"/>
            </w:tcBorders>
          </w:tcPr>
          <w:p w14:paraId="5CE59D01"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tcPr>
          <w:p w14:paraId="6FC51005"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0.16338</w:t>
            </w:r>
          </w:p>
        </w:tc>
        <w:tc>
          <w:tcPr>
            <w:tcW w:w="2113" w:type="dxa"/>
            <w:tcBorders>
              <w:top w:val="nil"/>
              <w:left w:val="nil"/>
              <w:bottom w:val="nil"/>
              <w:right w:val="single" w:sz="4" w:space="0" w:color="auto"/>
            </w:tcBorders>
            <w:noWrap/>
          </w:tcPr>
          <w:p w14:paraId="760475C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0.24(0.812)</w:t>
            </w:r>
          </w:p>
        </w:tc>
      </w:tr>
      <w:tr w:rsidR="00E30E2D" w:rsidRPr="00071AF6" w14:paraId="244CCF69" w14:textId="77777777" w:rsidTr="00264F85">
        <w:trPr>
          <w:trHeight w:val="265"/>
        </w:trPr>
        <w:tc>
          <w:tcPr>
            <w:tcW w:w="2081" w:type="dxa"/>
            <w:tcBorders>
              <w:top w:val="nil"/>
              <w:left w:val="single" w:sz="4" w:space="0" w:color="auto"/>
              <w:bottom w:val="nil"/>
              <w:right w:val="nil"/>
            </w:tcBorders>
            <w:noWrap/>
            <w:hideMark/>
          </w:tcPr>
          <w:p w14:paraId="26366C0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Board Size</w:t>
            </w:r>
          </w:p>
        </w:tc>
        <w:tc>
          <w:tcPr>
            <w:tcW w:w="1673" w:type="dxa"/>
            <w:tcBorders>
              <w:top w:val="nil"/>
              <w:left w:val="nil"/>
              <w:bottom w:val="nil"/>
              <w:right w:val="nil"/>
            </w:tcBorders>
          </w:tcPr>
          <w:p w14:paraId="10DA967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2CCC2CB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0.30388</w:t>
            </w:r>
          </w:p>
        </w:tc>
        <w:tc>
          <w:tcPr>
            <w:tcW w:w="535" w:type="dxa"/>
            <w:tcBorders>
              <w:top w:val="nil"/>
              <w:left w:val="nil"/>
              <w:bottom w:val="nil"/>
              <w:right w:val="nil"/>
            </w:tcBorders>
          </w:tcPr>
          <w:p w14:paraId="2FDCA3F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3E8A8CF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0.34285</w:t>
            </w:r>
          </w:p>
        </w:tc>
        <w:tc>
          <w:tcPr>
            <w:tcW w:w="2113" w:type="dxa"/>
            <w:tcBorders>
              <w:top w:val="nil"/>
              <w:left w:val="nil"/>
              <w:bottom w:val="nil"/>
              <w:right w:val="single" w:sz="4" w:space="0" w:color="auto"/>
            </w:tcBorders>
            <w:noWrap/>
            <w:hideMark/>
          </w:tcPr>
          <w:p w14:paraId="644E20C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-0.35(0.725)</w:t>
            </w:r>
          </w:p>
        </w:tc>
      </w:tr>
      <w:tr w:rsidR="00E30E2D" w:rsidRPr="00071AF6" w14:paraId="15F85B7A" w14:textId="77777777" w:rsidTr="00264F85">
        <w:trPr>
          <w:trHeight w:val="265"/>
        </w:trPr>
        <w:tc>
          <w:tcPr>
            <w:tcW w:w="2081" w:type="dxa"/>
            <w:tcBorders>
              <w:top w:val="nil"/>
              <w:left w:val="single" w:sz="4" w:space="0" w:color="auto"/>
              <w:bottom w:val="nil"/>
              <w:right w:val="nil"/>
            </w:tcBorders>
            <w:noWrap/>
            <w:hideMark/>
          </w:tcPr>
          <w:p w14:paraId="31BDA37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Growth</w:t>
            </w:r>
          </w:p>
        </w:tc>
        <w:tc>
          <w:tcPr>
            <w:tcW w:w="1673" w:type="dxa"/>
            <w:tcBorders>
              <w:top w:val="nil"/>
              <w:left w:val="nil"/>
              <w:bottom w:val="nil"/>
              <w:right w:val="nil"/>
            </w:tcBorders>
          </w:tcPr>
          <w:p w14:paraId="53341E0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11702B8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-0.0436</w:t>
            </w:r>
          </w:p>
        </w:tc>
        <w:tc>
          <w:tcPr>
            <w:tcW w:w="535" w:type="dxa"/>
            <w:tcBorders>
              <w:top w:val="nil"/>
              <w:left w:val="nil"/>
              <w:bottom w:val="nil"/>
              <w:right w:val="nil"/>
            </w:tcBorders>
          </w:tcPr>
          <w:p w14:paraId="174212F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5CDD4C9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0.0785</w:t>
            </w:r>
          </w:p>
        </w:tc>
        <w:tc>
          <w:tcPr>
            <w:tcW w:w="2113" w:type="dxa"/>
            <w:tcBorders>
              <w:top w:val="nil"/>
              <w:left w:val="nil"/>
              <w:bottom w:val="nil"/>
              <w:right w:val="single" w:sz="4" w:space="0" w:color="auto"/>
            </w:tcBorders>
            <w:noWrap/>
            <w:hideMark/>
          </w:tcPr>
          <w:p w14:paraId="30CF262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-0.38(0.706)</w:t>
            </w:r>
          </w:p>
        </w:tc>
      </w:tr>
      <w:tr w:rsidR="00E30E2D" w:rsidRPr="00071AF6" w14:paraId="12E649DD" w14:textId="77777777" w:rsidTr="00264F85">
        <w:trPr>
          <w:trHeight w:val="265"/>
        </w:trPr>
        <w:tc>
          <w:tcPr>
            <w:tcW w:w="2081" w:type="dxa"/>
            <w:tcBorders>
              <w:top w:val="nil"/>
              <w:left w:val="single" w:sz="4" w:space="0" w:color="auto"/>
              <w:bottom w:val="nil"/>
              <w:right w:val="nil"/>
            </w:tcBorders>
            <w:noWrap/>
            <w:hideMark/>
          </w:tcPr>
          <w:p w14:paraId="73DA039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Bank Size</w:t>
            </w:r>
          </w:p>
        </w:tc>
        <w:tc>
          <w:tcPr>
            <w:tcW w:w="1673" w:type="dxa"/>
            <w:tcBorders>
              <w:top w:val="nil"/>
              <w:left w:val="nil"/>
              <w:bottom w:val="nil"/>
              <w:right w:val="nil"/>
            </w:tcBorders>
          </w:tcPr>
          <w:p w14:paraId="0DC9123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75CBEDB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0.2044</w:t>
            </w:r>
          </w:p>
        </w:tc>
        <w:tc>
          <w:tcPr>
            <w:tcW w:w="535" w:type="dxa"/>
            <w:tcBorders>
              <w:top w:val="nil"/>
              <w:left w:val="nil"/>
              <w:bottom w:val="nil"/>
              <w:right w:val="nil"/>
            </w:tcBorders>
          </w:tcPr>
          <w:p w14:paraId="2B6A7DD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2F6B43C1"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0.2441</w:t>
            </w:r>
          </w:p>
        </w:tc>
        <w:tc>
          <w:tcPr>
            <w:tcW w:w="2113" w:type="dxa"/>
            <w:tcBorders>
              <w:top w:val="nil"/>
              <w:left w:val="nil"/>
              <w:bottom w:val="nil"/>
              <w:right w:val="single" w:sz="4" w:space="0" w:color="auto"/>
            </w:tcBorders>
            <w:noWrap/>
            <w:hideMark/>
          </w:tcPr>
          <w:p w14:paraId="41130CF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-0.48 (0.634)</w:t>
            </w:r>
          </w:p>
        </w:tc>
      </w:tr>
      <w:tr w:rsidR="00E30E2D" w:rsidRPr="00071AF6" w14:paraId="5306A6F0" w14:textId="77777777" w:rsidTr="00264F85">
        <w:trPr>
          <w:trHeight w:val="265"/>
        </w:trPr>
        <w:tc>
          <w:tcPr>
            <w:tcW w:w="2081" w:type="dxa"/>
            <w:tcBorders>
              <w:top w:val="nil"/>
              <w:left w:val="single" w:sz="4" w:space="0" w:color="auto"/>
              <w:bottom w:val="nil"/>
              <w:right w:val="nil"/>
            </w:tcBorders>
            <w:noWrap/>
            <w:hideMark/>
          </w:tcPr>
          <w:p w14:paraId="27AC51B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Charter Value</w:t>
            </w:r>
          </w:p>
        </w:tc>
        <w:tc>
          <w:tcPr>
            <w:tcW w:w="1673" w:type="dxa"/>
            <w:tcBorders>
              <w:top w:val="nil"/>
              <w:left w:val="nil"/>
              <w:bottom w:val="nil"/>
              <w:right w:val="nil"/>
            </w:tcBorders>
          </w:tcPr>
          <w:p w14:paraId="18C8B12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6641EC4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-0.2567</w:t>
            </w:r>
          </w:p>
        </w:tc>
        <w:tc>
          <w:tcPr>
            <w:tcW w:w="535" w:type="dxa"/>
            <w:tcBorders>
              <w:top w:val="nil"/>
              <w:left w:val="nil"/>
              <w:bottom w:val="nil"/>
              <w:right w:val="nil"/>
            </w:tcBorders>
          </w:tcPr>
          <w:p w14:paraId="0A1347D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20B73B2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-0.2635</w:t>
            </w:r>
          </w:p>
        </w:tc>
        <w:tc>
          <w:tcPr>
            <w:tcW w:w="2113" w:type="dxa"/>
            <w:tcBorders>
              <w:top w:val="nil"/>
              <w:left w:val="nil"/>
              <w:bottom w:val="nil"/>
              <w:right w:val="single" w:sz="4" w:space="0" w:color="auto"/>
            </w:tcBorders>
            <w:noWrap/>
            <w:hideMark/>
          </w:tcPr>
          <w:p w14:paraId="3065F8C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-0.39 (0.695)</w:t>
            </w:r>
          </w:p>
        </w:tc>
      </w:tr>
      <w:tr w:rsidR="00E30E2D" w:rsidRPr="00071AF6" w14:paraId="7E49706D" w14:textId="77777777" w:rsidTr="00264F85">
        <w:trPr>
          <w:trHeight w:val="265"/>
        </w:trPr>
        <w:tc>
          <w:tcPr>
            <w:tcW w:w="2081" w:type="dxa"/>
            <w:tcBorders>
              <w:top w:val="nil"/>
              <w:left w:val="single" w:sz="4" w:space="0" w:color="auto"/>
              <w:bottom w:val="nil"/>
              <w:right w:val="nil"/>
            </w:tcBorders>
            <w:noWrap/>
            <w:hideMark/>
          </w:tcPr>
          <w:p w14:paraId="413F368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Capital</w:t>
            </w:r>
          </w:p>
        </w:tc>
        <w:tc>
          <w:tcPr>
            <w:tcW w:w="1673" w:type="dxa"/>
            <w:tcBorders>
              <w:top w:val="nil"/>
              <w:left w:val="nil"/>
              <w:bottom w:val="nil"/>
              <w:right w:val="nil"/>
            </w:tcBorders>
          </w:tcPr>
          <w:p w14:paraId="311CB89C"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35E2F60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0.7670</w:t>
            </w:r>
          </w:p>
        </w:tc>
        <w:tc>
          <w:tcPr>
            <w:tcW w:w="535" w:type="dxa"/>
            <w:tcBorders>
              <w:top w:val="nil"/>
              <w:left w:val="nil"/>
              <w:bottom w:val="nil"/>
              <w:right w:val="nil"/>
            </w:tcBorders>
          </w:tcPr>
          <w:p w14:paraId="5F05AE6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78009E4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0.7944</w:t>
            </w:r>
          </w:p>
        </w:tc>
        <w:tc>
          <w:tcPr>
            <w:tcW w:w="2113" w:type="dxa"/>
            <w:tcBorders>
              <w:top w:val="nil"/>
              <w:left w:val="nil"/>
              <w:bottom w:val="nil"/>
              <w:right w:val="single" w:sz="4" w:space="0" w:color="auto"/>
            </w:tcBorders>
            <w:noWrap/>
            <w:hideMark/>
          </w:tcPr>
          <w:p w14:paraId="4AC4E31B"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-0.43 (0.688)</w:t>
            </w:r>
          </w:p>
        </w:tc>
      </w:tr>
      <w:tr w:rsidR="00E30E2D" w:rsidRPr="00071AF6" w14:paraId="3B82DA9C" w14:textId="77777777" w:rsidTr="00264F85">
        <w:trPr>
          <w:trHeight w:val="265"/>
        </w:trPr>
        <w:tc>
          <w:tcPr>
            <w:tcW w:w="2081" w:type="dxa"/>
            <w:tcBorders>
              <w:top w:val="nil"/>
              <w:left w:val="single" w:sz="4" w:space="0" w:color="auto"/>
              <w:bottom w:val="nil"/>
              <w:right w:val="nil"/>
            </w:tcBorders>
            <w:noWrap/>
            <w:hideMark/>
          </w:tcPr>
          <w:p w14:paraId="626AFBD5"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ROA</w:t>
            </w:r>
          </w:p>
        </w:tc>
        <w:tc>
          <w:tcPr>
            <w:tcW w:w="1673" w:type="dxa"/>
            <w:tcBorders>
              <w:top w:val="nil"/>
              <w:left w:val="nil"/>
              <w:bottom w:val="nil"/>
              <w:right w:val="nil"/>
            </w:tcBorders>
          </w:tcPr>
          <w:p w14:paraId="3D4C0C7F"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2988301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-0.3049</w:t>
            </w:r>
          </w:p>
        </w:tc>
        <w:tc>
          <w:tcPr>
            <w:tcW w:w="535" w:type="dxa"/>
            <w:tcBorders>
              <w:top w:val="nil"/>
              <w:left w:val="nil"/>
              <w:bottom w:val="nil"/>
              <w:right w:val="nil"/>
            </w:tcBorders>
          </w:tcPr>
          <w:p w14:paraId="68AAA96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7632426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-0.2844</w:t>
            </w:r>
          </w:p>
        </w:tc>
        <w:tc>
          <w:tcPr>
            <w:tcW w:w="2113" w:type="dxa"/>
            <w:tcBorders>
              <w:top w:val="nil"/>
              <w:left w:val="nil"/>
              <w:bottom w:val="nil"/>
              <w:right w:val="single" w:sz="4" w:space="0" w:color="auto"/>
            </w:tcBorders>
            <w:noWrap/>
            <w:hideMark/>
          </w:tcPr>
          <w:p w14:paraId="0129CBF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-0.41 (0.680)</w:t>
            </w:r>
          </w:p>
        </w:tc>
      </w:tr>
      <w:tr w:rsidR="00E30E2D" w:rsidRPr="00071AF6" w14:paraId="40C95C66" w14:textId="77777777" w:rsidTr="00264F85">
        <w:trPr>
          <w:trHeight w:val="265"/>
        </w:trPr>
        <w:tc>
          <w:tcPr>
            <w:tcW w:w="2081" w:type="dxa"/>
            <w:tcBorders>
              <w:top w:val="nil"/>
              <w:left w:val="single" w:sz="4" w:space="0" w:color="auto"/>
              <w:bottom w:val="nil"/>
              <w:right w:val="nil"/>
            </w:tcBorders>
            <w:noWrap/>
            <w:hideMark/>
          </w:tcPr>
          <w:p w14:paraId="260973A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CEO Tenure</w:t>
            </w:r>
          </w:p>
        </w:tc>
        <w:tc>
          <w:tcPr>
            <w:tcW w:w="1673" w:type="dxa"/>
            <w:tcBorders>
              <w:top w:val="nil"/>
              <w:left w:val="nil"/>
              <w:bottom w:val="nil"/>
              <w:right w:val="nil"/>
            </w:tcBorders>
          </w:tcPr>
          <w:p w14:paraId="53A5CE7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1AED8E8F"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-0.1608</w:t>
            </w:r>
          </w:p>
        </w:tc>
        <w:tc>
          <w:tcPr>
            <w:tcW w:w="535" w:type="dxa"/>
            <w:tcBorders>
              <w:top w:val="nil"/>
              <w:left w:val="nil"/>
              <w:bottom w:val="nil"/>
              <w:right w:val="nil"/>
            </w:tcBorders>
          </w:tcPr>
          <w:p w14:paraId="2682BEB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00DA75BB"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-0.1354</w:t>
            </w:r>
          </w:p>
        </w:tc>
        <w:tc>
          <w:tcPr>
            <w:tcW w:w="2113" w:type="dxa"/>
            <w:tcBorders>
              <w:top w:val="nil"/>
              <w:left w:val="nil"/>
              <w:bottom w:val="nil"/>
              <w:right w:val="single" w:sz="4" w:space="0" w:color="auto"/>
            </w:tcBorders>
            <w:noWrap/>
            <w:hideMark/>
          </w:tcPr>
          <w:p w14:paraId="57E329D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-0.28(0.782)</w:t>
            </w:r>
          </w:p>
        </w:tc>
      </w:tr>
      <w:tr w:rsidR="00E30E2D" w:rsidRPr="00071AF6" w14:paraId="79F36EA4" w14:textId="77777777" w:rsidTr="00264F85">
        <w:trPr>
          <w:trHeight w:val="265"/>
        </w:trPr>
        <w:tc>
          <w:tcPr>
            <w:tcW w:w="2081" w:type="dxa"/>
            <w:tcBorders>
              <w:top w:val="nil"/>
              <w:left w:val="single" w:sz="4" w:space="0" w:color="auto"/>
              <w:bottom w:val="nil"/>
              <w:right w:val="nil"/>
            </w:tcBorders>
            <w:noWrap/>
            <w:hideMark/>
          </w:tcPr>
          <w:p w14:paraId="07EA8FF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Risk</w:t>
            </w:r>
          </w:p>
        </w:tc>
        <w:tc>
          <w:tcPr>
            <w:tcW w:w="1673" w:type="dxa"/>
            <w:tcBorders>
              <w:top w:val="nil"/>
              <w:left w:val="nil"/>
              <w:bottom w:val="nil"/>
              <w:right w:val="nil"/>
            </w:tcBorders>
          </w:tcPr>
          <w:p w14:paraId="4CA0F70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nil"/>
              <w:right w:val="nil"/>
            </w:tcBorders>
            <w:noWrap/>
            <w:hideMark/>
          </w:tcPr>
          <w:p w14:paraId="56329A25"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0.4518</w:t>
            </w:r>
          </w:p>
        </w:tc>
        <w:tc>
          <w:tcPr>
            <w:tcW w:w="535" w:type="dxa"/>
            <w:tcBorders>
              <w:top w:val="nil"/>
              <w:left w:val="nil"/>
              <w:bottom w:val="nil"/>
              <w:right w:val="nil"/>
            </w:tcBorders>
          </w:tcPr>
          <w:p w14:paraId="6E5050E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nil"/>
              <w:right w:val="nil"/>
            </w:tcBorders>
            <w:noWrap/>
            <w:hideMark/>
          </w:tcPr>
          <w:p w14:paraId="1A3CE1D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0.4075</w:t>
            </w:r>
          </w:p>
        </w:tc>
        <w:tc>
          <w:tcPr>
            <w:tcW w:w="2113" w:type="dxa"/>
            <w:tcBorders>
              <w:top w:val="nil"/>
              <w:left w:val="nil"/>
              <w:bottom w:val="nil"/>
              <w:right w:val="single" w:sz="4" w:space="0" w:color="auto"/>
            </w:tcBorders>
            <w:noWrap/>
            <w:hideMark/>
          </w:tcPr>
          <w:p w14:paraId="2CB013C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0.35 (0.726)</w:t>
            </w:r>
          </w:p>
        </w:tc>
      </w:tr>
      <w:tr w:rsidR="00E30E2D" w:rsidRPr="00071AF6" w14:paraId="05E70A8E" w14:textId="77777777" w:rsidTr="00264F85">
        <w:trPr>
          <w:trHeight w:val="265"/>
        </w:trPr>
        <w:tc>
          <w:tcPr>
            <w:tcW w:w="2081" w:type="dxa"/>
            <w:tcBorders>
              <w:top w:val="nil"/>
              <w:left w:val="single" w:sz="4" w:space="0" w:color="auto"/>
              <w:bottom w:val="single" w:sz="4" w:space="0" w:color="auto"/>
              <w:right w:val="nil"/>
            </w:tcBorders>
            <w:noWrap/>
            <w:hideMark/>
          </w:tcPr>
          <w:p w14:paraId="0AE8700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Leverage</w:t>
            </w:r>
          </w:p>
        </w:tc>
        <w:tc>
          <w:tcPr>
            <w:tcW w:w="1673" w:type="dxa"/>
            <w:tcBorders>
              <w:top w:val="nil"/>
              <w:left w:val="nil"/>
              <w:bottom w:val="single" w:sz="4" w:space="0" w:color="auto"/>
              <w:right w:val="nil"/>
            </w:tcBorders>
          </w:tcPr>
          <w:p w14:paraId="121DBBE5"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129" w:type="dxa"/>
            <w:tcBorders>
              <w:top w:val="nil"/>
              <w:left w:val="nil"/>
              <w:bottom w:val="single" w:sz="4" w:space="0" w:color="auto"/>
              <w:right w:val="nil"/>
            </w:tcBorders>
            <w:noWrap/>
            <w:hideMark/>
          </w:tcPr>
          <w:p w14:paraId="19BDF86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-0.4772</w:t>
            </w:r>
          </w:p>
        </w:tc>
        <w:tc>
          <w:tcPr>
            <w:tcW w:w="535" w:type="dxa"/>
            <w:tcBorders>
              <w:top w:val="nil"/>
              <w:left w:val="nil"/>
              <w:bottom w:val="single" w:sz="4" w:space="0" w:color="auto"/>
              <w:right w:val="nil"/>
            </w:tcBorders>
          </w:tcPr>
          <w:p w14:paraId="27EED0A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c>
          <w:tcPr>
            <w:tcW w:w="1408" w:type="dxa"/>
            <w:tcBorders>
              <w:top w:val="nil"/>
              <w:left w:val="nil"/>
              <w:bottom w:val="single" w:sz="4" w:space="0" w:color="auto"/>
              <w:right w:val="nil"/>
            </w:tcBorders>
            <w:noWrap/>
            <w:hideMark/>
          </w:tcPr>
          <w:p w14:paraId="0FC72C4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-0.4508</w:t>
            </w:r>
          </w:p>
        </w:tc>
        <w:tc>
          <w:tcPr>
            <w:tcW w:w="2113" w:type="dxa"/>
            <w:tcBorders>
              <w:top w:val="nil"/>
              <w:left w:val="nil"/>
              <w:bottom w:val="single" w:sz="4" w:space="0" w:color="auto"/>
              <w:right w:val="single" w:sz="4" w:space="0" w:color="auto"/>
            </w:tcBorders>
            <w:noWrap/>
            <w:hideMark/>
          </w:tcPr>
          <w:p w14:paraId="66F952B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-0.81 (0.421)</w:t>
            </w:r>
          </w:p>
        </w:tc>
      </w:tr>
      <w:tr w:rsidR="00E30E2D" w:rsidRPr="00071AF6" w14:paraId="2B4D0DAD" w14:textId="77777777" w:rsidTr="00264F85">
        <w:trPr>
          <w:trHeight w:val="265"/>
        </w:trPr>
        <w:tc>
          <w:tcPr>
            <w:tcW w:w="8939" w:type="dxa"/>
            <w:gridSpan w:val="6"/>
            <w:tcBorders>
              <w:top w:val="single" w:sz="4" w:space="0" w:color="auto"/>
              <w:left w:val="single" w:sz="4" w:space="0" w:color="auto"/>
              <w:bottom w:val="single" w:sz="4" w:space="0" w:color="auto"/>
              <w:right w:val="single" w:sz="4" w:space="0" w:color="auto"/>
            </w:tcBorders>
            <w:noWrap/>
          </w:tcPr>
          <w:p w14:paraId="0B8C956C" w14:textId="77777777" w:rsidR="00E30E2D" w:rsidRPr="00C1057B" w:rsidRDefault="00E30E2D" w:rsidP="00264F85">
            <w:pPr>
              <w:jc w:val="both"/>
              <w:rPr>
                <w:rFonts w:ascii="Times New Roman" w:eastAsia="Times New Roman" w:hAnsi="Times New Roman" w:cs="Times New Roman"/>
                <w:sz w:val="20"/>
                <w:szCs w:val="20"/>
              </w:rPr>
            </w:pPr>
            <w:r w:rsidRPr="009E69CE">
              <w:rPr>
                <w:rFonts w:ascii="Times New Roman" w:eastAsia="Times New Roman" w:hAnsi="Times New Roman" w:cs="Times New Roman"/>
                <w:sz w:val="20"/>
                <w:szCs w:val="20"/>
              </w:rPr>
              <w:t>Panel B</w:t>
            </w:r>
            <w:r w:rsidRPr="00C1057B">
              <w:rPr>
                <w:rFonts w:ascii="Times New Roman" w:eastAsia="Times New Roman" w:hAnsi="Times New Roman" w:cs="Times New Roman"/>
                <w:sz w:val="20"/>
                <w:szCs w:val="20"/>
              </w:rPr>
              <w:t>: Base Line Regression Using Propensity Score Matched Sample</w:t>
            </w:r>
          </w:p>
        </w:tc>
      </w:tr>
      <w:tr w:rsidR="00E30E2D" w:rsidRPr="00071AF6" w14:paraId="273C2920" w14:textId="77777777" w:rsidTr="00264F85">
        <w:trPr>
          <w:trHeight w:val="265"/>
        </w:trPr>
        <w:tc>
          <w:tcPr>
            <w:tcW w:w="5418" w:type="dxa"/>
            <w:gridSpan w:val="4"/>
            <w:tcBorders>
              <w:top w:val="single" w:sz="4" w:space="0" w:color="auto"/>
              <w:left w:val="single" w:sz="4" w:space="0" w:color="auto"/>
              <w:bottom w:val="single" w:sz="4" w:space="0" w:color="auto"/>
              <w:right w:val="nil"/>
            </w:tcBorders>
            <w:noWrap/>
          </w:tcPr>
          <w:p w14:paraId="46127D97"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Variables</w:t>
            </w:r>
          </w:p>
        </w:tc>
        <w:tc>
          <w:tcPr>
            <w:tcW w:w="3521" w:type="dxa"/>
            <w:gridSpan w:val="2"/>
            <w:tcBorders>
              <w:top w:val="single" w:sz="4" w:space="0" w:color="auto"/>
              <w:left w:val="nil"/>
              <w:bottom w:val="single" w:sz="4" w:space="0" w:color="auto"/>
              <w:right w:val="single" w:sz="4" w:space="0" w:color="auto"/>
            </w:tcBorders>
            <w:noWrap/>
          </w:tcPr>
          <w:p w14:paraId="4E68D83B" w14:textId="77777777" w:rsidR="00E30E2D" w:rsidRPr="00071AF6" w:rsidRDefault="00E30E2D" w:rsidP="00264F85">
            <w:pPr>
              <w:jc w:val="both"/>
              <w:rPr>
                <w:rFonts w:ascii="Times New Roman" w:eastAsia="Times New Roman" w:hAnsi="Times New Roman" w:cs="Times New Roman"/>
                <w:b/>
                <w:bCs/>
                <w:sz w:val="20"/>
                <w:szCs w:val="20"/>
              </w:rPr>
            </w:pPr>
            <w:r w:rsidRPr="00071AF6">
              <w:rPr>
                <w:rFonts w:ascii="Times New Roman" w:eastAsia="Times New Roman" w:hAnsi="Times New Roman" w:cs="Times New Roman"/>
                <w:b/>
                <w:bCs/>
                <w:sz w:val="20"/>
                <w:szCs w:val="20"/>
              </w:rPr>
              <w:t>Misconduct</w:t>
            </w:r>
          </w:p>
        </w:tc>
      </w:tr>
      <w:tr w:rsidR="00E30E2D" w:rsidRPr="00071AF6" w14:paraId="2B8B7C1C" w14:textId="77777777" w:rsidTr="00264F85">
        <w:trPr>
          <w:trHeight w:val="676"/>
        </w:trPr>
        <w:tc>
          <w:tcPr>
            <w:tcW w:w="5418" w:type="dxa"/>
            <w:gridSpan w:val="4"/>
            <w:tcBorders>
              <w:top w:val="single" w:sz="4" w:space="0" w:color="auto"/>
              <w:left w:val="single" w:sz="4" w:space="0" w:color="auto"/>
              <w:bottom w:val="nil"/>
              <w:right w:val="nil"/>
            </w:tcBorders>
            <w:noWrap/>
          </w:tcPr>
          <w:p w14:paraId="4A02745C"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Heterogeneity Index</w:t>
            </w:r>
          </w:p>
        </w:tc>
        <w:tc>
          <w:tcPr>
            <w:tcW w:w="3521" w:type="dxa"/>
            <w:gridSpan w:val="2"/>
            <w:tcBorders>
              <w:top w:val="single" w:sz="4" w:space="0" w:color="auto"/>
              <w:left w:val="nil"/>
              <w:bottom w:val="nil"/>
              <w:right w:val="single" w:sz="4" w:space="0" w:color="auto"/>
            </w:tcBorders>
            <w:noWrap/>
          </w:tcPr>
          <w:p w14:paraId="5B36CF0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-0.1788***</w:t>
            </w:r>
          </w:p>
          <w:p w14:paraId="60B2198F"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(0.0814)</w:t>
            </w:r>
          </w:p>
        </w:tc>
      </w:tr>
      <w:tr w:rsidR="00E30E2D" w:rsidRPr="00071AF6" w14:paraId="004FFDDB" w14:textId="77777777" w:rsidTr="00264F85">
        <w:trPr>
          <w:trHeight w:val="265"/>
        </w:trPr>
        <w:tc>
          <w:tcPr>
            <w:tcW w:w="5418" w:type="dxa"/>
            <w:gridSpan w:val="4"/>
            <w:tcBorders>
              <w:top w:val="nil"/>
              <w:left w:val="single" w:sz="4" w:space="0" w:color="auto"/>
              <w:bottom w:val="nil"/>
              <w:right w:val="nil"/>
            </w:tcBorders>
            <w:noWrap/>
          </w:tcPr>
          <w:p w14:paraId="21250D0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Board Independence </w:t>
            </w:r>
          </w:p>
        </w:tc>
        <w:tc>
          <w:tcPr>
            <w:tcW w:w="3521" w:type="dxa"/>
            <w:gridSpan w:val="2"/>
            <w:tcBorders>
              <w:top w:val="nil"/>
              <w:left w:val="nil"/>
              <w:bottom w:val="nil"/>
              <w:right w:val="single" w:sz="4" w:space="0" w:color="auto"/>
            </w:tcBorders>
            <w:noWrap/>
          </w:tcPr>
          <w:p w14:paraId="25706FC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0.880</w:t>
            </w:r>
          </w:p>
          <w:p w14:paraId="657CD04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(0.1405)</w:t>
            </w:r>
          </w:p>
        </w:tc>
      </w:tr>
      <w:tr w:rsidR="00E30E2D" w:rsidRPr="00071AF6" w14:paraId="690AF62D" w14:textId="77777777" w:rsidTr="00264F85">
        <w:trPr>
          <w:trHeight w:val="265"/>
        </w:trPr>
        <w:tc>
          <w:tcPr>
            <w:tcW w:w="5418" w:type="dxa"/>
            <w:gridSpan w:val="4"/>
            <w:tcBorders>
              <w:top w:val="nil"/>
              <w:left w:val="single" w:sz="4" w:space="0" w:color="auto"/>
              <w:bottom w:val="nil"/>
              <w:right w:val="nil"/>
            </w:tcBorders>
            <w:noWrap/>
          </w:tcPr>
          <w:p w14:paraId="17CA72E8"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Board Size</w:t>
            </w:r>
          </w:p>
        </w:tc>
        <w:tc>
          <w:tcPr>
            <w:tcW w:w="3521" w:type="dxa"/>
            <w:gridSpan w:val="2"/>
            <w:tcBorders>
              <w:top w:val="nil"/>
              <w:left w:val="nil"/>
              <w:bottom w:val="nil"/>
              <w:right w:val="single" w:sz="4" w:space="0" w:color="auto"/>
            </w:tcBorders>
            <w:noWrap/>
          </w:tcPr>
          <w:p w14:paraId="4CA6F88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-0.0074</w:t>
            </w:r>
          </w:p>
          <w:p w14:paraId="3C998834"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(0.1489)</w:t>
            </w:r>
          </w:p>
        </w:tc>
      </w:tr>
      <w:tr w:rsidR="00E30E2D" w:rsidRPr="00071AF6" w14:paraId="063BB660" w14:textId="77777777" w:rsidTr="00264F85">
        <w:trPr>
          <w:trHeight w:val="265"/>
        </w:trPr>
        <w:tc>
          <w:tcPr>
            <w:tcW w:w="5418" w:type="dxa"/>
            <w:gridSpan w:val="4"/>
            <w:tcBorders>
              <w:top w:val="nil"/>
              <w:left w:val="single" w:sz="4" w:space="0" w:color="auto"/>
              <w:bottom w:val="nil"/>
              <w:right w:val="nil"/>
            </w:tcBorders>
            <w:noWrap/>
          </w:tcPr>
          <w:p w14:paraId="6492FA88"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Growth</w:t>
            </w:r>
          </w:p>
        </w:tc>
        <w:tc>
          <w:tcPr>
            <w:tcW w:w="3521" w:type="dxa"/>
            <w:gridSpan w:val="2"/>
            <w:tcBorders>
              <w:top w:val="nil"/>
              <w:left w:val="nil"/>
              <w:bottom w:val="nil"/>
              <w:right w:val="single" w:sz="4" w:space="0" w:color="auto"/>
            </w:tcBorders>
            <w:noWrap/>
          </w:tcPr>
          <w:p w14:paraId="75A2199B"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0.1407</w:t>
            </w:r>
          </w:p>
          <w:p w14:paraId="66BD4638"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(0.0886)</w:t>
            </w:r>
          </w:p>
        </w:tc>
      </w:tr>
      <w:tr w:rsidR="00E30E2D" w:rsidRPr="00071AF6" w14:paraId="44253441" w14:textId="77777777" w:rsidTr="00264F85">
        <w:trPr>
          <w:trHeight w:val="265"/>
        </w:trPr>
        <w:tc>
          <w:tcPr>
            <w:tcW w:w="5418" w:type="dxa"/>
            <w:gridSpan w:val="4"/>
            <w:tcBorders>
              <w:top w:val="nil"/>
              <w:left w:val="single" w:sz="4" w:space="0" w:color="auto"/>
              <w:bottom w:val="nil"/>
              <w:right w:val="nil"/>
            </w:tcBorders>
            <w:noWrap/>
          </w:tcPr>
          <w:p w14:paraId="3BD0472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Bank Size</w:t>
            </w:r>
          </w:p>
        </w:tc>
        <w:tc>
          <w:tcPr>
            <w:tcW w:w="3521" w:type="dxa"/>
            <w:gridSpan w:val="2"/>
            <w:tcBorders>
              <w:top w:val="nil"/>
              <w:left w:val="nil"/>
              <w:bottom w:val="nil"/>
              <w:right w:val="single" w:sz="4" w:space="0" w:color="auto"/>
            </w:tcBorders>
            <w:noWrap/>
          </w:tcPr>
          <w:p w14:paraId="4046B1E8"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-0.7933***</w:t>
            </w:r>
          </w:p>
          <w:p w14:paraId="7323EC1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(0.4150)</w:t>
            </w:r>
          </w:p>
        </w:tc>
      </w:tr>
      <w:tr w:rsidR="00E30E2D" w:rsidRPr="00071AF6" w14:paraId="34D71AB1" w14:textId="77777777" w:rsidTr="00264F85">
        <w:trPr>
          <w:trHeight w:val="265"/>
        </w:trPr>
        <w:tc>
          <w:tcPr>
            <w:tcW w:w="5418" w:type="dxa"/>
            <w:gridSpan w:val="4"/>
            <w:tcBorders>
              <w:top w:val="nil"/>
              <w:left w:val="single" w:sz="4" w:space="0" w:color="auto"/>
              <w:bottom w:val="nil"/>
              <w:right w:val="nil"/>
            </w:tcBorders>
            <w:noWrap/>
          </w:tcPr>
          <w:p w14:paraId="62526BDE"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Charter Value</w:t>
            </w:r>
          </w:p>
        </w:tc>
        <w:tc>
          <w:tcPr>
            <w:tcW w:w="3521" w:type="dxa"/>
            <w:gridSpan w:val="2"/>
            <w:tcBorders>
              <w:top w:val="nil"/>
              <w:left w:val="nil"/>
              <w:bottom w:val="nil"/>
              <w:right w:val="single" w:sz="4" w:space="0" w:color="auto"/>
            </w:tcBorders>
            <w:noWrap/>
          </w:tcPr>
          <w:p w14:paraId="0F00FDB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-0.4857</w:t>
            </w:r>
          </w:p>
          <w:p w14:paraId="341215B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(0.4442)</w:t>
            </w:r>
          </w:p>
        </w:tc>
      </w:tr>
      <w:tr w:rsidR="00E30E2D" w:rsidRPr="00071AF6" w14:paraId="301099EB" w14:textId="77777777" w:rsidTr="00264F85">
        <w:trPr>
          <w:trHeight w:val="265"/>
        </w:trPr>
        <w:tc>
          <w:tcPr>
            <w:tcW w:w="5418" w:type="dxa"/>
            <w:gridSpan w:val="4"/>
            <w:tcBorders>
              <w:top w:val="nil"/>
              <w:left w:val="single" w:sz="4" w:space="0" w:color="auto"/>
              <w:bottom w:val="nil"/>
              <w:right w:val="nil"/>
            </w:tcBorders>
            <w:noWrap/>
          </w:tcPr>
          <w:p w14:paraId="3B27C7A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Capital</w:t>
            </w:r>
          </w:p>
        </w:tc>
        <w:tc>
          <w:tcPr>
            <w:tcW w:w="3521" w:type="dxa"/>
            <w:gridSpan w:val="2"/>
            <w:tcBorders>
              <w:top w:val="nil"/>
              <w:left w:val="nil"/>
              <w:bottom w:val="nil"/>
              <w:right w:val="single" w:sz="4" w:space="0" w:color="auto"/>
            </w:tcBorders>
            <w:noWrap/>
          </w:tcPr>
          <w:p w14:paraId="002312DC"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0.2845</w:t>
            </w:r>
          </w:p>
          <w:p w14:paraId="5C97367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(0.2319)</w:t>
            </w:r>
          </w:p>
        </w:tc>
      </w:tr>
      <w:tr w:rsidR="00E30E2D" w:rsidRPr="00071AF6" w14:paraId="40B71C0E" w14:textId="77777777" w:rsidTr="00264F85">
        <w:trPr>
          <w:trHeight w:val="265"/>
        </w:trPr>
        <w:tc>
          <w:tcPr>
            <w:tcW w:w="5418" w:type="dxa"/>
            <w:gridSpan w:val="4"/>
            <w:tcBorders>
              <w:top w:val="nil"/>
              <w:left w:val="single" w:sz="4" w:space="0" w:color="auto"/>
              <w:bottom w:val="nil"/>
              <w:right w:val="nil"/>
            </w:tcBorders>
            <w:noWrap/>
          </w:tcPr>
          <w:p w14:paraId="07EDA0D2"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ROA</w:t>
            </w:r>
          </w:p>
        </w:tc>
        <w:tc>
          <w:tcPr>
            <w:tcW w:w="3521" w:type="dxa"/>
            <w:gridSpan w:val="2"/>
            <w:tcBorders>
              <w:top w:val="nil"/>
              <w:left w:val="nil"/>
              <w:bottom w:val="nil"/>
              <w:right w:val="single" w:sz="4" w:space="0" w:color="auto"/>
            </w:tcBorders>
            <w:noWrap/>
          </w:tcPr>
          <w:p w14:paraId="423F409A"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0.1285  </w:t>
            </w:r>
          </w:p>
          <w:p w14:paraId="0F9E232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(0.2283)</w:t>
            </w:r>
          </w:p>
        </w:tc>
      </w:tr>
      <w:tr w:rsidR="00E30E2D" w:rsidRPr="00071AF6" w14:paraId="7B50D75E" w14:textId="77777777" w:rsidTr="00264F85">
        <w:trPr>
          <w:trHeight w:val="265"/>
        </w:trPr>
        <w:tc>
          <w:tcPr>
            <w:tcW w:w="5418" w:type="dxa"/>
            <w:gridSpan w:val="4"/>
            <w:tcBorders>
              <w:top w:val="nil"/>
              <w:left w:val="single" w:sz="4" w:space="0" w:color="auto"/>
              <w:bottom w:val="nil"/>
              <w:right w:val="nil"/>
            </w:tcBorders>
            <w:noWrap/>
          </w:tcPr>
          <w:p w14:paraId="4BBC283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CEO Tenure</w:t>
            </w:r>
          </w:p>
        </w:tc>
        <w:tc>
          <w:tcPr>
            <w:tcW w:w="3521" w:type="dxa"/>
            <w:gridSpan w:val="2"/>
            <w:tcBorders>
              <w:top w:val="nil"/>
              <w:left w:val="nil"/>
              <w:bottom w:val="nil"/>
              <w:right w:val="single" w:sz="4" w:space="0" w:color="auto"/>
            </w:tcBorders>
            <w:noWrap/>
          </w:tcPr>
          <w:p w14:paraId="0C5FABBD"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-0.0754</w:t>
            </w:r>
          </w:p>
          <w:p w14:paraId="4D4C1866"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 (0.1100)</w:t>
            </w:r>
          </w:p>
        </w:tc>
      </w:tr>
      <w:tr w:rsidR="00E30E2D" w:rsidRPr="00071AF6" w14:paraId="53480634" w14:textId="77777777" w:rsidTr="00264F85">
        <w:trPr>
          <w:trHeight w:val="265"/>
        </w:trPr>
        <w:tc>
          <w:tcPr>
            <w:tcW w:w="5418" w:type="dxa"/>
            <w:gridSpan w:val="4"/>
            <w:tcBorders>
              <w:top w:val="nil"/>
              <w:left w:val="single" w:sz="4" w:space="0" w:color="auto"/>
              <w:bottom w:val="nil"/>
              <w:right w:val="nil"/>
            </w:tcBorders>
            <w:noWrap/>
          </w:tcPr>
          <w:p w14:paraId="67633AF1"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Risk</w:t>
            </w:r>
          </w:p>
        </w:tc>
        <w:tc>
          <w:tcPr>
            <w:tcW w:w="3521" w:type="dxa"/>
            <w:gridSpan w:val="2"/>
            <w:tcBorders>
              <w:top w:val="nil"/>
              <w:left w:val="nil"/>
              <w:bottom w:val="nil"/>
              <w:right w:val="single" w:sz="4" w:space="0" w:color="auto"/>
            </w:tcBorders>
            <w:noWrap/>
          </w:tcPr>
          <w:p w14:paraId="64D90AE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-0.0293</w:t>
            </w:r>
          </w:p>
          <w:p w14:paraId="7583906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  (0.0966)</w:t>
            </w:r>
          </w:p>
        </w:tc>
      </w:tr>
      <w:tr w:rsidR="00E30E2D" w:rsidRPr="00071AF6" w14:paraId="0E85864E" w14:textId="77777777" w:rsidTr="00264F85">
        <w:trPr>
          <w:trHeight w:val="265"/>
        </w:trPr>
        <w:tc>
          <w:tcPr>
            <w:tcW w:w="5418" w:type="dxa"/>
            <w:gridSpan w:val="4"/>
            <w:tcBorders>
              <w:top w:val="nil"/>
              <w:left w:val="single" w:sz="4" w:space="0" w:color="auto"/>
              <w:bottom w:val="nil"/>
              <w:right w:val="nil"/>
            </w:tcBorders>
            <w:noWrap/>
          </w:tcPr>
          <w:p w14:paraId="0D22CEB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Leverage</w:t>
            </w:r>
          </w:p>
        </w:tc>
        <w:tc>
          <w:tcPr>
            <w:tcW w:w="3521" w:type="dxa"/>
            <w:gridSpan w:val="2"/>
            <w:tcBorders>
              <w:top w:val="nil"/>
              <w:left w:val="nil"/>
              <w:bottom w:val="nil"/>
              <w:right w:val="single" w:sz="4" w:space="0" w:color="auto"/>
            </w:tcBorders>
            <w:noWrap/>
          </w:tcPr>
          <w:p w14:paraId="0B5FE898"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-2.5673  </w:t>
            </w:r>
          </w:p>
          <w:p w14:paraId="796ABA9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 (2.882)</w:t>
            </w:r>
          </w:p>
        </w:tc>
      </w:tr>
      <w:tr w:rsidR="00E30E2D" w:rsidRPr="00071AF6" w14:paraId="2E9D524E" w14:textId="77777777" w:rsidTr="00264F85">
        <w:trPr>
          <w:trHeight w:val="265"/>
        </w:trPr>
        <w:tc>
          <w:tcPr>
            <w:tcW w:w="5418" w:type="dxa"/>
            <w:gridSpan w:val="4"/>
            <w:tcBorders>
              <w:top w:val="nil"/>
              <w:left w:val="single" w:sz="4" w:space="0" w:color="auto"/>
              <w:bottom w:val="nil"/>
              <w:right w:val="nil"/>
            </w:tcBorders>
            <w:noWrap/>
          </w:tcPr>
          <w:p w14:paraId="337E289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Total Fine</w:t>
            </w:r>
          </w:p>
        </w:tc>
        <w:tc>
          <w:tcPr>
            <w:tcW w:w="3521" w:type="dxa"/>
            <w:gridSpan w:val="2"/>
            <w:tcBorders>
              <w:top w:val="nil"/>
              <w:left w:val="nil"/>
              <w:bottom w:val="nil"/>
              <w:right w:val="single" w:sz="4" w:space="0" w:color="auto"/>
            </w:tcBorders>
            <w:noWrap/>
          </w:tcPr>
          <w:p w14:paraId="09E802EC"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0.0509</w:t>
            </w:r>
          </w:p>
          <w:p w14:paraId="24C4D7F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(0.0771)</w:t>
            </w:r>
          </w:p>
        </w:tc>
      </w:tr>
      <w:tr w:rsidR="00E30E2D" w:rsidRPr="00071AF6" w14:paraId="55642C18" w14:textId="77777777" w:rsidTr="00264F85">
        <w:trPr>
          <w:trHeight w:val="265"/>
        </w:trPr>
        <w:tc>
          <w:tcPr>
            <w:tcW w:w="5418" w:type="dxa"/>
            <w:gridSpan w:val="4"/>
            <w:tcBorders>
              <w:top w:val="nil"/>
              <w:left w:val="single" w:sz="4" w:space="0" w:color="auto"/>
              <w:bottom w:val="nil"/>
              <w:right w:val="nil"/>
            </w:tcBorders>
            <w:noWrap/>
          </w:tcPr>
          <w:p w14:paraId="646B49AF"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Constant </w:t>
            </w:r>
          </w:p>
        </w:tc>
        <w:tc>
          <w:tcPr>
            <w:tcW w:w="3521" w:type="dxa"/>
            <w:gridSpan w:val="2"/>
            <w:tcBorders>
              <w:top w:val="nil"/>
              <w:left w:val="nil"/>
              <w:bottom w:val="nil"/>
              <w:right w:val="single" w:sz="4" w:space="0" w:color="auto"/>
            </w:tcBorders>
            <w:noWrap/>
          </w:tcPr>
          <w:p w14:paraId="02F6A621"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 xml:space="preserve">-0.3986   </w:t>
            </w:r>
          </w:p>
          <w:p w14:paraId="4B4FF48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(1.3674)</w:t>
            </w:r>
          </w:p>
        </w:tc>
      </w:tr>
      <w:tr w:rsidR="00E30E2D" w:rsidRPr="00071AF6" w14:paraId="352BB787" w14:textId="77777777" w:rsidTr="00264F85">
        <w:trPr>
          <w:trHeight w:val="265"/>
        </w:trPr>
        <w:tc>
          <w:tcPr>
            <w:tcW w:w="5418" w:type="dxa"/>
            <w:gridSpan w:val="4"/>
            <w:tcBorders>
              <w:top w:val="nil"/>
              <w:left w:val="single" w:sz="4" w:space="0" w:color="auto"/>
              <w:bottom w:val="nil"/>
              <w:right w:val="nil"/>
            </w:tcBorders>
            <w:noWrap/>
          </w:tcPr>
          <w:p w14:paraId="7EFC71C7"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Year and Bank FE</w:t>
            </w:r>
          </w:p>
        </w:tc>
        <w:tc>
          <w:tcPr>
            <w:tcW w:w="3521" w:type="dxa"/>
            <w:gridSpan w:val="2"/>
            <w:tcBorders>
              <w:top w:val="nil"/>
              <w:left w:val="nil"/>
              <w:bottom w:val="nil"/>
              <w:right w:val="single" w:sz="4" w:space="0" w:color="auto"/>
            </w:tcBorders>
            <w:noWrap/>
          </w:tcPr>
          <w:p w14:paraId="35A5D01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Yes</w:t>
            </w:r>
          </w:p>
        </w:tc>
      </w:tr>
      <w:tr w:rsidR="00E30E2D" w:rsidRPr="00071AF6" w14:paraId="6EEAE092" w14:textId="77777777" w:rsidTr="00264F85">
        <w:trPr>
          <w:trHeight w:val="265"/>
        </w:trPr>
        <w:tc>
          <w:tcPr>
            <w:tcW w:w="5418" w:type="dxa"/>
            <w:gridSpan w:val="4"/>
            <w:tcBorders>
              <w:top w:val="nil"/>
              <w:left w:val="single" w:sz="4" w:space="0" w:color="auto"/>
              <w:bottom w:val="single" w:sz="4" w:space="0" w:color="auto"/>
              <w:right w:val="nil"/>
            </w:tcBorders>
            <w:noWrap/>
          </w:tcPr>
          <w:p w14:paraId="692C74FB"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Observations</w:t>
            </w:r>
          </w:p>
        </w:tc>
        <w:tc>
          <w:tcPr>
            <w:tcW w:w="3521" w:type="dxa"/>
            <w:gridSpan w:val="2"/>
            <w:tcBorders>
              <w:top w:val="nil"/>
              <w:left w:val="nil"/>
              <w:bottom w:val="single" w:sz="4" w:space="0" w:color="auto"/>
              <w:right w:val="single" w:sz="4" w:space="0" w:color="auto"/>
            </w:tcBorders>
            <w:noWrap/>
          </w:tcPr>
          <w:p w14:paraId="6990B133"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249</w:t>
            </w:r>
          </w:p>
        </w:tc>
      </w:tr>
      <w:tr w:rsidR="00E30E2D" w:rsidRPr="00071AF6" w14:paraId="1B7E2DB1" w14:textId="77777777" w:rsidTr="00264F85">
        <w:trPr>
          <w:trHeight w:val="265"/>
        </w:trPr>
        <w:tc>
          <w:tcPr>
            <w:tcW w:w="5418" w:type="dxa"/>
            <w:gridSpan w:val="4"/>
            <w:tcBorders>
              <w:top w:val="single" w:sz="4" w:space="0" w:color="auto"/>
              <w:left w:val="single" w:sz="4" w:space="0" w:color="auto"/>
              <w:bottom w:val="single" w:sz="4" w:space="0" w:color="auto"/>
              <w:right w:val="nil"/>
            </w:tcBorders>
            <w:noWrap/>
          </w:tcPr>
          <w:p w14:paraId="43B62239"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Adjusted R-Square</w:t>
            </w:r>
          </w:p>
        </w:tc>
        <w:tc>
          <w:tcPr>
            <w:tcW w:w="3521" w:type="dxa"/>
            <w:gridSpan w:val="2"/>
            <w:tcBorders>
              <w:top w:val="single" w:sz="4" w:space="0" w:color="auto"/>
              <w:left w:val="nil"/>
              <w:bottom w:val="single" w:sz="4" w:space="0" w:color="auto"/>
              <w:right w:val="single" w:sz="4" w:space="0" w:color="auto"/>
            </w:tcBorders>
            <w:noWrap/>
          </w:tcPr>
          <w:p w14:paraId="3D4BAED0" w14:textId="77777777" w:rsidR="00E30E2D" w:rsidRPr="00071AF6" w:rsidRDefault="00E30E2D" w:rsidP="00264F85">
            <w:pPr>
              <w:jc w:val="both"/>
              <w:rPr>
                <w:rFonts w:ascii="Times New Roman" w:eastAsia="Times New Roman" w:hAnsi="Times New Roman" w:cs="Times New Roman"/>
                <w:sz w:val="20"/>
                <w:szCs w:val="20"/>
              </w:rPr>
            </w:pPr>
            <w:r w:rsidRPr="00071AF6">
              <w:rPr>
                <w:rFonts w:ascii="Times New Roman" w:eastAsia="Times New Roman" w:hAnsi="Times New Roman" w:cs="Times New Roman"/>
                <w:sz w:val="20"/>
                <w:szCs w:val="20"/>
              </w:rPr>
              <w:t>0.2048</w:t>
            </w:r>
          </w:p>
        </w:tc>
      </w:tr>
    </w:tbl>
    <w:p w14:paraId="5D3E5C90" w14:textId="27376F10" w:rsidR="00DE7639" w:rsidRDefault="00E30E2D" w:rsidP="00E30E2D">
      <w:pPr>
        <w:ind w:left="142"/>
        <w:jc w:val="both"/>
        <w:rPr>
          <w:rFonts w:ascii="Times New Roman" w:eastAsia="Times New Roman" w:hAnsi="Times New Roman" w:cs="Times New Roman"/>
          <w:sz w:val="24"/>
          <w:szCs w:val="24"/>
        </w:rPr>
      </w:pPr>
      <w:r w:rsidRPr="00A9015F">
        <w:rPr>
          <w:rFonts w:ascii="Times New Roman" w:eastAsia="Times New Roman" w:hAnsi="Times New Roman" w:cs="Times New Roman"/>
          <w:sz w:val="20"/>
          <w:szCs w:val="20"/>
        </w:rPr>
        <w:t>In this table, we identify the treatment group as banks with penalty amounts, while the control group includes banks with no penalty by employing a propensity score matching procedure. Panel A demonstrates the statistics of the matching process</w:t>
      </w:r>
      <w:r>
        <w:rPr>
          <w:rFonts w:ascii="Times New Roman" w:eastAsia="Times New Roman" w:hAnsi="Times New Roman" w:cs="Times New Roman"/>
          <w:sz w:val="20"/>
          <w:szCs w:val="20"/>
        </w:rPr>
        <w:t>,</w:t>
      </w:r>
      <w:r w:rsidRPr="00A9015F">
        <w:rPr>
          <w:rFonts w:ascii="Times New Roman" w:eastAsia="Times New Roman" w:hAnsi="Times New Roman" w:cs="Times New Roman"/>
          <w:sz w:val="20"/>
          <w:szCs w:val="20"/>
        </w:rPr>
        <w:t xml:space="preserve"> and Panel B demonstrates the estimation of regression analysis using </w:t>
      </w:r>
      <w:r>
        <w:rPr>
          <w:rFonts w:ascii="Times New Roman" w:eastAsia="Times New Roman" w:hAnsi="Times New Roman" w:cs="Times New Roman"/>
          <w:sz w:val="20"/>
          <w:szCs w:val="20"/>
        </w:rPr>
        <w:t xml:space="preserve">a </w:t>
      </w:r>
      <w:r w:rsidRPr="00A9015F">
        <w:rPr>
          <w:rFonts w:ascii="Times New Roman" w:eastAsia="Times New Roman" w:hAnsi="Times New Roman" w:cs="Times New Roman"/>
          <w:sz w:val="20"/>
          <w:szCs w:val="20"/>
        </w:rPr>
        <w:t>Propensity Score Matching sample. A detailed description of the variables is given in Appendix</w:t>
      </w:r>
      <w:r>
        <w:rPr>
          <w:rFonts w:ascii="Times New Roman" w:eastAsia="Times New Roman" w:hAnsi="Times New Roman" w:cs="Times New Roman"/>
          <w:sz w:val="20"/>
          <w:szCs w:val="20"/>
        </w:rPr>
        <w:t xml:space="preserve"> B</w:t>
      </w:r>
      <w:r w:rsidRPr="00A9015F">
        <w:rPr>
          <w:rFonts w:ascii="Times New Roman" w:eastAsia="Times New Roman" w:hAnsi="Times New Roman" w:cs="Times New Roman"/>
          <w:sz w:val="20"/>
          <w:szCs w:val="20"/>
        </w:rPr>
        <w:t>. Standard errors are reported in parentheses. ***, **, * indicates significance at the 1, 5, 10 percent levels, respectively</w:t>
      </w:r>
    </w:p>
    <w:p w14:paraId="236B03FB" w14:textId="77777777" w:rsidR="00E30E2D" w:rsidRDefault="00E30E2D" w:rsidP="00A9015F">
      <w:pPr>
        <w:rPr>
          <w:rFonts w:ascii="Times New Roman" w:eastAsia="Times New Roman" w:hAnsi="Times New Roman" w:cs="Times New Roman"/>
          <w:sz w:val="20"/>
          <w:szCs w:val="20"/>
        </w:rPr>
      </w:pPr>
    </w:p>
    <w:p w14:paraId="79EA754A" w14:textId="14AC846B" w:rsidR="00A9015F" w:rsidRPr="00A9015F" w:rsidRDefault="00A9015F" w:rsidP="00A9015F">
      <w:pPr>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br w:type="page"/>
      </w:r>
    </w:p>
    <w:p w14:paraId="3CB6D649" w14:textId="15AE8CD2" w:rsidR="00DE7639" w:rsidRPr="00E30E2D" w:rsidRDefault="00DE7639" w:rsidP="00DE7639">
      <w:pPr>
        <w:pStyle w:val="Caption"/>
        <w:keepNext/>
        <w:rPr>
          <w:rFonts w:ascii="Times New Roman" w:hAnsi="Times New Roman" w:cs="Times New Roman"/>
          <w:b/>
          <w:bCs/>
          <w:i w:val="0"/>
          <w:iCs w:val="0"/>
          <w:color w:val="auto"/>
          <w:sz w:val="28"/>
          <w:szCs w:val="28"/>
        </w:rPr>
      </w:pPr>
      <w:bookmarkStart w:id="169" w:name="_Toc132386117"/>
      <w:bookmarkStart w:id="170" w:name="_Toc132437309"/>
      <w:r w:rsidRPr="00E30E2D">
        <w:rPr>
          <w:rFonts w:ascii="Times New Roman" w:hAnsi="Times New Roman" w:cs="Times New Roman"/>
          <w:b/>
          <w:bCs/>
          <w:i w:val="0"/>
          <w:iCs w:val="0"/>
          <w:color w:val="auto"/>
          <w:sz w:val="28"/>
          <w:szCs w:val="28"/>
        </w:rPr>
        <w:t>Table 5.</w:t>
      </w:r>
      <w:r w:rsidR="00221C3A">
        <w:rPr>
          <w:rFonts w:ascii="Times New Roman" w:hAnsi="Times New Roman" w:cs="Times New Roman"/>
          <w:b/>
          <w:bCs/>
          <w:i w:val="0"/>
          <w:iCs w:val="0"/>
          <w:color w:val="auto"/>
          <w:sz w:val="28"/>
          <w:szCs w:val="28"/>
        </w:rPr>
        <w:t>6</w:t>
      </w:r>
      <w:r w:rsidRPr="00E30E2D">
        <w:rPr>
          <w:rFonts w:ascii="Times New Roman" w:eastAsia="Times New Roman" w:hAnsi="Times New Roman" w:cs="Times New Roman"/>
          <w:b/>
          <w:bCs/>
          <w:i w:val="0"/>
          <w:iCs w:val="0"/>
          <w:color w:val="auto"/>
          <w:sz w:val="28"/>
          <w:szCs w:val="28"/>
        </w:rPr>
        <w:t xml:space="preserve"> Effect of Independent Director’s Attributes Heterogeneity and Bank Misconduct During and After Global Financial Crisis</w:t>
      </w:r>
      <w:bookmarkEnd w:id="169"/>
      <w:bookmarkEnd w:id="170"/>
    </w:p>
    <w:tbl>
      <w:tblPr>
        <w:tblpPr w:leftFromText="180" w:rightFromText="180" w:vertAnchor="page" w:horzAnchor="margin" w:tblpX="562" w:tblpY="3372"/>
        <w:tblW w:w="9055" w:type="dxa"/>
        <w:tblLayout w:type="fixed"/>
        <w:tblCellMar>
          <w:left w:w="75" w:type="dxa"/>
          <w:right w:w="75" w:type="dxa"/>
        </w:tblCellMar>
        <w:tblLook w:val="0000" w:firstRow="0" w:lastRow="0" w:firstColumn="0" w:lastColumn="0" w:noHBand="0" w:noVBand="0"/>
      </w:tblPr>
      <w:tblGrid>
        <w:gridCol w:w="4673"/>
        <w:gridCol w:w="2489"/>
        <w:gridCol w:w="1893"/>
      </w:tblGrid>
      <w:tr w:rsidR="00A9015F" w:rsidRPr="00A9015F" w14:paraId="6349C3FE" w14:textId="77777777" w:rsidTr="009E69CE">
        <w:trPr>
          <w:trHeight w:val="406"/>
        </w:trPr>
        <w:tc>
          <w:tcPr>
            <w:tcW w:w="4673" w:type="dxa"/>
            <w:tcBorders>
              <w:top w:val="single" w:sz="4" w:space="0" w:color="auto"/>
              <w:left w:val="single" w:sz="4" w:space="0" w:color="auto"/>
              <w:bottom w:val="single" w:sz="4" w:space="0" w:color="auto"/>
              <w:right w:val="nil"/>
            </w:tcBorders>
          </w:tcPr>
          <w:p w14:paraId="32A2A280" w14:textId="77777777" w:rsidR="00A9015F" w:rsidRPr="00A9015F" w:rsidRDefault="00A9015F" w:rsidP="00112EC5">
            <w:pPr>
              <w:jc w:val="both"/>
              <w:rPr>
                <w:rFonts w:ascii="Times New Roman" w:eastAsia="Times New Roman" w:hAnsi="Times New Roman" w:cs="Times New Roman"/>
                <w:b/>
                <w:bCs/>
                <w:sz w:val="20"/>
                <w:szCs w:val="20"/>
              </w:rPr>
            </w:pPr>
          </w:p>
        </w:tc>
        <w:tc>
          <w:tcPr>
            <w:tcW w:w="2489" w:type="dxa"/>
            <w:tcBorders>
              <w:top w:val="single" w:sz="4" w:space="0" w:color="auto"/>
              <w:left w:val="nil"/>
              <w:bottom w:val="single" w:sz="4" w:space="0" w:color="auto"/>
              <w:right w:val="nil"/>
            </w:tcBorders>
          </w:tcPr>
          <w:p w14:paraId="2440E3D7" w14:textId="77777777" w:rsidR="00A9015F" w:rsidRPr="00A9015F" w:rsidRDefault="00A9015F" w:rsidP="00112EC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(1)</w:t>
            </w:r>
          </w:p>
        </w:tc>
        <w:tc>
          <w:tcPr>
            <w:tcW w:w="1893" w:type="dxa"/>
            <w:tcBorders>
              <w:top w:val="single" w:sz="4" w:space="0" w:color="auto"/>
              <w:left w:val="nil"/>
              <w:bottom w:val="single" w:sz="4" w:space="0" w:color="auto"/>
              <w:right w:val="single" w:sz="4" w:space="0" w:color="auto"/>
            </w:tcBorders>
          </w:tcPr>
          <w:p w14:paraId="687172B0" w14:textId="77777777" w:rsidR="00A9015F" w:rsidRPr="00A9015F" w:rsidRDefault="00A9015F" w:rsidP="00112EC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(2)</w:t>
            </w:r>
          </w:p>
        </w:tc>
      </w:tr>
      <w:tr w:rsidR="00A9015F" w:rsidRPr="00A9015F" w14:paraId="76E1D5FA" w14:textId="77777777" w:rsidTr="009E69CE">
        <w:trPr>
          <w:trHeight w:val="406"/>
        </w:trPr>
        <w:tc>
          <w:tcPr>
            <w:tcW w:w="4673" w:type="dxa"/>
            <w:tcBorders>
              <w:top w:val="single" w:sz="4" w:space="0" w:color="auto"/>
              <w:left w:val="single" w:sz="4" w:space="0" w:color="auto"/>
              <w:bottom w:val="single" w:sz="4" w:space="0" w:color="auto"/>
              <w:right w:val="nil"/>
            </w:tcBorders>
          </w:tcPr>
          <w:p w14:paraId="1FF0E35B" w14:textId="77777777" w:rsidR="00A9015F" w:rsidRPr="00A9015F" w:rsidRDefault="00A9015F" w:rsidP="00112EC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VARIABLES</w:t>
            </w:r>
          </w:p>
        </w:tc>
        <w:tc>
          <w:tcPr>
            <w:tcW w:w="2489" w:type="dxa"/>
            <w:tcBorders>
              <w:top w:val="single" w:sz="4" w:space="0" w:color="auto"/>
              <w:left w:val="nil"/>
              <w:bottom w:val="single" w:sz="4" w:space="0" w:color="auto"/>
              <w:right w:val="nil"/>
            </w:tcBorders>
          </w:tcPr>
          <w:p w14:paraId="774EEC1A" w14:textId="77777777" w:rsidR="00A9015F" w:rsidRPr="00A9015F" w:rsidRDefault="00A9015F" w:rsidP="00112EC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1893" w:type="dxa"/>
            <w:tcBorders>
              <w:top w:val="single" w:sz="4" w:space="0" w:color="auto"/>
              <w:left w:val="nil"/>
              <w:bottom w:val="single" w:sz="4" w:space="0" w:color="auto"/>
              <w:right w:val="single" w:sz="4" w:space="0" w:color="auto"/>
            </w:tcBorders>
          </w:tcPr>
          <w:p w14:paraId="29C49DAE" w14:textId="77777777" w:rsidR="00A9015F" w:rsidRPr="00A9015F" w:rsidRDefault="00A9015F" w:rsidP="00112EC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r>
      <w:tr w:rsidR="00A9015F" w:rsidRPr="00A9015F" w14:paraId="60922C4F" w14:textId="77777777" w:rsidTr="009E69CE">
        <w:trPr>
          <w:trHeight w:val="662"/>
        </w:trPr>
        <w:tc>
          <w:tcPr>
            <w:tcW w:w="4673" w:type="dxa"/>
            <w:tcBorders>
              <w:top w:val="single" w:sz="4" w:space="0" w:color="auto"/>
              <w:left w:val="single" w:sz="4" w:space="0" w:color="auto"/>
              <w:bottom w:val="nil"/>
              <w:right w:val="nil"/>
            </w:tcBorders>
          </w:tcPr>
          <w:p w14:paraId="50DAD9BF"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Heterogeneity Index *Post Crisis 2009</w:t>
            </w:r>
          </w:p>
        </w:tc>
        <w:tc>
          <w:tcPr>
            <w:tcW w:w="2489" w:type="dxa"/>
            <w:tcBorders>
              <w:top w:val="single" w:sz="4" w:space="0" w:color="auto"/>
              <w:left w:val="nil"/>
              <w:bottom w:val="nil"/>
              <w:right w:val="nil"/>
            </w:tcBorders>
          </w:tcPr>
          <w:p w14:paraId="76E04D06" w14:textId="77777777" w:rsidR="00A9015F" w:rsidRPr="00A9015F" w:rsidRDefault="00A9015F" w:rsidP="00112EC5">
            <w:pPr>
              <w:jc w:val="both"/>
              <w:rPr>
                <w:rFonts w:ascii="Times New Roman" w:eastAsia="Times New Roman" w:hAnsi="Times New Roman" w:cs="Times New Roman"/>
                <w:sz w:val="20"/>
                <w:szCs w:val="20"/>
              </w:rPr>
            </w:pPr>
          </w:p>
        </w:tc>
        <w:tc>
          <w:tcPr>
            <w:tcW w:w="1893" w:type="dxa"/>
            <w:tcBorders>
              <w:top w:val="single" w:sz="4" w:space="0" w:color="auto"/>
              <w:left w:val="nil"/>
              <w:bottom w:val="nil"/>
              <w:right w:val="single" w:sz="4" w:space="0" w:color="auto"/>
            </w:tcBorders>
          </w:tcPr>
          <w:p w14:paraId="15F7DAD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-0.0403**</w:t>
            </w:r>
            <w:r w:rsidRPr="00A9015F">
              <w:rPr>
                <w:rFonts w:ascii="Times New Roman" w:eastAsia="Times New Roman" w:hAnsi="Times New Roman" w:cs="Times New Roman"/>
                <w:sz w:val="20"/>
                <w:szCs w:val="20"/>
              </w:rPr>
              <w:br/>
              <w:t>(0.0226)</w:t>
            </w:r>
          </w:p>
        </w:tc>
      </w:tr>
      <w:tr w:rsidR="00A9015F" w:rsidRPr="00A9015F" w14:paraId="3F61782D" w14:textId="77777777" w:rsidTr="009E69CE">
        <w:trPr>
          <w:trHeight w:val="406"/>
        </w:trPr>
        <w:tc>
          <w:tcPr>
            <w:tcW w:w="4673" w:type="dxa"/>
            <w:tcBorders>
              <w:top w:val="nil"/>
              <w:left w:val="single" w:sz="4" w:space="0" w:color="auto"/>
              <w:bottom w:val="nil"/>
              <w:right w:val="nil"/>
            </w:tcBorders>
          </w:tcPr>
          <w:p w14:paraId="62BACF3A"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33ACDFEE" w14:textId="77777777" w:rsidR="00A9015F" w:rsidRPr="00A9015F" w:rsidRDefault="00A9015F" w:rsidP="00112EC5">
            <w:pPr>
              <w:jc w:val="both"/>
              <w:rPr>
                <w:rFonts w:ascii="Times New Roman" w:eastAsia="Times New Roman" w:hAnsi="Times New Roman" w:cs="Times New Roman"/>
                <w:sz w:val="20"/>
                <w:szCs w:val="20"/>
              </w:rPr>
            </w:pPr>
          </w:p>
        </w:tc>
        <w:tc>
          <w:tcPr>
            <w:tcW w:w="1893" w:type="dxa"/>
            <w:tcBorders>
              <w:top w:val="nil"/>
              <w:left w:val="nil"/>
              <w:bottom w:val="nil"/>
              <w:right w:val="single" w:sz="4" w:space="0" w:color="auto"/>
            </w:tcBorders>
          </w:tcPr>
          <w:p w14:paraId="0A176A9B" w14:textId="77777777" w:rsidR="00A9015F" w:rsidRPr="00A9015F" w:rsidRDefault="00A9015F" w:rsidP="00112EC5">
            <w:pPr>
              <w:jc w:val="both"/>
              <w:rPr>
                <w:rFonts w:ascii="Times New Roman" w:eastAsia="Times New Roman" w:hAnsi="Times New Roman" w:cs="Times New Roman"/>
                <w:sz w:val="20"/>
                <w:szCs w:val="20"/>
              </w:rPr>
            </w:pPr>
          </w:p>
        </w:tc>
      </w:tr>
      <w:tr w:rsidR="00A9015F" w:rsidRPr="00A9015F" w14:paraId="2ED8AA20" w14:textId="77777777" w:rsidTr="009E69CE">
        <w:trPr>
          <w:trHeight w:val="406"/>
        </w:trPr>
        <w:tc>
          <w:tcPr>
            <w:tcW w:w="4673" w:type="dxa"/>
            <w:tcBorders>
              <w:top w:val="nil"/>
              <w:left w:val="single" w:sz="4" w:space="0" w:color="auto"/>
              <w:bottom w:val="nil"/>
              <w:right w:val="nil"/>
            </w:tcBorders>
          </w:tcPr>
          <w:p w14:paraId="194C353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Heterogeneity Index *Financial Crisis (2007-2009)</w:t>
            </w:r>
          </w:p>
        </w:tc>
        <w:tc>
          <w:tcPr>
            <w:tcW w:w="2489" w:type="dxa"/>
            <w:tcBorders>
              <w:top w:val="nil"/>
              <w:left w:val="nil"/>
              <w:bottom w:val="nil"/>
              <w:right w:val="nil"/>
            </w:tcBorders>
          </w:tcPr>
          <w:p w14:paraId="1BA20A7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-0.0483</w:t>
            </w:r>
          </w:p>
        </w:tc>
        <w:tc>
          <w:tcPr>
            <w:tcW w:w="1893" w:type="dxa"/>
            <w:tcBorders>
              <w:top w:val="nil"/>
              <w:left w:val="nil"/>
              <w:bottom w:val="nil"/>
              <w:right w:val="single" w:sz="4" w:space="0" w:color="auto"/>
            </w:tcBorders>
          </w:tcPr>
          <w:p w14:paraId="3277893D" w14:textId="77777777" w:rsidR="00A9015F" w:rsidRPr="00A9015F" w:rsidRDefault="00A9015F" w:rsidP="00112EC5">
            <w:pPr>
              <w:jc w:val="both"/>
              <w:rPr>
                <w:rFonts w:ascii="Times New Roman" w:eastAsia="Times New Roman" w:hAnsi="Times New Roman" w:cs="Times New Roman"/>
                <w:sz w:val="20"/>
                <w:szCs w:val="20"/>
              </w:rPr>
            </w:pPr>
          </w:p>
        </w:tc>
      </w:tr>
      <w:tr w:rsidR="00A9015F" w:rsidRPr="00A9015F" w14:paraId="5D293331" w14:textId="77777777" w:rsidTr="009E69CE">
        <w:trPr>
          <w:trHeight w:val="406"/>
        </w:trPr>
        <w:tc>
          <w:tcPr>
            <w:tcW w:w="4673" w:type="dxa"/>
            <w:tcBorders>
              <w:top w:val="nil"/>
              <w:left w:val="single" w:sz="4" w:space="0" w:color="auto"/>
              <w:bottom w:val="nil"/>
              <w:right w:val="nil"/>
            </w:tcBorders>
          </w:tcPr>
          <w:p w14:paraId="4903539C"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1FAB542D"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(0.0597)</w:t>
            </w:r>
          </w:p>
        </w:tc>
        <w:tc>
          <w:tcPr>
            <w:tcW w:w="1893" w:type="dxa"/>
            <w:tcBorders>
              <w:top w:val="nil"/>
              <w:left w:val="nil"/>
              <w:bottom w:val="nil"/>
              <w:right w:val="single" w:sz="4" w:space="0" w:color="auto"/>
            </w:tcBorders>
          </w:tcPr>
          <w:p w14:paraId="0AC90749" w14:textId="77777777" w:rsidR="00A9015F" w:rsidRPr="00A9015F" w:rsidRDefault="00A9015F" w:rsidP="00112EC5">
            <w:pPr>
              <w:jc w:val="both"/>
              <w:rPr>
                <w:rFonts w:ascii="Times New Roman" w:eastAsia="Times New Roman" w:hAnsi="Times New Roman" w:cs="Times New Roman"/>
                <w:sz w:val="20"/>
                <w:szCs w:val="20"/>
              </w:rPr>
            </w:pPr>
          </w:p>
        </w:tc>
      </w:tr>
      <w:tr w:rsidR="00A9015F" w:rsidRPr="00A9015F" w14:paraId="7B6B628B" w14:textId="77777777" w:rsidTr="009E69CE">
        <w:trPr>
          <w:trHeight w:val="418"/>
        </w:trPr>
        <w:tc>
          <w:tcPr>
            <w:tcW w:w="4673" w:type="dxa"/>
            <w:tcBorders>
              <w:top w:val="nil"/>
              <w:left w:val="single" w:sz="4" w:space="0" w:color="auto"/>
              <w:bottom w:val="nil"/>
              <w:right w:val="nil"/>
            </w:tcBorders>
          </w:tcPr>
          <w:p w14:paraId="109DB71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Financial Crisis (2007-2009)</w:t>
            </w:r>
          </w:p>
        </w:tc>
        <w:tc>
          <w:tcPr>
            <w:tcW w:w="2489" w:type="dxa"/>
            <w:tcBorders>
              <w:top w:val="nil"/>
              <w:left w:val="nil"/>
              <w:bottom w:val="nil"/>
              <w:right w:val="nil"/>
            </w:tcBorders>
          </w:tcPr>
          <w:p w14:paraId="0D84DFF8"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0.105</w:t>
            </w:r>
          </w:p>
        </w:tc>
        <w:tc>
          <w:tcPr>
            <w:tcW w:w="1893" w:type="dxa"/>
            <w:tcBorders>
              <w:top w:val="nil"/>
              <w:left w:val="nil"/>
              <w:bottom w:val="nil"/>
              <w:right w:val="single" w:sz="4" w:space="0" w:color="auto"/>
            </w:tcBorders>
          </w:tcPr>
          <w:p w14:paraId="3D90E9F0" w14:textId="77777777" w:rsidR="00A9015F" w:rsidRPr="00A9015F" w:rsidRDefault="00A9015F" w:rsidP="00112EC5">
            <w:pPr>
              <w:jc w:val="both"/>
              <w:rPr>
                <w:rFonts w:ascii="Times New Roman" w:eastAsia="Times New Roman" w:hAnsi="Times New Roman" w:cs="Times New Roman"/>
                <w:sz w:val="20"/>
                <w:szCs w:val="20"/>
              </w:rPr>
            </w:pPr>
          </w:p>
        </w:tc>
      </w:tr>
      <w:tr w:rsidR="00A9015F" w:rsidRPr="00A9015F" w14:paraId="2D1E9342" w14:textId="77777777" w:rsidTr="009E69CE">
        <w:trPr>
          <w:trHeight w:val="406"/>
        </w:trPr>
        <w:tc>
          <w:tcPr>
            <w:tcW w:w="4673" w:type="dxa"/>
            <w:tcBorders>
              <w:top w:val="nil"/>
              <w:left w:val="single" w:sz="4" w:space="0" w:color="auto"/>
              <w:bottom w:val="nil"/>
              <w:right w:val="nil"/>
            </w:tcBorders>
          </w:tcPr>
          <w:p w14:paraId="61B05DD6"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460CD7F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(0.230)</w:t>
            </w:r>
          </w:p>
        </w:tc>
        <w:tc>
          <w:tcPr>
            <w:tcW w:w="1893" w:type="dxa"/>
            <w:tcBorders>
              <w:top w:val="nil"/>
              <w:left w:val="nil"/>
              <w:bottom w:val="nil"/>
              <w:right w:val="single" w:sz="4" w:space="0" w:color="auto"/>
            </w:tcBorders>
          </w:tcPr>
          <w:p w14:paraId="75C54CC2" w14:textId="77777777" w:rsidR="00A9015F" w:rsidRPr="00A9015F" w:rsidRDefault="00A9015F" w:rsidP="00112EC5">
            <w:pPr>
              <w:jc w:val="both"/>
              <w:rPr>
                <w:rFonts w:ascii="Times New Roman" w:eastAsia="Times New Roman" w:hAnsi="Times New Roman" w:cs="Times New Roman"/>
                <w:sz w:val="20"/>
                <w:szCs w:val="20"/>
              </w:rPr>
            </w:pPr>
          </w:p>
        </w:tc>
      </w:tr>
      <w:tr w:rsidR="00A9015F" w:rsidRPr="00A9015F" w14:paraId="54C153FA" w14:textId="77777777" w:rsidTr="009E69CE">
        <w:trPr>
          <w:trHeight w:val="406"/>
        </w:trPr>
        <w:tc>
          <w:tcPr>
            <w:tcW w:w="4673" w:type="dxa"/>
            <w:tcBorders>
              <w:top w:val="nil"/>
              <w:left w:val="single" w:sz="4" w:space="0" w:color="auto"/>
              <w:bottom w:val="nil"/>
              <w:right w:val="nil"/>
            </w:tcBorders>
          </w:tcPr>
          <w:p w14:paraId="09040A4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Post Crisis (2009)</w:t>
            </w:r>
          </w:p>
        </w:tc>
        <w:tc>
          <w:tcPr>
            <w:tcW w:w="2489" w:type="dxa"/>
            <w:tcBorders>
              <w:top w:val="nil"/>
              <w:left w:val="nil"/>
              <w:bottom w:val="nil"/>
              <w:right w:val="nil"/>
            </w:tcBorders>
          </w:tcPr>
          <w:p w14:paraId="7B0BA560" w14:textId="77777777" w:rsidR="00A9015F" w:rsidRPr="00A9015F" w:rsidRDefault="00A9015F" w:rsidP="00112EC5">
            <w:pPr>
              <w:jc w:val="both"/>
              <w:rPr>
                <w:rFonts w:ascii="Times New Roman" w:eastAsia="Times New Roman" w:hAnsi="Times New Roman" w:cs="Times New Roman"/>
                <w:sz w:val="20"/>
                <w:szCs w:val="20"/>
              </w:rPr>
            </w:pPr>
          </w:p>
        </w:tc>
        <w:tc>
          <w:tcPr>
            <w:tcW w:w="1893" w:type="dxa"/>
            <w:tcBorders>
              <w:top w:val="nil"/>
              <w:left w:val="nil"/>
              <w:bottom w:val="nil"/>
              <w:right w:val="single" w:sz="4" w:space="0" w:color="auto"/>
            </w:tcBorders>
          </w:tcPr>
          <w:p w14:paraId="08D454AE"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0.207*</w:t>
            </w:r>
          </w:p>
        </w:tc>
      </w:tr>
      <w:tr w:rsidR="00A9015F" w:rsidRPr="00A9015F" w14:paraId="7B176A23" w14:textId="77777777" w:rsidTr="009E69CE">
        <w:trPr>
          <w:trHeight w:val="406"/>
        </w:trPr>
        <w:tc>
          <w:tcPr>
            <w:tcW w:w="4673" w:type="dxa"/>
            <w:tcBorders>
              <w:top w:val="nil"/>
              <w:left w:val="single" w:sz="4" w:space="0" w:color="auto"/>
              <w:bottom w:val="nil"/>
              <w:right w:val="nil"/>
            </w:tcBorders>
          </w:tcPr>
          <w:p w14:paraId="17BF8393"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29276B81" w14:textId="77777777" w:rsidR="00A9015F" w:rsidRPr="00A9015F" w:rsidRDefault="00A9015F" w:rsidP="00112EC5">
            <w:pPr>
              <w:jc w:val="both"/>
              <w:rPr>
                <w:rFonts w:ascii="Times New Roman" w:eastAsia="Times New Roman" w:hAnsi="Times New Roman" w:cs="Times New Roman"/>
                <w:sz w:val="20"/>
                <w:szCs w:val="20"/>
              </w:rPr>
            </w:pPr>
          </w:p>
        </w:tc>
        <w:tc>
          <w:tcPr>
            <w:tcW w:w="1893" w:type="dxa"/>
            <w:tcBorders>
              <w:top w:val="nil"/>
              <w:left w:val="nil"/>
              <w:bottom w:val="nil"/>
              <w:right w:val="single" w:sz="4" w:space="0" w:color="auto"/>
            </w:tcBorders>
          </w:tcPr>
          <w:p w14:paraId="68540A2E"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(0.124)</w:t>
            </w:r>
          </w:p>
        </w:tc>
      </w:tr>
      <w:tr w:rsidR="00A9015F" w:rsidRPr="00A9015F" w14:paraId="4C70C886" w14:textId="77777777" w:rsidTr="009E69CE">
        <w:trPr>
          <w:trHeight w:val="813"/>
        </w:trPr>
        <w:tc>
          <w:tcPr>
            <w:tcW w:w="4673" w:type="dxa"/>
            <w:tcBorders>
              <w:top w:val="nil"/>
              <w:left w:val="single" w:sz="4" w:space="0" w:color="auto"/>
              <w:bottom w:val="nil"/>
              <w:right w:val="nil"/>
            </w:tcBorders>
          </w:tcPr>
          <w:p w14:paraId="4C4FC257"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Heterogeneity Index</w:t>
            </w:r>
          </w:p>
        </w:tc>
        <w:tc>
          <w:tcPr>
            <w:tcW w:w="2489" w:type="dxa"/>
            <w:tcBorders>
              <w:top w:val="nil"/>
              <w:left w:val="nil"/>
              <w:bottom w:val="nil"/>
              <w:right w:val="nil"/>
            </w:tcBorders>
          </w:tcPr>
          <w:p w14:paraId="2ADF66BD"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-0.0871***</w:t>
            </w:r>
          </w:p>
          <w:p w14:paraId="5775200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(0.0198)</w:t>
            </w:r>
          </w:p>
        </w:tc>
        <w:tc>
          <w:tcPr>
            <w:tcW w:w="1893" w:type="dxa"/>
            <w:tcBorders>
              <w:top w:val="nil"/>
              <w:left w:val="nil"/>
              <w:bottom w:val="nil"/>
              <w:right w:val="single" w:sz="4" w:space="0" w:color="auto"/>
            </w:tcBorders>
          </w:tcPr>
          <w:p w14:paraId="435B5FD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-0.0480**</w:t>
            </w:r>
          </w:p>
          <w:p w14:paraId="2377F7F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(0.0217)</w:t>
            </w:r>
          </w:p>
        </w:tc>
      </w:tr>
      <w:tr w:rsidR="00A9015F" w:rsidRPr="00A9015F" w14:paraId="72FE080C" w14:textId="77777777" w:rsidTr="009E69CE">
        <w:trPr>
          <w:trHeight w:val="406"/>
        </w:trPr>
        <w:tc>
          <w:tcPr>
            <w:tcW w:w="4673" w:type="dxa"/>
            <w:tcBorders>
              <w:top w:val="nil"/>
              <w:left w:val="single" w:sz="4" w:space="0" w:color="auto"/>
              <w:bottom w:val="nil"/>
              <w:right w:val="nil"/>
            </w:tcBorders>
          </w:tcPr>
          <w:p w14:paraId="1DC997F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Board Independence</w:t>
            </w:r>
          </w:p>
        </w:tc>
        <w:tc>
          <w:tcPr>
            <w:tcW w:w="2489" w:type="dxa"/>
            <w:tcBorders>
              <w:top w:val="nil"/>
              <w:left w:val="nil"/>
              <w:bottom w:val="nil"/>
              <w:right w:val="nil"/>
            </w:tcBorders>
          </w:tcPr>
          <w:p w14:paraId="59D6DB88"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0.0081</w:t>
            </w:r>
          </w:p>
        </w:tc>
        <w:tc>
          <w:tcPr>
            <w:tcW w:w="1893" w:type="dxa"/>
            <w:tcBorders>
              <w:top w:val="nil"/>
              <w:left w:val="nil"/>
              <w:bottom w:val="nil"/>
              <w:right w:val="single" w:sz="4" w:space="0" w:color="auto"/>
            </w:tcBorders>
          </w:tcPr>
          <w:p w14:paraId="22B0C83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0.0061</w:t>
            </w:r>
          </w:p>
        </w:tc>
      </w:tr>
      <w:tr w:rsidR="00A9015F" w:rsidRPr="00A9015F" w14:paraId="7F233AC8" w14:textId="77777777" w:rsidTr="009E69CE">
        <w:trPr>
          <w:trHeight w:val="418"/>
        </w:trPr>
        <w:tc>
          <w:tcPr>
            <w:tcW w:w="4673" w:type="dxa"/>
            <w:tcBorders>
              <w:top w:val="nil"/>
              <w:left w:val="single" w:sz="4" w:space="0" w:color="auto"/>
              <w:bottom w:val="nil"/>
              <w:right w:val="nil"/>
            </w:tcBorders>
          </w:tcPr>
          <w:p w14:paraId="1687B04B"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6E82F18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(0.0509)</w:t>
            </w:r>
          </w:p>
        </w:tc>
        <w:tc>
          <w:tcPr>
            <w:tcW w:w="1893" w:type="dxa"/>
            <w:tcBorders>
              <w:top w:val="nil"/>
              <w:left w:val="nil"/>
              <w:bottom w:val="nil"/>
              <w:right w:val="single" w:sz="4" w:space="0" w:color="auto"/>
            </w:tcBorders>
          </w:tcPr>
          <w:p w14:paraId="3077CDE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(0.0516)</w:t>
            </w:r>
          </w:p>
        </w:tc>
      </w:tr>
      <w:tr w:rsidR="00A9015F" w:rsidRPr="00A9015F" w14:paraId="1544EF95" w14:textId="77777777" w:rsidTr="009E69CE">
        <w:trPr>
          <w:trHeight w:val="406"/>
        </w:trPr>
        <w:tc>
          <w:tcPr>
            <w:tcW w:w="4673" w:type="dxa"/>
            <w:tcBorders>
              <w:top w:val="nil"/>
              <w:left w:val="single" w:sz="4" w:space="0" w:color="auto"/>
              <w:bottom w:val="nil"/>
              <w:right w:val="nil"/>
            </w:tcBorders>
          </w:tcPr>
          <w:p w14:paraId="0593146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Board Size</w:t>
            </w:r>
          </w:p>
        </w:tc>
        <w:tc>
          <w:tcPr>
            <w:tcW w:w="2489" w:type="dxa"/>
            <w:tcBorders>
              <w:top w:val="nil"/>
              <w:left w:val="nil"/>
              <w:bottom w:val="nil"/>
              <w:right w:val="nil"/>
            </w:tcBorders>
          </w:tcPr>
          <w:p w14:paraId="76817B5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-0.0812</w:t>
            </w:r>
          </w:p>
        </w:tc>
        <w:tc>
          <w:tcPr>
            <w:tcW w:w="1893" w:type="dxa"/>
            <w:tcBorders>
              <w:top w:val="nil"/>
              <w:left w:val="nil"/>
              <w:bottom w:val="nil"/>
              <w:right w:val="single" w:sz="4" w:space="0" w:color="auto"/>
            </w:tcBorders>
          </w:tcPr>
          <w:p w14:paraId="6064C77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-0.0787*</w:t>
            </w:r>
          </w:p>
        </w:tc>
      </w:tr>
      <w:tr w:rsidR="00A9015F" w:rsidRPr="00A9015F" w14:paraId="198BEDBD" w14:textId="77777777" w:rsidTr="009E69CE">
        <w:trPr>
          <w:trHeight w:val="406"/>
        </w:trPr>
        <w:tc>
          <w:tcPr>
            <w:tcW w:w="4673" w:type="dxa"/>
            <w:tcBorders>
              <w:top w:val="nil"/>
              <w:left w:val="single" w:sz="4" w:space="0" w:color="auto"/>
              <w:bottom w:val="nil"/>
              <w:right w:val="nil"/>
            </w:tcBorders>
          </w:tcPr>
          <w:p w14:paraId="10A7E852"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1488465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(0.0518)</w:t>
            </w:r>
          </w:p>
        </w:tc>
        <w:tc>
          <w:tcPr>
            <w:tcW w:w="1893" w:type="dxa"/>
            <w:tcBorders>
              <w:top w:val="nil"/>
              <w:left w:val="nil"/>
              <w:bottom w:val="nil"/>
              <w:right w:val="single" w:sz="4" w:space="0" w:color="auto"/>
            </w:tcBorders>
          </w:tcPr>
          <w:p w14:paraId="4AFE519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(0.0519)</w:t>
            </w:r>
          </w:p>
        </w:tc>
      </w:tr>
      <w:tr w:rsidR="00A9015F" w:rsidRPr="00A9015F" w14:paraId="4CDF8E0C" w14:textId="77777777" w:rsidTr="009E69CE">
        <w:trPr>
          <w:trHeight w:val="406"/>
        </w:trPr>
        <w:tc>
          <w:tcPr>
            <w:tcW w:w="4673" w:type="dxa"/>
            <w:tcBorders>
              <w:top w:val="nil"/>
              <w:left w:val="single" w:sz="4" w:space="0" w:color="auto"/>
              <w:bottom w:val="nil"/>
              <w:right w:val="nil"/>
            </w:tcBorders>
          </w:tcPr>
          <w:p w14:paraId="282C18C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Growth</w:t>
            </w:r>
          </w:p>
        </w:tc>
        <w:tc>
          <w:tcPr>
            <w:tcW w:w="2489" w:type="dxa"/>
            <w:tcBorders>
              <w:top w:val="nil"/>
              <w:left w:val="nil"/>
              <w:bottom w:val="nil"/>
              <w:right w:val="nil"/>
            </w:tcBorders>
          </w:tcPr>
          <w:p w14:paraId="3EBEFE6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0.0500</w:t>
            </w:r>
          </w:p>
        </w:tc>
        <w:tc>
          <w:tcPr>
            <w:tcW w:w="1893" w:type="dxa"/>
            <w:tcBorders>
              <w:top w:val="nil"/>
              <w:left w:val="nil"/>
              <w:bottom w:val="nil"/>
              <w:right w:val="single" w:sz="4" w:space="0" w:color="auto"/>
            </w:tcBorders>
          </w:tcPr>
          <w:p w14:paraId="4031ADA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0.0504</w:t>
            </w:r>
          </w:p>
        </w:tc>
      </w:tr>
      <w:tr w:rsidR="00A9015F" w:rsidRPr="00A9015F" w14:paraId="03761DD1" w14:textId="77777777" w:rsidTr="009E69CE">
        <w:trPr>
          <w:trHeight w:val="406"/>
        </w:trPr>
        <w:tc>
          <w:tcPr>
            <w:tcW w:w="4673" w:type="dxa"/>
            <w:tcBorders>
              <w:top w:val="nil"/>
              <w:left w:val="single" w:sz="4" w:space="0" w:color="auto"/>
              <w:bottom w:val="nil"/>
              <w:right w:val="nil"/>
            </w:tcBorders>
          </w:tcPr>
          <w:p w14:paraId="37594CE9"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77E8455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(0.0333)</w:t>
            </w:r>
          </w:p>
        </w:tc>
        <w:tc>
          <w:tcPr>
            <w:tcW w:w="1893" w:type="dxa"/>
            <w:tcBorders>
              <w:top w:val="nil"/>
              <w:left w:val="nil"/>
              <w:bottom w:val="nil"/>
              <w:right w:val="single" w:sz="4" w:space="0" w:color="auto"/>
            </w:tcBorders>
          </w:tcPr>
          <w:p w14:paraId="24B9B58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r>
      <w:tr w:rsidR="00A9015F" w:rsidRPr="00A9015F" w14:paraId="14FD7C72" w14:textId="77777777" w:rsidTr="009E69CE">
        <w:trPr>
          <w:trHeight w:val="406"/>
        </w:trPr>
        <w:tc>
          <w:tcPr>
            <w:tcW w:w="4673" w:type="dxa"/>
            <w:tcBorders>
              <w:top w:val="nil"/>
              <w:left w:val="single" w:sz="4" w:space="0" w:color="auto"/>
              <w:bottom w:val="nil"/>
              <w:right w:val="nil"/>
            </w:tcBorders>
          </w:tcPr>
          <w:p w14:paraId="6562949E"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Bank Size</w:t>
            </w:r>
          </w:p>
        </w:tc>
        <w:tc>
          <w:tcPr>
            <w:tcW w:w="2489" w:type="dxa"/>
            <w:tcBorders>
              <w:top w:val="nil"/>
              <w:left w:val="nil"/>
              <w:bottom w:val="nil"/>
              <w:right w:val="nil"/>
            </w:tcBorders>
          </w:tcPr>
          <w:p w14:paraId="11EC6C5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0.121</w:t>
            </w:r>
          </w:p>
        </w:tc>
        <w:tc>
          <w:tcPr>
            <w:tcW w:w="1893" w:type="dxa"/>
            <w:tcBorders>
              <w:top w:val="nil"/>
              <w:left w:val="nil"/>
              <w:bottom w:val="nil"/>
              <w:right w:val="single" w:sz="4" w:space="0" w:color="auto"/>
            </w:tcBorders>
          </w:tcPr>
          <w:p w14:paraId="3605BBA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0.109</w:t>
            </w:r>
          </w:p>
        </w:tc>
      </w:tr>
      <w:tr w:rsidR="00A9015F" w:rsidRPr="00A9015F" w14:paraId="1D8CB57A" w14:textId="77777777" w:rsidTr="009E69CE">
        <w:trPr>
          <w:trHeight w:val="418"/>
        </w:trPr>
        <w:tc>
          <w:tcPr>
            <w:tcW w:w="4673" w:type="dxa"/>
            <w:tcBorders>
              <w:top w:val="nil"/>
              <w:left w:val="single" w:sz="4" w:space="0" w:color="auto"/>
              <w:bottom w:val="nil"/>
              <w:right w:val="nil"/>
            </w:tcBorders>
          </w:tcPr>
          <w:p w14:paraId="5B9BD56A"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04571F9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(0.139)</w:t>
            </w:r>
          </w:p>
        </w:tc>
        <w:tc>
          <w:tcPr>
            <w:tcW w:w="1893" w:type="dxa"/>
            <w:tcBorders>
              <w:top w:val="nil"/>
              <w:left w:val="nil"/>
              <w:bottom w:val="nil"/>
              <w:right w:val="single" w:sz="4" w:space="0" w:color="auto"/>
            </w:tcBorders>
          </w:tcPr>
          <w:p w14:paraId="1D63ED2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(0.176)</w:t>
            </w:r>
          </w:p>
        </w:tc>
      </w:tr>
      <w:tr w:rsidR="00A9015F" w:rsidRPr="00A9015F" w14:paraId="77D8BA91" w14:textId="77777777" w:rsidTr="009E69CE">
        <w:trPr>
          <w:trHeight w:val="406"/>
        </w:trPr>
        <w:tc>
          <w:tcPr>
            <w:tcW w:w="4673" w:type="dxa"/>
            <w:tcBorders>
              <w:top w:val="nil"/>
              <w:left w:val="single" w:sz="4" w:space="0" w:color="auto"/>
              <w:bottom w:val="nil"/>
              <w:right w:val="nil"/>
            </w:tcBorders>
          </w:tcPr>
          <w:p w14:paraId="3A1ABC6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Charter Value</w:t>
            </w:r>
          </w:p>
        </w:tc>
        <w:tc>
          <w:tcPr>
            <w:tcW w:w="2489" w:type="dxa"/>
            <w:tcBorders>
              <w:top w:val="nil"/>
              <w:left w:val="nil"/>
              <w:bottom w:val="nil"/>
              <w:right w:val="nil"/>
            </w:tcBorders>
          </w:tcPr>
          <w:p w14:paraId="2EBB506E"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-0.406**</w:t>
            </w:r>
          </w:p>
        </w:tc>
        <w:tc>
          <w:tcPr>
            <w:tcW w:w="1893" w:type="dxa"/>
            <w:tcBorders>
              <w:top w:val="nil"/>
              <w:left w:val="nil"/>
              <w:bottom w:val="nil"/>
              <w:right w:val="single" w:sz="4" w:space="0" w:color="auto"/>
            </w:tcBorders>
          </w:tcPr>
          <w:p w14:paraId="63095397"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-0.372**</w:t>
            </w:r>
          </w:p>
        </w:tc>
      </w:tr>
      <w:tr w:rsidR="00A9015F" w:rsidRPr="00A9015F" w14:paraId="55A31174" w14:textId="77777777" w:rsidTr="009E69CE">
        <w:trPr>
          <w:trHeight w:val="406"/>
        </w:trPr>
        <w:tc>
          <w:tcPr>
            <w:tcW w:w="4673" w:type="dxa"/>
            <w:tcBorders>
              <w:top w:val="nil"/>
              <w:left w:val="single" w:sz="4" w:space="0" w:color="auto"/>
              <w:bottom w:val="nil"/>
              <w:right w:val="nil"/>
            </w:tcBorders>
          </w:tcPr>
          <w:p w14:paraId="507A5066"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7F6B3F7A"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(0.191)</w:t>
            </w:r>
          </w:p>
        </w:tc>
        <w:tc>
          <w:tcPr>
            <w:tcW w:w="1893" w:type="dxa"/>
            <w:tcBorders>
              <w:top w:val="nil"/>
              <w:left w:val="nil"/>
              <w:bottom w:val="nil"/>
              <w:right w:val="single" w:sz="4" w:space="0" w:color="auto"/>
            </w:tcBorders>
          </w:tcPr>
          <w:p w14:paraId="506F372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(0.188)</w:t>
            </w:r>
          </w:p>
        </w:tc>
      </w:tr>
      <w:tr w:rsidR="00A9015F" w:rsidRPr="00A9015F" w14:paraId="7680B92A" w14:textId="77777777" w:rsidTr="009E69CE">
        <w:trPr>
          <w:trHeight w:val="406"/>
        </w:trPr>
        <w:tc>
          <w:tcPr>
            <w:tcW w:w="4673" w:type="dxa"/>
            <w:tcBorders>
              <w:top w:val="nil"/>
              <w:left w:val="single" w:sz="4" w:space="0" w:color="auto"/>
              <w:bottom w:val="nil"/>
              <w:right w:val="nil"/>
            </w:tcBorders>
          </w:tcPr>
          <w:p w14:paraId="6BE183E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Bank Capital</w:t>
            </w:r>
          </w:p>
        </w:tc>
        <w:tc>
          <w:tcPr>
            <w:tcW w:w="2489" w:type="dxa"/>
            <w:tcBorders>
              <w:top w:val="nil"/>
              <w:left w:val="nil"/>
              <w:bottom w:val="nil"/>
              <w:right w:val="nil"/>
            </w:tcBorders>
          </w:tcPr>
          <w:p w14:paraId="458D286D"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0.0822</w:t>
            </w:r>
          </w:p>
        </w:tc>
        <w:tc>
          <w:tcPr>
            <w:tcW w:w="1893" w:type="dxa"/>
            <w:tcBorders>
              <w:top w:val="nil"/>
              <w:left w:val="nil"/>
              <w:bottom w:val="nil"/>
              <w:right w:val="single" w:sz="4" w:space="0" w:color="auto"/>
            </w:tcBorders>
          </w:tcPr>
          <w:p w14:paraId="5354C7C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0.0619</w:t>
            </w:r>
          </w:p>
        </w:tc>
      </w:tr>
      <w:tr w:rsidR="00A9015F" w:rsidRPr="00A9015F" w14:paraId="6CFB6B2F" w14:textId="77777777" w:rsidTr="009E69CE">
        <w:trPr>
          <w:trHeight w:val="406"/>
        </w:trPr>
        <w:tc>
          <w:tcPr>
            <w:tcW w:w="4673" w:type="dxa"/>
            <w:tcBorders>
              <w:top w:val="nil"/>
              <w:left w:val="single" w:sz="4" w:space="0" w:color="auto"/>
              <w:bottom w:val="nil"/>
              <w:right w:val="nil"/>
            </w:tcBorders>
          </w:tcPr>
          <w:p w14:paraId="434C6FFA"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66709D1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(0.0799)</w:t>
            </w:r>
          </w:p>
        </w:tc>
        <w:tc>
          <w:tcPr>
            <w:tcW w:w="1893" w:type="dxa"/>
            <w:tcBorders>
              <w:top w:val="nil"/>
              <w:left w:val="nil"/>
              <w:bottom w:val="nil"/>
              <w:right w:val="single" w:sz="4" w:space="0" w:color="auto"/>
            </w:tcBorders>
          </w:tcPr>
          <w:p w14:paraId="0946677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(0.0863)</w:t>
            </w:r>
          </w:p>
        </w:tc>
      </w:tr>
      <w:tr w:rsidR="00A9015F" w:rsidRPr="00A9015F" w14:paraId="1577464F" w14:textId="77777777" w:rsidTr="009E69CE">
        <w:trPr>
          <w:trHeight w:val="406"/>
        </w:trPr>
        <w:tc>
          <w:tcPr>
            <w:tcW w:w="4673" w:type="dxa"/>
            <w:tcBorders>
              <w:top w:val="nil"/>
              <w:left w:val="single" w:sz="4" w:space="0" w:color="auto"/>
              <w:bottom w:val="nil"/>
              <w:right w:val="nil"/>
            </w:tcBorders>
          </w:tcPr>
          <w:p w14:paraId="044BE41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ROA</w:t>
            </w:r>
          </w:p>
        </w:tc>
        <w:tc>
          <w:tcPr>
            <w:tcW w:w="2489" w:type="dxa"/>
            <w:tcBorders>
              <w:top w:val="nil"/>
              <w:left w:val="nil"/>
              <w:bottom w:val="nil"/>
              <w:right w:val="nil"/>
            </w:tcBorders>
          </w:tcPr>
          <w:p w14:paraId="6E78E23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-0.168*</w:t>
            </w:r>
          </w:p>
        </w:tc>
        <w:tc>
          <w:tcPr>
            <w:tcW w:w="1893" w:type="dxa"/>
            <w:tcBorders>
              <w:top w:val="nil"/>
              <w:left w:val="nil"/>
              <w:bottom w:val="nil"/>
              <w:right w:val="single" w:sz="4" w:space="0" w:color="auto"/>
            </w:tcBorders>
          </w:tcPr>
          <w:p w14:paraId="2E8A94B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-0.180*</w:t>
            </w:r>
          </w:p>
        </w:tc>
      </w:tr>
      <w:tr w:rsidR="00A9015F" w:rsidRPr="00A9015F" w14:paraId="5B22EC59" w14:textId="77777777" w:rsidTr="009E69CE">
        <w:trPr>
          <w:trHeight w:val="406"/>
        </w:trPr>
        <w:tc>
          <w:tcPr>
            <w:tcW w:w="4673" w:type="dxa"/>
            <w:tcBorders>
              <w:top w:val="nil"/>
              <w:left w:val="single" w:sz="4" w:space="0" w:color="auto"/>
              <w:bottom w:val="nil"/>
              <w:right w:val="nil"/>
            </w:tcBorders>
          </w:tcPr>
          <w:p w14:paraId="1BD10FC8"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3E571F48"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(0.0988)</w:t>
            </w:r>
          </w:p>
        </w:tc>
        <w:tc>
          <w:tcPr>
            <w:tcW w:w="1893" w:type="dxa"/>
            <w:tcBorders>
              <w:top w:val="nil"/>
              <w:left w:val="nil"/>
              <w:bottom w:val="nil"/>
              <w:right w:val="single" w:sz="4" w:space="0" w:color="auto"/>
            </w:tcBorders>
          </w:tcPr>
          <w:p w14:paraId="2F57ECC4"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(0.0988)</w:t>
            </w:r>
          </w:p>
        </w:tc>
      </w:tr>
      <w:tr w:rsidR="00A9015F" w:rsidRPr="00A9015F" w14:paraId="467432E0" w14:textId="77777777" w:rsidTr="009E69CE">
        <w:trPr>
          <w:trHeight w:val="418"/>
        </w:trPr>
        <w:tc>
          <w:tcPr>
            <w:tcW w:w="4673" w:type="dxa"/>
            <w:tcBorders>
              <w:top w:val="nil"/>
              <w:left w:val="single" w:sz="4" w:space="0" w:color="auto"/>
              <w:bottom w:val="nil"/>
              <w:right w:val="nil"/>
            </w:tcBorders>
          </w:tcPr>
          <w:p w14:paraId="65D207A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CEO Tenure</w:t>
            </w:r>
          </w:p>
        </w:tc>
        <w:tc>
          <w:tcPr>
            <w:tcW w:w="2489" w:type="dxa"/>
            <w:tcBorders>
              <w:top w:val="nil"/>
              <w:left w:val="nil"/>
              <w:bottom w:val="nil"/>
              <w:right w:val="nil"/>
            </w:tcBorders>
          </w:tcPr>
          <w:p w14:paraId="457D163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-0.0491</w:t>
            </w:r>
          </w:p>
        </w:tc>
        <w:tc>
          <w:tcPr>
            <w:tcW w:w="1893" w:type="dxa"/>
            <w:tcBorders>
              <w:top w:val="nil"/>
              <w:left w:val="nil"/>
              <w:bottom w:val="nil"/>
              <w:right w:val="single" w:sz="4" w:space="0" w:color="auto"/>
            </w:tcBorders>
          </w:tcPr>
          <w:p w14:paraId="6AC9454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-0.0529</w:t>
            </w:r>
          </w:p>
        </w:tc>
      </w:tr>
      <w:tr w:rsidR="00A9015F" w:rsidRPr="00A9015F" w14:paraId="3CD517BD" w14:textId="77777777" w:rsidTr="009E69CE">
        <w:trPr>
          <w:trHeight w:val="406"/>
        </w:trPr>
        <w:tc>
          <w:tcPr>
            <w:tcW w:w="4673" w:type="dxa"/>
            <w:tcBorders>
              <w:top w:val="nil"/>
              <w:left w:val="single" w:sz="4" w:space="0" w:color="auto"/>
              <w:right w:val="nil"/>
            </w:tcBorders>
          </w:tcPr>
          <w:p w14:paraId="72D0931D"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right w:val="nil"/>
            </w:tcBorders>
          </w:tcPr>
          <w:p w14:paraId="46A8B44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(0.0369)</w:t>
            </w:r>
          </w:p>
        </w:tc>
        <w:tc>
          <w:tcPr>
            <w:tcW w:w="1893" w:type="dxa"/>
            <w:tcBorders>
              <w:top w:val="nil"/>
              <w:left w:val="nil"/>
              <w:right w:val="single" w:sz="4" w:space="0" w:color="auto"/>
            </w:tcBorders>
          </w:tcPr>
          <w:p w14:paraId="5118BB4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(0.0369)</w:t>
            </w:r>
          </w:p>
        </w:tc>
      </w:tr>
      <w:tr w:rsidR="00A9015F" w:rsidRPr="00A9015F" w14:paraId="68ADFFE2" w14:textId="77777777" w:rsidTr="009E69CE">
        <w:trPr>
          <w:trHeight w:val="406"/>
        </w:trPr>
        <w:tc>
          <w:tcPr>
            <w:tcW w:w="4673" w:type="dxa"/>
            <w:tcBorders>
              <w:top w:val="nil"/>
              <w:left w:val="single" w:sz="4" w:space="0" w:color="auto"/>
              <w:bottom w:val="nil"/>
              <w:right w:val="nil"/>
            </w:tcBorders>
          </w:tcPr>
          <w:p w14:paraId="55FC870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Risk</w:t>
            </w:r>
          </w:p>
        </w:tc>
        <w:tc>
          <w:tcPr>
            <w:tcW w:w="2489" w:type="dxa"/>
            <w:tcBorders>
              <w:top w:val="nil"/>
              <w:left w:val="nil"/>
              <w:bottom w:val="nil"/>
              <w:right w:val="nil"/>
            </w:tcBorders>
          </w:tcPr>
          <w:p w14:paraId="53D5CBF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-0.0677*</w:t>
            </w:r>
          </w:p>
        </w:tc>
        <w:tc>
          <w:tcPr>
            <w:tcW w:w="1893" w:type="dxa"/>
            <w:tcBorders>
              <w:top w:val="nil"/>
              <w:left w:val="nil"/>
              <w:bottom w:val="nil"/>
              <w:right w:val="single" w:sz="4" w:space="0" w:color="auto"/>
            </w:tcBorders>
          </w:tcPr>
          <w:p w14:paraId="4BFDF508"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-0.0711**</w:t>
            </w:r>
          </w:p>
        </w:tc>
      </w:tr>
      <w:tr w:rsidR="00A9015F" w:rsidRPr="00A9015F" w14:paraId="5319BD5E" w14:textId="77777777" w:rsidTr="009E69CE">
        <w:trPr>
          <w:trHeight w:val="406"/>
        </w:trPr>
        <w:tc>
          <w:tcPr>
            <w:tcW w:w="4673" w:type="dxa"/>
            <w:tcBorders>
              <w:top w:val="nil"/>
              <w:left w:val="single" w:sz="4" w:space="0" w:color="auto"/>
              <w:bottom w:val="nil"/>
              <w:right w:val="nil"/>
            </w:tcBorders>
          </w:tcPr>
          <w:p w14:paraId="763E61FB"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5241D51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(0.0281)</w:t>
            </w:r>
          </w:p>
        </w:tc>
        <w:tc>
          <w:tcPr>
            <w:tcW w:w="1893" w:type="dxa"/>
            <w:tcBorders>
              <w:top w:val="nil"/>
              <w:left w:val="nil"/>
              <w:bottom w:val="nil"/>
              <w:right w:val="single" w:sz="4" w:space="0" w:color="auto"/>
            </w:tcBorders>
          </w:tcPr>
          <w:p w14:paraId="4297C2D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(0.0282)</w:t>
            </w:r>
          </w:p>
        </w:tc>
      </w:tr>
      <w:tr w:rsidR="00A9015F" w:rsidRPr="00A9015F" w14:paraId="6C5F80F2" w14:textId="77777777" w:rsidTr="009E69CE">
        <w:trPr>
          <w:trHeight w:val="406"/>
        </w:trPr>
        <w:tc>
          <w:tcPr>
            <w:tcW w:w="4673" w:type="dxa"/>
            <w:tcBorders>
              <w:top w:val="nil"/>
              <w:left w:val="single" w:sz="4" w:space="0" w:color="auto"/>
              <w:bottom w:val="nil"/>
              <w:right w:val="nil"/>
            </w:tcBorders>
          </w:tcPr>
          <w:p w14:paraId="1D829924"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Leverage</w:t>
            </w:r>
          </w:p>
        </w:tc>
        <w:tc>
          <w:tcPr>
            <w:tcW w:w="2489" w:type="dxa"/>
            <w:tcBorders>
              <w:top w:val="nil"/>
              <w:left w:val="nil"/>
              <w:bottom w:val="nil"/>
              <w:right w:val="nil"/>
            </w:tcBorders>
          </w:tcPr>
          <w:p w14:paraId="3639B35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-1.245*</w:t>
            </w:r>
          </w:p>
        </w:tc>
        <w:tc>
          <w:tcPr>
            <w:tcW w:w="1893" w:type="dxa"/>
            <w:tcBorders>
              <w:top w:val="nil"/>
              <w:left w:val="nil"/>
              <w:bottom w:val="nil"/>
              <w:right w:val="single" w:sz="4" w:space="0" w:color="auto"/>
            </w:tcBorders>
          </w:tcPr>
          <w:p w14:paraId="5EA1484C"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-1.221*</w:t>
            </w:r>
          </w:p>
        </w:tc>
      </w:tr>
      <w:tr w:rsidR="00A9015F" w:rsidRPr="00A9015F" w14:paraId="1AC290E6" w14:textId="77777777" w:rsidTr="009E69CE">
        <w:trPr>
          <w:trHeight w:val="406"/>
        </w:trPr>
        <w:tc>
          <w:tcPr>
            <w:tcW w:w="4673" w:type="dxa"/>
            <w:tcBorders>
              <w:top w:val="nil"/>
              <w:left w:val="single" w:sz="4" w:space="0" w:color="auto"/>
              <w:bottom w:val="nil"/>
              <w:right w:val="nil"/>
            </w:tcBorders>
          </w:tcPr>
          <w:p w14:paraId="26E2AEFD"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615FE91D"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(0.689)</w:t>
            </w:r>
          </w:p>
        </w:tc>
        <w:tc>
          <w:tcPr>
            <w:tcW w:w="1893" w:type="dxa"/>
            <w:tcBorders>
              <w:top w:val="nil"/>
              <w:left w:val="nil"/>
              <w:bottom w:val="nil"/>
              <w:right w:val="single" w:sz="4" w:space="0" w:color="auto"/>
            </w:tcBorders>
          </w:tcPr>
          <w:p w14:paraId="377EE922"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(0.691)</w:t>
            </w:r>
          </w:p>
        </w:tc>
      </w:tr>
      <w:tr w:rsidR="00A9015F" w:rsidRPr="00A9015F" w14:paraId="2DDFC9B5" w14:textId="77777777" w:rsidTr="009E69CE">
        <w:trPr>
          <w:trHeight w:val="406"/>
        </w:trPr>
        <w:tc>
          <w:tcPr>
            <w:tcW w:w="4673" w:type="dxa"/>
            <w:tcBorders>
              <w:top w:val="nil"/>
              <w:left w:val="single" w:sz="4" w:space="0" w:color="auto"/>
              <w:bottom w:val="nil"/>
              <w:right w:val="nil"/>
            </w:tcBorders>
          </w:tcPr>
          <w:p w14:paraId="353D8F5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Total Fine</w:t>
            </w:r>
          </w:p>
        </w:tc>
        <w:tc>
          <w:tcPr>
            <w:tcW w:w="2489" w:type="dxa"/>
            <w:tcBorders>
              <w:top w:val="nil"/>
              <w:left w:val="nil"/>
              <w:bottom w:val="nil"/>
              <w:right w:val="nil"/>
            </w:tcBorders>
          </w:tcPr>
          <w:p w14:paraId="15B0B089"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0.0208</w:t>
            </w:r>
          </w:p>
        </w:tc>
        <w:tc>
          <w:tcPr>
            <w:tcW w:w="1893" w:type="dxa"/>
            <w:tcBorders>
              <w:top w:val="nil"/>
              <w:left w:val="nil"/>
              <w:bottom w:val="nil"/>
              <w:right w:val="single" w:sz="4" w:space="0" w:color="auto"/>
            </w:tcBorders>
          </w:tcPr>
          <w:p w14:paraId="36712687"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0.0183</w:t>
            </w:r>
          </w:p>
        </w:tc>
      </w:tr>
      <w:tr w:rsidR="00A9015F" w:rsidRPr="00A9015F" w14:paraId="728DAB17" w14:textId="77777777" w:rsidTr="009E69CE">
        <w:trPr>
          <w:trHeight w:val="418"/>
        </w:trPr>
        <w:tc>
          <w:tcPr>
            <w:tcW w:w="4673" w:type="dxa"/>
            <w:tcBorders>
              <w:top w:val="nil"/>
              <w:left w:val="single" w:sz="4" w:space="0" w:color="auto"/>
              <w:bottom w:val="nil"/>
              <w:right w:val="nil"/>
            </w:tcBorders>
          </w:tcPr>
          <w:p w14:paraId="7D49F539"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19518F0F"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c>
          <w:tcPr>
            <w:tcW w:w="1893" w:type="dxa"/>
            <w:tcBorders>
              <w:top w:val="nil"/>
              <w:left w:val="nil"/>
              <w:bottom w:val="nil"/>
              <w:right w:val="single" w:sz="4" w:space="0" w:color="auto"/>
            </w:tcBorders>
          </w:tcPr>
          <w:p w14:paraId="68E9F5F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r>
      <w:tr w:rsidR="00A9015F" w:rsidRPr="00A9015F" w14:paraId="2A98356F" w14:textId="77777777" w:rsidTr="009E69CE">
        <w:trPr>
          <w:trHeight w:val="406"/>
        </w:trPr>
        <w:tc>
          <w:tcPr>
            <w:tcW w:w="4673" w:type="dxa"/>
            <w:tcBorders>
              <w:top w:val="nil"/>
              <w:left w:val="single" w:sz="4" w:space="0" w:color="auto"/>
              <w:bottom w:val="nil"/>
              <w:right w:val="nil"/>
            </w:tcBorders>
          </w:tcPr>
          <w:p w14:paraId="3FE9918F"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Constant</w:t>
            </w:r>
          </w:p>
        </w:tc>
        <w:tc>
          <w:tcPr>
            <w:tcW w:w="2489" w:type="dxa"/>
            <w:tcBorders>
              <w:top w:val="nil"/>
              <w:left w:val="nil"/>
              <w:bottom w:val="nil"/>
              <w:right w:val="nil"/>
            </w:tcBorders>
          </w:tcPr>
          <w:p w14:paraId="7E81ECB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-0.857**</w:t>
            </w:r>
          </w:p>
        </w:tc>
        <w:tc>
          <w:tcPr>
            <w:tcW w:w="1893" w:type="dxa"/>
            <w:tcBorders>
              <w:top w:val="nil"/>
              <w:left w:val="nil"/>
              <w:bottom w:val="nil"/>
              <w:right w:val="single" w:sz="4" w:space="0" w:color="auto"/>
            </w:tcBorders>
          </w:tcPr>
          <w:p w14:paraId="5962490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-0.905**</w:t>
            </w:r>
          </w:p>
        </w:tc>
      </w:tr>
      <w:tr w:rsidR="00A9015F" w:rsidRPr="00A9015F" w14:paraId="62DAAE07" w14:textId="77777777" w:rsidTr="009E69CE">
        <w:trPr>
          <w:trHeight w:val="406"/>
        </w:trPr>
        <w:tc>
          <w:tcPr>
            <w:tcW w:w="4673" w:type="dxa"/>
            <w:tcBorders>
              <w:top w:val="nil"/>
              <w:left w:val="single" w:sz="4" w:space="0" w:color="auto"/>
              <w:bottom w:val="nil"/>
              <w:right w:val="nil"/>
            </w:tcBorders>
          </w:tcPr>
          <w:p w14:paraId="2C46BD64" w14:textId="77777777" w:rsidR="00A9015F" w:rsidRPr="00A9015F" w:rsidRDefault="00A9015F" w:rsidP="00112EC5">
            <w:pPr>
              <w:jc w:val="both"/>
              <w:rPr>
                <w:rFonts w:ascii="Times New Roman" w:eastAsia="Times New Roman" w:hAnsi="Times New Roman" w:cs="Times New Roman"/>
                <w:sz w:val="20"/>
                <w:szCs w:val="20"/>
              </w:rPr>
            </w:pPr>
          </w:p>
        </w:tc>
        <w:tc>
          <w:tcPr>
            <w:tcW w:w="2489" w:type="dxa"/>
            <w:tcBorders>
              <w:top w:val="nil"/>
              <w:left w:val="nil"/>
              <w:bottom w:val="nil"/>
              <w:right w:val="nil"/>
            </w:tcBorders>
          </w:tcPr>
          <w:p w14:paraId="30DC658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(0.329)</w:t>
            </w:r>
          </w:p>
        </w:tc>
        <w:tc>
          <w:tcPr>
            <w:tcW w:w="1893" w:type="dxa"/>
            <w:tcBorders>
              <w:top w:val="nil"/>
              <w:left w:val="nil"/>
              <w:bottom w:val="nil"/>
              <w:right w:val="single" w:sz="4" w:space="0" w:color="auto"/>
            </w:tcBorders>
          </w:tcPr>
          <w:p w14:paraId="12305287"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(0.326</w:t>
            </w:r>
          </w:p>
        </w:tc>
      </w:tr>
      <w:tr w:rsidR="00A9015F" w:rsidRPr="00A9015F" w14:paraId="004F8E7F" w14:textId="77777777" w:rsidTr="009E69CE">
        <w:trPr>
          <w:trHeight w:val="406"/>
        </w:trPr>
        <w:tc>
          <w:tcPr>
            <w:tcW w:w="4673" w:type="dxa"/>
            <w:tcBorders>
              <w:top w:val="nil"/>
              <w:left w:val="single" w:sz="4" w:space="0" w:color="auto"/>
              <w:bottom w:val="nil"/>
              <w:right w:val="nil"/>
            </w:tcBorders>
          </w:tcPr>
          <w:p w14:paraId="7A532A17"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Year &amp; Bank FE</w:t>
            </w:r>
          </w:p>
        </w:tc>
        <w:tc>
          <w:tcPr>
            <w:tcW w:w="2489" w:type="dxa"/>
            <w:tcBorders>
              <w:top w:val="nil"/>
              <w:left w:val="nil"/>
              <w:bottom w:val="nil"/>
              <w:right w:val="nil"/>
            </w:tcBorders>
          </w:tcPr>
          <w:p w14:paraId="6382B59B"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893" w:type="dxa"/>
            <w:tcBorders>
              <w:top w:val="nil"/>
              <w:left w:val="nil"/>
              <w:bottom w:val="nil"/>
              <w:right w:val="single" w:sz="4" w:space="0" w:color="auto"/>
            </w:tcBorders>
          </w:tcPr>
          <w:p w14:paraId="287DE1E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5E462A79" w14:textId="77777777" w:rsidTr="009E69CE">
        <w:trPr>
          <w:trHeight w:val="406"/>
        </w:trPr>
        <w:tc>
          <w:tcPr>
            <w:tcW w:w="4673" w:type="dxa"/>
            <w:tcBorders>
              <w:top w:val="nil"/>
              <w:left w:val="single" w:sz="4" w:space="0" w:color="auto"/>
              <w:bottom w:val="single" w:sz="4" w:space="0" w:color="auto"/>
              <w:right w:val="nil"/>
            </w:tcBorders>
          </w:tcPr>
          <w:p w14:paraId="071A4720"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Observations</w:t>
            </w:r>
          </w:p>
        </w:tc>
        <w:tc>
          <w:tcPr>
            <w:tcW w:w="2489" w:type="dxa"/>
            <w:tcBorders>
              <w:top w:val="nil"/>
              <w:left w:val="nil"/>
              <w:bottom w:val="single" w:sz="4" w:space="0" w:color="auto"/>
              <w:right w:val="nil"/>
            </w:tcBorders>
          </w:tcPr>
          <w:p w14:paraId="162757D1"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893" w:type="dxa"/>
            <w:tcBorders>
              <w:top w:val="nil"/>
              <w:left w:val="nil"/>
              <w:bottom w:val="single" w:sz="4" w:space="0" w:color="auto"/>
              <w:right w:val="single" w:sz="4" w:space="0" w:color="auto"/>
            </w:tcBorders>
          </w:tcPr>
          <w:p w14:paraId="7E60AFD3"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r>
      <w:tr w:rsidR="00A9015F" w:rsidRPr="00A9015F" w14:paraId="3EA1B9F3" w14:textId="77777777" w:rsidTr="009E69CE">
        <w:trPr>
          <w:trHeight w:val="406"/>
        </w:trPr>
        <w:tc>
          <w:tcPr>
            <w:tcW w:w="4673" w:type="dxa"/>
            <w:tcBorders>
              <w:top w:val="single" w:sz="4" w:space="0" w:color="auto"/>
              <w:left w:val="single" w:sz="4" w:space="0" w:color="auto"/>
              <w:bottom w:val="single" w:sz="4" w:space="0" w:color="auto"/>
              <w:right w:val="nil"/>
            </w:tcBorders>
          </w:tcPr>
          <w:p w14:paraId="44D84D15"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R-squared</w:t>
            </w:r>
          </w:p>
        </w:tc>
        <w:tc>
          <w:tcPr>
            <w:tcW w:w="2489" w:type="dxa"/>
            <w:tcBorders>
              <w:top w:val="single" w:sz="4" w:space="0" w:color="auto"/>
              <w:left w:val="nil"/>
              <w:bottom w:val="single" w:sz="4" w:space="0" w:color="auto"/>
              <w:right w:val="nil"/>
            </w:tcBorders>
          </w:tcPr>
          <w:p w14:paraId="3911F266"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w:t>
            </w:r>
          </w:p>
        </w:tc>
        <w:tc>
          <w:tcPr>
            <w:tcW w:w="1893" w:type="dxa"/>
            <w:tcBorders>
              <w:top w:val="single" w:sz="4" w:space="0" w:color="auto"/>
              <w:left w:val="nil"/>
              <w:bottom w:val="single" w:sz="4" w:space="0" w:color="auto"/>
              <w:right w:val="single" w:sz="4" w:space="0" w:color="auto"/>
            </w:tcBorders>
          </w:tcPr>
          <w:p w14:paraId="008D0FBF" w14:textId="77777777" w:rsidR="00A9015F" w:rsidRPr="00A9015F" w:rsidRDefault="00A9015F" w:rsidP="00112EC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0.080</w:t>
            </w:r>
          </w:p>
        </w:tc>
      </w:tr>
    </w:tbl>
    <w:p w14:paraId="4B15162F" w14:textId="77777777" w:rsidR="00112EC5" w:rsidRDefault="00112EC5" w:rsidP="00A9015F">
      <w:pPr>
        <w:jc w:val="both"/>
        <w:rPr>
          <w:rFonts w:ascii="Times New Roman" w:eastAsia="Times New Roman" w:hAnsi="Times New Roman" w:cs="Times New Roman"/>
          <w:sz w:val="20"/>
          <w:szCs w:val="20"/>
        </w:rPr>
      </w:pPr>
    </w:p>
    <w:p w14:paraId="45FEFB2E" w14:textId="77777777" w:rsidR="00112EC5" w:rsidRDefault="00112EC5" w:rsidP="00A9015F">
      <w:pPr>
        <w:jc w:val="both"/>
        <w:rPr>
          <w:rFonts w:ascii="Times New Roman" w:eastAsia="Times New Roman" w:hAnsi="Times New Roman" w:cs="Times New Roman"/>
          <w:sz w:val="20"/>
          <w:szCs w:val="20"/>
        </w:rPr>
      </w:pPr>
    </w:p>
    <w:p w14:paraId="40BE24CB" w14:textId="77777777" w:rsidR="00112EC5" w:rsidRDefault="00112EC5" w:rsidP="00A9015F">
      <w:pPr>
        <w:jc w:val="both"/>
        <w:rPr>
          <w:rFonts w:ascii="Times New Roman" w:eastAsia="Times New Roman" w:hAnsi="Times New Roman" w:cs="Times New Roman"/>
          <w:sz w:val="20"/>
          <w:szCs w:val="20"/>
        </w:rPr>
      </w:pPr>
    </w:p>
    <w:p w14:paraId="2BAAC84C" w14:textId="77777777" w:rsidR="00112EC5" w:rsidRDefault="00112EC5" w:rsidP="00A9015F">
      <w:pPr>
        <w:jc w:val="both"/>
        <w:rPr>
          <w:rFonts w:ascii="Times New Roman" w:eastAsia="Times New Roman" w:hAnsi="Times New Roman" w:cs="Times New Roman"/>
          <w:sz w:val="20"/>
          <w:szCs w:val="20"/>
        </w:rPr>
      </w:pPr>
    </w:p>
    <w:p w14:paraId="7F7F3231" w14:textId="77777777" w:rsidR="00112EC5" w:rsidRDefault="00112EC5" w:rsidP="00A9015F">
      <w:pPr>
        <w:jc w:val="both"/>
        <w:rPr>
          <w:rFonts w:ascii="Times New Roman" w:eastAsia="Times New Roman" w:hAnsi="Times New Roman" w:cs="Times New Roman"/>
          <w:sz w:val="20"/>
          <w:szCs w:val="20"/>
        </w:rPr>
      </w:pPr>
    </w:p>
    <w:p w14:paraId="10EA800D" w14:textId="77777777" w:rsidR="00112EC5" w:rsidRDefault="00112EC5" w:rsidP="00A9015F">
      <w:pPr>
        <w:jc w:val="both"/>
        <w:rPr>
          <w:rFonts w:ascii="Times New Roman" w:eastAsia="Times New Roman" w:hAnsi="Times New Roman" w:cs="Times New Roman"/>
          <w:sz w:val="20"/>
          <w:szCs w:val="20"/>
        </w:rPr>
      </w:pPr>
    </w:p>
    <w:p w14:paraId="771367B8" w14:textId="77777777" w:rsidR="00112EC5" w:rsidRDefault="00112EC5" w:rsidP="00A9015F">
      <w:pPr>
        <w:jc w:val="both"/>
        <w:rPr>
          <w:rFonts w:ascii="Times New Roman" w:eastAsia="Times New Roman" w:hAnsi="Times New Roman" w:cs="Times New Roman"/>
          <w:sz w:val="20"/>
          <w:szCs w:val="20"/>
        </w:rPr>
      </w:pPr>
    </w:p>
    <w:p w14:paraId="433D4C2F" w14:textId="77777777" w:rsidR="00112EC5" w:rsidRDefault="00112EC5" w:rsidP="00A9015F">
      <w:pPr>
        <w:jc w:val="both"/>
        <w:rPr>
          <w:rFonts w:ascii="Times New Roman" w:eastAsia="Times New Roman" w:hAnsi="Times New Roman" w:cs="Times New Roman"/>
          <w:sz w:val="20"/>
          <w:szCs w:val="20"/>
        </w:rPr>
      </w:pPr>
    </w:p>
    <w:p w14:paraId="5248FD82" w14:textId="77777777" w:rsidR="00112EC5" w:rsidRDefault="00112EC5" w:rsidP="00A9015F">
      <w:pPr>
        <w:jc w:val="both"/>
        <w:rPr>
          <w:rFonts w:ascii="Times New Roman" w:eastAsia="Times New Roman" w:hAnsi="Times New Roman" w:cs="Times New Roman"/>
          <w:sz w:val="20"/>
          <w:szCs w:val="20"/>
        </w:rPr>
      </w:pPr>
    </w:p>
    <w:p w14:paraId="3C246DBB" w14:textId="77777777" w:rsidR="00112EC5" w:rsidRDefault="00112EC5" w:rsidP="00A9015F">
      <w:pPr>
        <w:jc w:val="both"/>
        <w:rPr>
          <w:rFonts w:ascii="Times New Roman" w:eastAsia="Times New Roman" w:hAnsi="Times New Roman" w:cs="Times New Roman"/>
          <w:sz w:val="20"/>
          <w:szCs w:val="20"/>
        </w:rPr>
      </w:pPr>
    </w:p>
    <w:p w14:paraId="241C9A0E" w14:textId="77777777" w:rsidR="00112EC5" w:rsidRDefault="00112EC5" w:rsidP="00A9015F">
      <w:pPr>
        <w:jc w:val="both"/>
        <w:rPr>
          <w:rFonts w:ascii="Times New Roman" w:eastAsia="Times New Roman" w:hAnsi="Times New Roman" w:cs="Times New Roman"/>
          <w:sz w:val="20"/>
          <w:szCs w:val="20"/>
        </w:rPr>
      </w:pPr>
    </w:p>
    <w:p w14:paraId="0CFA72B8" w14:textId="77777777" w:rsidR="00112EC5" w:rsidRDefault="00112EC5" w:rsidP="00A9015F">
      <w:pPr>
        <w:jc w:val="both"/>
        <w:rPr>
          <w:rFonts w:ascii="Times New Roman" w:eastAsia="Times New Roman" w:hAnsi="Times New Roman" w:cs="Times New Roman"/>
          <w:sz w:val="20"/>
          <w:szCs w:val="20"/>
        </w:rPr>
      </w:pPr>
    </w:p>
    <w:p w14:paraId="5D677585" w14:textId="68E47229" w:rsidR="00A9015F" w:rsidRPr="00A9015F" w:rsidRDefault="00A9015F" w:rsidP="002E025C">
      <w:pPr>
        <w:ind w:left="426"/>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This table reports the effect of </w:t>
      </w:r>
      <w:r w:rsidR="00E30E2D">
        <w:rPr>
          <w:rFonts w:ascii="Times New Roman" w:eastAsia="Times New Roman" w:hAnsi="Times New Roman" w:cs="Times New Roman"/>
          <w:sz w:val="20"/>
          <w:szCs w:val="20"/>
        </w:rPr>
        <w:t xml:space="preserve">the </w:t>
      </w:r>
      <w:r w:rsidRPr="00A9015F">
        <w:rPr>
          <w:rFonts w:ascii="Times New Roman" w:eastAsia="Times New Roman" w:hAnsi="Times New Roman" w:cs="Times New Roman"/>
          <w:sz w:val="20"/>
          <w:szCs w:val="20"/>
        </w:rPr>
        <w:t xml:space="preserve">independent director Heterogeneity Index on bank misconduct risk during and after the global financial crisis. Model (1) shows independent director attribute heterogeneity during the financial crisis. Model (2) shows the impact of independent directors’ attribute heterogeneity after the financial crisis calculated as the total fine amount to a bank in a year (t). INED Heterogeneity Index is a standardized index of three INED attributes of heterogeneity. Control variables are winsorized at 99% of the bank-year distribution. All independent and control variables are lagged by one period. The standard errors are clustered at the bank level are reported in parentheses. Definitions of the variables are provided in </w:t>
      </w:r>
      <w:r w:rsidR="006E71BB">
        <w:rPr>
          <w:rFonts w:ascii="Times New Roman" w:eastAsia="Times New Roman" w:hAnsi="Times New Roman" w:cs="Times New Roman"/>
          <w:sz w:val="20"/>
          <w:szCs w:val="20"/>
        </w:rPr>
        <w:t>Appendix B</w:t>
      </w:r>
      <w:r w:rsidRPr="00A9015F">
        <w:rPr>
          <w:rFonts w:ascii="Times New Roman" w:eastAsia="Times New Roman" w:hAnsi="Times New Roman" w:cs="Times New Roman"/>
          <w:sz w:val="20"/>
          <w:szCs w:val="20"/>
        </w:rPr>
        <w:t>. *, **, and ***Significance at 10%, 5%, and 1% levels</w:t>
      </w:r>
      <w:r w:rsidR="00E30E2D">
        <w:rPr>
          <w:rFonts w:ascii="Times New Roman" w:eastAsia="Times New Roman" w:hAnsi="Times New Roman" w:cs="Times New Roman"/>
          <w:sz w:val="20"/>
          <w:szCs w:val="20"/>
        </w:rPr>
        <w:t>,</w:t>
      </w:r>
      <w:r w:rsidRPr="00A9015F">
        <w:rPr>
          <w:rFonts w:ascii="Times New Roman" w:eastAsia="Times New Roman" w:hAnsi="Times New Roman" w:cs="Times New Roman"/>
          <w:sz w:val="20"/>
          <w:szCs w:val="20"/>
        </w:rPr>
        <w:t xml:space="preserve"> respectively.</w:t>
      </w:r>
    </w:p>
    <w:p w14:paraId="6514573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br w:type="page"/>
      </w:r>
    </w:p>
    <w:p w14:paraId="5863BCE3" w14:textId="77777777" w:rsidR="00A9015F" w:rsidRPr="00A9015F" w:rsidRDefault="00A9015F" w:rsidP="00A9015F">
      <w:pPr>
        <w:jc w:val="both"/>
        <w:rPr>
          <w:rFonts w:ascii="Times New Roman" w:eastAsia="Times New Roman" w:hAnsi="Times New Roman" w:cs="Times New Roman"/>
          <w:sz w:val="24"/>
          <w:szCs w:val="24"/>
        </w:rPr>
      </w:pPr>
    </w:p>
    <w:p w14:paraId="055248BB" w14:textId="77777777" w:rsidR="00A9015F" w:rsidRPr="00A9015F" w:rsidRDefault="00A9015F" w:rsidP="00A9015F">
      <w:pPr>
        <w:jc w:val="both"/>
        <w:rPr>
          <w:rFonts w:ascii="Times New Roman" w:eastAsia="Times New Roman" w:hAnsi="Times New Roman" w:cs="Times New Roman"/>
          <w:sz w:val="24"/>
          <w:szCs w:val="24"/>
        </w:rPr>
      </w:pPr>
    </w:p>
    <w:p w14:paraId="147AEA24" w14:textId="60199AB6" w:rsidR="00DE7639" w:rsidRPr="00E30E2D" w:rsidRDefault="00DE7639" w:rsidP="00DE7639">
      <w:pPr>
        <w:pStyle w:val="Caption"/>
        <w:rPr>
          <w:rFonts w:ascii="Times New Roman" w:eastAsia="Times New Roman" w:hAnsi="Times New Roman" w:cs="Times New Roman"/>
          <w:b/>
          <w:bCs/>
          <w:i w:val="0"/>
          <w:iCs w:val="0"/>
          <w:color w:val="auto"/>
          <w:sz w:val="28"/>
          <w:szCs w:val="28"/>
        </w:rPr>
      </w:pPr>
      <w:bookmarkStart w:id="171" w:name="_Toc132386118"/>
      <w:bookmarkStart w:id="172" w:name="_Toc132437310"/>
      <w:r w:rsidRPr="00E30E2D">
        <w:rPr>
          <w:rFonts w:ascii="Times New Roman" w:eastAsia="Times New Roman" w:hAnsi="Times New Roman" w:cs="Times New Roman"/>
          <w:b/>
          <w:bCs/>
          <w:i w:val="0"/>
          <w:iCs w:val="0"/>
          <w:color w:val="auto"/>
          <w:sz w:val="28"/>
          <w:szCs w:val="28"/>
        </w:rPr>
        <w:t>Table5.</w:t>
      </w:r>
      <w:r w:rsidR="00221C3A">
        <w:rPr>
          <w:rFonts w:ascii="Times New Roman" w:eastAsia="Times New Roman" w:hAnsi="Times New Roman" w:cs="Times New Roman"/>
          <w:b/>
          <w:bCs/>
          <w:i w:val="0"/>
          <w:iCs w:val="0"/>
          <w:color w:val="auto"/>
          <w:sz w:val="28"/>
          <w:szCs w:val="28"/>
        </w:rPr>
        <w:t>7</w:t>
      </w:r>
      <w:r w:rsidRPr="00E30E2D">
        <w:rPr>
          <w:rFonts w:ascii="Times New Roman" w:eastAsia="Times New Roman" w:hAnsi="Times New Roman" w:cs="Times New Roman"/>
          <w:b/>
          <w:bCs/>
          <w:i w:val="0"/>
          <w:iCs w:val="0"/>
          <w:color w:val="auto"/>
          <w:sz w:val="28"/>
          <w:szCs w:val="28"/>
        </w:rPr>
        <w:t>. Channel Analysis For Information Asymmetry</w:t>
      </w:r>
      <w:bookmarkEnd w:id="171"/>
      <w:bookmarkEnd w:id="172"/>
    </w:p>
    <w:tbl>
      <w:tblPr>
        <w:tblpPr w:leftFromText="180" w:rightFromText="180" w:horzAnchor="margin" w:tblpXSpec="center" w:tblpY="1718"/>
        <w:tblW w:w="0" w:type="auto"/>
        <w:tblLayout w:type="fixed"/>
        <w:tblCellMar>
          <w:left w:w="75" w:type="dxa"/>
          <w:right w:w="75" w:type="dxa"/>
        </w:tblCellMar>
        <w:tblLook w:val="0000" w:firstRow="0" w:lastRow="0" w:firstColumn="0" w:lastColumn="0" w:noHBand="0" w:noVBand="0"/>
      </w:tblPr>
      <w:tblGrid>
        <w:gridCol w:w="2975"/>
        <w:gridCol w:w="1701"/>
        <w:gridCol w:w="1418"/>
        <w:gridCol w:w="1490"/>
        <w:gridCol w:w="1767"/>
      </w:tblGrid>
      <w:tr w:rsidR="00A9015F" w:rsidRPr="00A9015F" w14:paraId="02B0833C" w14:textId="77777777" w:rsidTr="009E69CE">
        <w:tc>
          <w:tcPr>
            <w:tcW w:w="2975" w:type="dxa"/>
            <w:tcBorders>
              <w:top w:val="single" w:sz="4" w:space="0" w:color="auto"/>
              <w:left w:val="single" w:sz="4" w:space="0" w:color="auto"/>
            </w:tcBorders>
          </w:tcPr>
          <w:p w14:paraId="267149BA" w14:textId="77777777" w:rsidR="00A9015F" w:rsidRPr="00A9015F" w:rsidRDefault="00A9015F" w:rsidP="00A9015F">
            <w:pPr>
              <w:jc w:val="both"/>
              <w:rPr>
                <w:rFonts w:ascii="Times New Roman" w:eastAsia="Times New Roman" w:hAnsi="Times New Roman" w:cs="Times New Roman"/>
                <w:sz w:val="20"/>
                <w:szCs w:val="20"/>
              </w:rPr>
            </w:pPr>
          </w:p>
        </w:tc>
        <w:tc>
          <w:tcPr>
            <w:tcW w:w="3119" w:type="dxa"/>
            <w:gridSpan w:val="2"/>
            <w:tcBorders>
              <w:top w:val="single" w:sz="4" w:space="0" w:color="auto"/>
            </w:tcBorders>
          </w:tcPr>
          <w:p w14:paraId="6326317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w:t>
            </w:r>
          </w:p>
        </w:tc>
        <w:tc>
          <w:tcPr>
            <w:tcW w:w="3257" w:type="dxa"/>
            <w:gridSpan w:val="2"/>
            <w:tcBorders>
              <w:top w:val="single" w:sz="4" w:space="0" w:color="auto"/>
              <w:right w:val="single" w:sz="4" w:space="0" w:color="auto"/>
            </w:tcBorders>
          </w:tcPr>
          <w:p w14:paraId="4B43CA3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(2)</w:t>
            </w:r>
          </w:p>
        </w:tc>
      </w:tr>
      <w:tr w:rsidR="00A9015F" w:rsidRPr="00A9015F" w14:paraId="5497F696" w14:textId="77777777" w:rsidTr="009E69CE">
        <w:tc>
          <w:tcPr>
            <w:tcW w:w="9351" w:type="dxa"/>
            <w:gridSpan w:val="5"/>
            <w:tcBorders>
              <w:left w:val="single" w:sz="4" w:space="0" w:color="auto"/>
              <w:bottom w:val="single" w:sz="4" w:space="0" w:color="auto"/>
              <w:right w:val="single" w:sz="4" w:space="0" w:color="auto"/>
            </w:tcBorders>
          </w:tcPr>
          <w:p w14:paraId="48A74892" w14:textId="77777777" w:rsidR="00A9015F" w:rsidRPr="009E69CE" w:rsidRDefault="00A9015F" w:rsidP="00A9015F">
            <w:pPr>
              <w:jc w:val="both"/>
              <w:rPr>
                <w:rFonts w:ascii="Times New Roman" w:eastAsia="Times New Roman" w:hAnsi="Times New Roman" w:cs="Times New Roman"/>
                <w:b/>
                <w:bCs/>
                <w:sz w:val="20"/>
                <w:szCs w:val="20"/>
              </w:rPr>
            </w:pPr>
            <w:r w:rsidRPr="00C1057B">
              <w:rPr>
                <w:rFonts w:ascii="Times New Roman" w:eastAsia="Times New Roman" w:hAnsi="Times New Roman" w:cs="Times New Roman"/>
                <w:b/>
                <w:bCs/>
                <w:sz w:val="20"/>
                <w:szCs w:val="20"/>
              </w:rPr>
              <w:t>Panel A</w:t>
            </w:r>
            <w:r w:rsidRPr="009E69CE">
              <w:rPr>
                <w:rFonts w:ascii="Times New Roman" w:eastAsia="Times New Roman" w:hAnsi="Times New Roman" w:cs="Times New Roman"/>
                <w:b/>
                <w:bCs/>
                <w:sz w:val="20"/>
                <w:szCs w:val="20"/>
              </w:rPr>
              <w:t>: INED Hetero Index, Analysts Forecast Dispersion, and Bid Ask Spread</w:t>
            </w:r>
          </w:p>
        </w:tc>
      </w:tr>
      <w:tr w:rsidR="00A9015F" w:rsidRPr="00A9015F" w14:paraId="74FE7FAE" w14:textId="77777777" w:rsidTr="009E69CE">
        <w:tc>
          <w:tcPr>
            <w:tcW w:w="2975" w:type="dxa"/>
            <w:tcBorders>
              <w:top w:val="single" w:sz="4" w:space="0" w:color="auto"/>
              <w:left w:val="single" w:sz="4" w:space="0" w:color="auto"/>
            </w:tcBorders>
          </w:tcPr>
          <w:p w14:paraId="64DBB866"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VARIABLES</w:t>
            </w:r>
          </w:p>
        </w:tc>
        <w:tc>
          <w:tcPr>
            <w:tcW w:w="3119" w:type="dxa"/>
            <w:gridSpan w:val="2"/>
            <w:tcBorders>
              <w:top w:val="single" w:sz="4" w:space="0" w:color="auto"/>
            </w:tcBorders>
          </w:tcPr>
          <w:p w14:paraId="5C3E0E13"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Dispersion</w:t>
            </w:r>
          </w:p>
        </w:tc>
        <w:tc>
          <w:tcPr>
            <w:tcW w:w="3257" w:type="dxa"/>
            <w:gridSpan w:val="2"/>
            <w:tcBorders>
              <w:top w:val="single" w:sz="4" w:space="0" w:color="auto"/>
              <w:right w:val="single" w:sz="4" w:space="0" w:color="auto"/>
            </w:tcBorders>
          </w:tcPr>
          <w:p w14:paraId="53AED3C1"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 xml:space="preserve">Spread </w:t>
            </w:r>
          </w:p>
        </w:tc>
      </w:tr>
      <w:tr w:rsidR="00A9015F" w:rsidRPr="00A9015F" w14:paraId="0E3992B1" w14:textId="77777777" w:rsidTr="009E69CE">
        <w:tc>
          <w:tcPr>
            <w:tcW w:w="2975" w:type="dxa"/>
            <w:tcBorders>
              <w:left w:val="single" w:sz="4" w:space="0" w:color="auto"/>
            </w:tcBorders>
          </w:tcPr>
          <w:p w14:paraId="62753DF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Heterogeneity Index</w:t>
            </w:r>
          </w:p>
        </w:tc>
        <w:tc>
          <w:tcPr>
            <w:tcW w:w="3119" w:type="dxa"/>
            <w:gridSpan w:val="2"/>
          </w:tcPr>
          <w:p w14:paraId="46D7A51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-0.0568* </w:t>
            </w:r>
          </w:p>
          <w:p w14:paraId="59E64F0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(0.0295)</w:t>
            </w:r>
          </w:p>
        </w:tc>
        <w:tc>
          <w:tcPr>
            <w:tcW w:w="3257" w:type="dxa"/>
            <w:gridSpan w:val="2"/>
            <w:tcBorders>
              <w:right w:val="single" w:sz="4" w:space="0" w:color="auto"/>
            </w:tcBorders>
          </w:tcPr>
          <w:p w14:paraId="7373C02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-0.0516*</w:t>
            </w:r>
          </w:p>
          <w:p w14:paraId="3A9F598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(0.0280)</w:t>
            </w:r>
          </w:p>
        </w:tc>
      </w:tr>
      <w:tr w:rsidR="00A9015F" w:rsidRPr="00A9015F" w14:paraId="3F6E8273" w14:textId="77777777" w:rsidTr="009E69CE">
        <w:tc>
          <w:tcPr>
            <w:tcW w:w="2975" w:type="dxa"/>
            <w:tcBorders>
              <w:left w:val="single" w:sz="4" w:space="0" w:color="auto"/>
            </w:tcBorders>
          </w:tcPr>
          <w:p w14:paraId="51BD483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Governance Control </w:t>
            </w:r>
          </w:p>
        </w:tc>
        <w:tc>
          <w:tcPr>
            <w:tcW w:w="3119" w:type="dxa"/>
            <w:gridSpan w:val="2"/>
          </w:tcPr>
          <w:p w14:paraId="6587935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3257" w:type="dxa"/>
            <w:gridSpan w:val="2"/>
            <w:tcBorders>
              <w:right w:val="single" w:sz="4" w:space="0" w:color="auto"/>
            </w:tcBorders>
          </w:tcPr>
          <w:p w14:paraId="1D2C16A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057E0032" w14:textId="77777777" w:rsidTr="009E69CE">
        <w:tc>
          <w:tcPr>
            <w:tcW w:w="2975" w:type="dxa"/>
            <w:tcBorders>
              <w:left w:val="single" w:sz="4" w:space="0" w:color="auto"/>
            </w:tcBorders>
          </w:tcPr>
          <w:p w14:paraId="0D8F57F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Firm Control</w:t>
            </w:r>
          </w:p>
        </w:tc>
        <w:tc>
          <w:tcPr>
            <w:tcW w:w="3119" w:type="dxa"/>
            <w:gridSpan w:val="2"/>
          </w:tcPr>
          <w:p w14:paraId="4F2D43B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3257" w:type="dxa"/>
            <w:gridSpan w:val="2"/>
            <w:tcBorders>
              <w:right w:val="single" w:sz="4" w:space="0" w:color="auto"/>
            </w:tcBorders>
          </w:tcPr>
          <w:p w14:paraId="168B9FC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590F71D4" w14:textId="77777777" w:rsidTr="009E69CE">
        <w:tc>
          <w:tcPr>
            <w:tcW w:w="2975" w:type="dxa"/>
            <w:tcBorders>
              <w:left w:val="single" w:sz="4" w:space="0" w:color="auto"/>
            </w:tcBorders>
          </w:tcPr>
          <w:p w14:paraId="4DDA42A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Year and Bank FE</w:t>
            </w:r>
          </w:p>
        </w:tc>
        <w:tc>
          <w:tcPr>
            <w:tcW w:w="3119" w:type="dxa"/>
            <w:gridSpan w:val="2"/>
          </w:tcPr>
          <w:p w14:paraId="493BB4E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3257" w:type="dxa"/>
            <w:gridSpan w:val="2"/>
            <w:tcBorders>
              <w:right w:val="single" w:sz="4" w:space="0" w:color="auto"/>
            </w:tcBorders>
          </w:tcPr>
          <w:p w14:paraId="12977FD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370E3167" w14:textId="77777777" w:rsidTr="009E69CE">
        <w:tc>
          <w:tcPr>
            <w:tcW w:w="2975" w:type="dxa"/>
            <w:tcBorders>
              <w:left w:val="single" w:sz="4" w:space="0" w:color="auto"/>
              <w:bottom w:val="single" w:sz="4" w:space="0" w:color="auto"/>
            </w:tcBorders>
          </w:tcPr>
          <w:p w14:paraId="408ECA5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Observations</w:t>
            </w:r>
          </w:p>
        </w:tc>
        <w:tc>
          <w:tcPr>
            <w:tcW w:w="3119" w:type="dxa"/>
            <w:gridSpan w:val="2"/>
            <w:tcBorders>
              <w:bottom w:val="single" w:sz="4" w:space="0" w:color="auto"/>
            </w:tcBorders>
          </w:tcPr>
          <w:p w14:paraId="40F5AD9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908</w:t>
            </w:r>
          </w:p>
        </w:tc>
        <w:tc>
          <w:tcPr>
            <w:tcW w:w="3257" w:type="dxa"/>
            <w:gridSpan w:val="2"/>
            <w:tcBorders>
              <w:bottom w:val="single" w:sz="4" w:space="0" w:color="auto"/>
              <w:right w:val="single" w:sz="4" w:space="0" w:color="auto"/>
            </w:tcBorders>
          </w:tcPr>
          <w:p w14:paraId="2C11845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640</w:t>
            </w:r>
          </w:p>
        </w:tc>
      </w:tr>
      <w:tr w:rsidR="00A9015F" w:rsidRPr="00A9015F" w14:paraId="0318C714" w14:textId="77777777" w:rsidTr="009E69CE">
        <w:tc>
          <w:tcPr>
            <w:tcW w:w="2975" w:type="dxa"/>
            <w:tcBorders>
              <w:top w:val="single" w:sz="4" w:space="0" w:color="auto"/>
              <w:left w:val="single" w:sz="4" w:space="0" w:color="auto"/>
              <w:bottom w:val="single" w:sz="4" w:space="0" w:color="auto"/>
            </w:tcBorders>
          </w:tcPr>
          <w:p w14:paraId="368A20AC"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Adj R-squared</w:t>
            </w:r>
          </w:p>
        </w:tc>
        <w:tc>
          <w:tcPr>
            <w:tcW w:w="3119" w:type="dxa"/>
            <w:gridSpan w:val="2"/>
            <w:tcBorders>
              <w:top w:val="single" w:sz="4" w:space="0" w:color="auto"/>
              <w:bottom w:val="single" w:sz="4" w:space="0" w:color="auto"/>
            </w:tcBorders>
          </w:tcPr>
          <w:p w14:paraId="6C1441A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0.6522</w:t>
            </w:r>
          </w:p>
        </w:tc>
        <w:tc>
          <w:tcPr>
            <w:tcW w:w="3257" w:type="dxa"/>
            <w:gridSpan w:val="2"/>
            <w:tcBorders>
              <w:top w:val="single" w:sz="4" w:space="0" w:color="auto"/>
              <w:bottom w:val="single" w:sz="4" w:space="0" w:color="auto"/>
              <w:right w:val="single" w:sz="4" w:space="0" w:color="auto"/>
            </w:tcBorders>
          </w:tcPr>
          <w:p w14:paraId="60283F7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0.7039</w:t>
            </w:r>
          </w:p>
        </w:tc>
      </w:tr>
      <w:tr w:rsidR="00A9015F" w:rsidRPr="00A9015F" w14:paraId="75ED5C1A" w14:textId="77777777" w:rsidTr="009E69CE">
        <w:tc>
          <w:tcPr>
            <w:tcW w:w="9351" w:type="dxa"/>
            <w:gridSpan w:val="5"/>
            <w:tcBorders>
              <w:top w:val="single" w:sz="4" w:space="0" w:color="auto"/>
              <w:left w:val="single" w:sz="4" w:space="0" w:color="auto"/>
              <w:bottom w:val="single" w:sz="4" w:space="0" w:color="auto"/>
              <w:right w:val="single" w:sz="4" w:space="0" w:color="auto"/>
            </w:tcBorders>
          </w:tcPr>
          <w:p w14:paraId="6899F8DE" w14:textId="77777777" w:rsidR="00A9015F" w:rsidRPr="009E69CE" w:rsidRDefault="00A9015F" w:rsidP="00A9015F">
            <w:pPr>
              <w:jc w:val="both"/>
              <w:rPr>
                <w:rFonts w:ascii="Times New Roman" w:eastAsia="Times New Roman" w:hAnsi="Times New Roman" w:cs="Times New Roman"/>
                <w:b/>
                <w:bCs/>
                <w:sz w:val="20"/>
                <w:szCs w:val="20"/>
              </w:rPr>
            </w:pPr>
            <w:r w:rsidRPr="00C1057B">
              <w:rPr>
                <w:rFonts w:ascii="Times New Roman" w:eastAsia="Times New Roman" w:hAnsi="Times New Roman" w:cs="Times New Roman"/>
                <w:b/>
                <w:bCs/>
                <w:sz w:val="20"/>
                <w:szCs w:val="20"/>
              </w:rPr>
              <w:t>Panel B</w:t>
            </w:r>
            <w:r w:rsidRPr="009E69CE">
              <w:rPr>
                <w:rFonts w:ascii="Times New Roman" w:eastAsia="Times New Roman" w:hAnsi="Times New Roman" w:cs="Times New Roman"/>
                <w:b/>
                <w:bCs/>
                <w:sz w:val="20"/>
                <w:szCs w:val="20"/>
              </w:rPr>
              <w:t>: Heterogeneity Index and misconduct partitioned by Analysts’ Forecast Dispersion and Spread</w:t>
            </w:r>
          </w:p>
        </w:tc>
      </w:tr>
      <w:tr w:rsidR="00A9015F" w:rsidRPr="00A9015F" w14:paraId="003B0121" w14:textId="77777777" w:rsidTr="009E69CE">
        <w:tc>
          <w:tcPr>
            <w:tcW w:w="2975" w:type="dxa"/>
            <w:tcBorders>
              <w:top w:val="single" w:sz="4" w:space="0" w:color="auto"/>
              <w:left w:val="single" w:sz="4" w:space="0" w:color="auto"/>
            </w:tcBorders>
          </w:tcPr>
          <w:p w14:paraId="2DF3412A" w14:textId="77777777" w:rsidR="00A9015F" w:rsidRPr="00A9015F" w:rsidRDefault="00A9015F" w:rsidP="00A9015F">
            <w:pPr>
              <w:jc w:val="both"/>
              <w:rPr>
                <w:rFonts w:ascii="Times New Roman" w:eastAsia="Times New Roman" w:hAnsi="Times New Roman" w:cs="Times New Roman"/>
                <w:b/>
                <w:bCs/>
                <w:sz w:val="20"/>
                <w:szCs w:val="20"/>
              </w:rPr>
            </w:pPr>
          </w:p>
        </w:tc>
        <w:tc>
          <w:tcPr>
            <w:tcW w:w="3119" w:type="dxa"/>
            <w:gridSpan w:val="2"/>
            <w:tcBorders>
              <w:top w:val="single" w:sz="4" w:space="0" w:color="auto"/>
            </w:tcBorders>
          </w:tcPr>
          <w:p w14:paraId="6817BB80" w14:textId="77777777" w:rsidR="00A9015F" w:rsidRPr="00A9015F" w:rsidRDefault="00A9015F" w:rsidP="00A9015F">
            <w:pPr>
              <w:jc w:val="center"/>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c>
          <w:tcPr>
            <w:tcW w:w="3257" w:type="dxa"/>
            <w:gridSpan w:val="2"/>
            <w:tcBorders>
              <w:top w:val="single" w:sz="4" w:space="0" w:color="auto"/>
              <w:right w:val="single" w:sz="4" w:space="0" w:color="auto"/>
            </w:tcBorders>
          </w:tcPr>
          <w:p w14:paraId="71811622" w14:textId="77777777" w:rsidR="00A9015F" w:rsidRPr="00A9015F" w:rsidRDefault="00A9015F" w:rsidP="00A9015F">
            <w:pPr>
              <w:jc w:val="center"/>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Misconduct</w:t>
            </w:r>
          </w:p>
        </w:tc>
      </w:tr>
      <w:tr w:rsidR="00A9015F" w:rsidRPr="00A9015F" w14:paraId="1D287678" w14:textId="77777777" w:rsidTr="009E69CE">
        <w:tc>
          <w:tcPr>
            <w:tcW w:w="2975" w:type="dxa"/>
            <w:tcBorders>
              <w:left w:val="single" w:sz="4" w:space="0" w:color="auto"/>
              <w:bottom w:val="single" w:sz="4" w:space="0" w:color="auto"/>
            </w:tcBorders>
          </w:tcPr>
          <w:p w14:paraId="72A6FC51" w14:textId="77777777" w:rsidR="00A9015F" w:rsidRPr="00A9015F" w:rsidRDefault="00A9015F" w:rsidP="00A9015F">
            <w:pPr>
              <w:jc w:val="both"/>
              <w:rPr>
                <w:rFonts w:ascii="Times New Roman" w:eastAsia="Times New Roman" w:hAnsi="Times New Roman" w:cs="Times New Roman"/>
                <w:b/>
                <w:bCs/>
                <w:sz w:val="20"/>
                <w:szCs w:val="20"/>
              </w:rPr>
            </w:pPr>
          </w:p>
        </w:tc>
        <w:tc>
          <w:tcPr>
            <w:tcW w:w="3119" w:type="dxa"/>
            <w:gridSpan w:val="2"/>
            <w:tcBorders>
              <w:bottom w:val="single" w:sz="4" w:space="0" w:color="auto"/>
            </w:tcBorders>
          </w:tcPr>
          <w:p w14:paraId="0B2AAB83" w14:textId="77777777" w:rsidR="00A9015F" w:rsidRPr="00A9015F" w:rsidRDefault="00A9015F" w:rsidP="00A9015F">
            <w:pPr>
              <w:jc w:val="center"/>
              <w:rPr>
                <w:rFonts w:ascii="Times New Roman" w:eastAsia="Times New Roman" w:hAnsi="Times New Roman" w:cs="Times New Roman"/>
                <w:b/>
                <w:bCs/>
                <w:i/>
                <w:iCs/>
                <w:sz w:val="20"/>
                <w:szCs w:val="20"/>
              </w:rPr>
            </w:pPr>
            <w:r w:rsidRPr="00A9015F">
              <w:rPr>
                <w:rFonts w:ascii="Times New Roman" w:eastAsia="Times New Roman" w:hAnsi="Times New Roman" w:cs="Times New Roman"/>
                <w:b/>
                <w:bCs/>
                <w:i/>
                <w:iCs/>
                <w:sz w:val="20"/>
                <w:szCs w:val="20"/>
              </w:rPr>
              <w:t>Dispersion</w:t>
            </w:r>
          </w:p>
        </w:tc>
        <w:tc>
          <w:tcPr>
            <w:tcW w:w="3257" w:type="dxa"/>
            <w:gridSpan w:val="2"/>
            <w:tcBorders>
              <w:bottom w:val="single" w:sz="4" w:space="0" w:color="auto"/>
              <w:right w:val="single" w:sz="4" w:space="0" w:color="auto"/>
            </w:tcBorders>
          </w:tcPr>
          <w:p w14:paraId="7F027AA8" w14:textId="77777777" w:rsidR="00A9015F" w:rsidRPr="00A9015F" w:rsidRDefault="00A9015F" w:rsidP="00A9015F">
            <w:pPr>
              <w:jc w:val="center"/>
              <w:rPr>
                <w:rFonts w:ascii="Times New Roman" w:eastAsia="Times New Roman" w:hAnsi="Times New Roman" w:cs="Times New Roman"/>
                <w:b/>
                <w:bCs/>
                <w:i/>
                <w:iCs/>
                <w:sz w:val="20"/>
                <w:szCs w:val="20"/>
              </w:rPr>
            </w:pPr>
            <w:r w:rsidRPr="00A9015F">
              <w:rPr>
                <w:rFonts w:ascii="Times New Roman" w:eastAsia="Times New Roman" w:hAnsi="Times New Roman" w:cs="Times New Roman"/>
                <w:b/>
                <w:bCs/>
                <w:i/>
                <w:iCs/>
                <w:sz w:val="20"/>
                <w:szCs w:val="20"/>
              </w:rPr>
              <w:t>Spread</w:t>
            </w:r>
          </w:p>
        </w:tc>
      </w:tr>
      <w:tr w:rsidR="00A9015F" w:rsidRPr="00A9015F" w14:paraId="0FE559AE" w14:textId="77777777" w:rsidTr="009E69CE">
        <w:tc>
          <w:tcPr>
            <w:tcW w:w="2975" w:type="dxa"/>
            <w:tcBorders>
              <w:top w:val="single" w:sz="4" w:space="0" w:color="auto"/>
              <w:left w:val="single" w:sz="4" w:space="0" w:color="auto"/>
              <w:bottom w:val="single" w:sz="4" w:space="0" w:color="auto"/>
            </w:tcBorders>
          </w:tcPr>
          <w:p w14:paraId="3455A1C0"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Variables</w:t>
            </w:r>
          </w:p>
        </w:tc>
        <w:tc>
          <w:tcPr>
            <w:tcW w:w="1701" w:type="dxa"/>
            <w:tcBorders>
              <w:top w:val="single" w:sz="4" w:space="0" w:color="auto"/>
              <w:bottom w:val="single" w:sz="4" w:space="0" w:color="auto"/>
            </w:tcBorders>
          </w:tcPr>
          <w:p w14:paraId="542B1984"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High</w:t>
            </w:r>
          </w:p>
          <w:p w14:paraId="147EC3D5"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(&gt; median)</w:t>
            </w:r>
          </w:p>
        </w:tc>
        <w:tc>
          <w:tcPr>
            <w:tcW w:w="1418" w:type="dxa"/>
            <w:tcBorders>
              <w:top w:val="single" w:sz="4" w:space="0" w:color="auto"/>
              <w:bottom w:val="single" w:sz="4" w:space="0" w:color="auto"/>
            </w:tcBorders>
          </w:tcPr>
          <w:p w14:paraId="5E2B84EA"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Low</w:t>
            </w:r>
          </w:p>
          <w:p w14:paraId="4696EA3C"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(&lt;= median)</w:t>
            </w:r>
          </w:p>
        </w:tc>
        <w:tc>
          <w:tcPr>
            <w:tcW w:w="1490" w:type="dxa"/>
            <w:tcBorders>
              <w:top w:val="single" w:sz="4" w:space="0" w:color="auto"/>
              <w:bottom w:val="single" w:sz="4" w:space="0" w:color="auto"/>
            </w:tcBorders>
          </w:tcPr>
          <w:p w14:paraId="26A4E8D9"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High</w:t>
            </w:r>
          </w:p>
          <w:p w14:paraId="1F8599A3"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(&gt; median)</w:t>
            </w:r>
          </w:p>
        </w:tc>
        <w:tc>
          <w:tcPr>
            <w:tcW w:w="1767" w:type="dxa"/>
            <w:tcBorders>
              <w:top w:val="single" w:sz="4" w:space="0" w:color="auto"/>
              <w:bottom w:val="single" w:sz="4" w:space="0" w:color="auto"/>
              <w:right w:val="single" w:sz="4" w:space="0" w:color="auto"/>
            </w:tcBorders>
          </w:tcPr>
          <w:p w14:paraId="6363BCA8"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Low</w:t>
            </w:r>
          </w:p>
          <w:p w14:paraId="04496CF3" w14:textId="77777777" w:rsidR="00A9015F" w:rsidRPr="00A9015F" w:rsidRDefault="00A9015F" w:rsidP="00A9015F">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(&lt;= median)</w:t>
            </w:r>
          </w:p>
        </w:tc>
      </w:tr>
      <w:tr w:rsidR="00A9015F" w:rsidRPr="00A9015F" w14:paraId="2B639518" w14:textId="77777777" w:rsidTr="009E69CE">
        <w:trPr>
          <w:trHeight w:val="911"/>
        </w:trPr>
        <w:tc>
          <w:tcPr>
            <w:tcW w:w="2975" w:type="dxa"/>
            <w:tcBorders>
              <w:top w:val="single" w:sz="4" w:space="0" w:color="auto"/>
              <w:left w:val="single" w:sz="4" w:space="0" w:color="auto"/>
            </w:tcBorders>
          </w:tcPr>
          <w:p w14:paraId="6CAE32E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INED Heterogeneity Index</w:t>
            </w:r>
          </w:p>
        </w:tc>
        <w:tc>
          <w:tcPr>
            <w:tcW w:w="1701" w:type="dxa"/>
            <w:tcBorders>
              <w:top w:val="single" w:sz="4" w:space="0" w:color="auto"/>
            </w:tcBorders>
          </w:tcPr>
          <w:p w14:paraId="71E4188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-0.0956**</w:t>
            </w:r>
          </w:p>
          <w:p w14:paraId="568D742A"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(0.0142)</w:t>
            </w:r>
          </w:p>
        </w:tc>
        <w:tc>
          <w:tcPr>
            <w:tcW w:w="1418" w:type="dxa"/>
            <w:tcBorders>
              <w:top w:val="single" w:sz="4" w:space="0" w:color="auto"/>
            </w:tcBorders>
          </w:tcPr>
          <w:p w14:paraId="0BAE64F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-0.0624</w:t>
            </w:r>
          </w:p>
          <w:p w14:paraId="3C6465A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(0.0509)</w:t>
            </w:r>
          </w:p>
        </w:tc>
        <w:tc>
          <w:tcPr>
            <w:tcW w:w="1490" w:type="dxa"/>
            <w:tcBorders>
              <w:top w:val="single" w:sz="4" w:space="0" w:color="auto"/>
            </w:tcBorders>
          </w:tcPr>
          <w:p w14:paraId="729C45D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-0.0874**</w:t>
            </w:r>
          </w:p>
          <w:p w14:paraId="702FBC8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(0.0399)</w:t>
            </w:r>
          </w:p>
        </w:tc>
        <w:tc>
          <w:tcPr>
            <w:tcW w:w="1767" w:type="dxa"/>
            <w:tcBorders>
              <w:top w:val="single" w:sz="4" w:space="0" w:color="auto"/>
              <w:right w:val="single" w:sz="4" w:space="0" w:color="auto"/>
            </w:tcBorders>
          </w:tcPr>
          <w:p w14:paraId="7260005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-0.0508</w:t>
            </w:r>
          </w:p>
          <w:p w14:paraId="67FB366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(0.0582)</w:t>
            </w:r>
          </w:p>
        </w:tc>
      </w:tr>
      <w:tr w:rsidR="00A9015F" w:rsidRPr="00A9015F" w14:paraId="6DB8A407" w14:textId="77777777" w:rsidTr="009E69CE">
        <w:tc>
          <w:tcPr>
            <w:tcW w:w="2975" w:type="dxa"/>
            <w:tcBorders>
              <w:left w:val="single" w:sz="4" w:space="0" w:color="auto"/>
            </w:tcBorders>
          </w:tcPr>
          <w:p w14:paraId="265B749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Firm Control</w:t>
            </w:r>
          </w:p>
        </w:tc>
        <w:tc>
          <w:tcPr>
            <w:tcW w:w="1701" w:type="dxa"/>
          </w:tcPr>
          <w:p w14:paraId="1D957C0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18" w:type="dxa"/>
          </w:tcPr>
          <w:p w14:paraId="0AC4265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90" w:type="dxa"/>
          </w:tcPr>
          <w:p w14:paraId="21FE71A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767" w:type="dxa"/>
            <w:tcBorders>
              <w:right w:val="single" w:sz="4" w:space="0" w:color="auto"/>
            </w:tcBorders>
          </w:tcPr>
          <w:p w14:paraId="395ADC0D"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5F6C63FC" w14:textId="77777777" w:rsidTr="009E69CE">
        <w:tc>
          <w:tcPr>
            <w:tcW w:w="2975" w:type="dxa"/>
            <w:tcBorders>
              <w:left w:val="single" w:sz="4" w:space="0" w:color="auto"/>
            </w:tcBorders>
          </w:tcPr>
          <w:p w14:paraId="5F79A16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Governance Control</w:t>
            </w:r>
          </w:p>
        </w:tc>
        <w:tc>
          <w:tcPr>
            <w:tcW w:w="1701" w:type="dxa"/>
          </w:tcPr>
          <w:p w14:paraId="58326FE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18" w:type="dxa"/>
          </w:tcPr>
          <w:p w14:paraId="21FB7ED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90" w:type="dxa"/>
          </w:tcPr>
          <w:p w14:paraId="483E6928"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767" w:type="dxa"/>
            <w:tcBorders>
              <w:right w:val="single" w:sz="4" w:space="0" w:color="auto"/>
            </w:tcBorders>
          </w:tcPr>
          <w:p w14:paraId="1D54F5F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5B8C47AE" w14:textId="77777777" w:rsidTr="009E69CE">
        <w:tc>
          <w:tcPr>
            <w:tcW w:w="2975" w:type="dxa"/>
            <w:tcBorders>
              <w:left w:val="single" w:sz="4" w:space="0" w:color="auto"/>
            </w:tcBorders>
          </w:tcPr>
          <w:p w14:paraId="5C44AC4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Year and Bank FE</w:t>
            </w:r>
          </w:p>
        </w:tc>
        <w:tc>
          <w:tcPr>
            <w:tcW w:w="1701" w:type="dxa"/>
          </w:tcPr>
          <w:p w14:paraId="51926262"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18" w:type="dxa"/>
          </w:tcPr>
          <w:p w14:paraId="77D518B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490" w:type="dxa"/>
          </w:tcPr>
          <w:p w14:paraId="45226A37"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767" w:type="dxa"/>
            <w:tcBorders>
              <w:right w:val="single" w:sz="4" w:space="0" w:color="auto"/>
            </w:tcBorders>
          </w:tcPr>
          <w:p w14:paraId="5451A74E"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r w:rsidR="00A9015F" w:rsidRPr="00A9015F" w14:paraId="451F2FCA" w14:textId="77777777" w:rsidTr="009E69CE">
        <w:tc>
          <w:tcPr>
            <w:tcW w:w="2975" w:type="dxa"/>
            <w:tcBorders>
              <w:left w:val="single" w:sz="4" w:space="0" w:color="auto"/>
              <w:bottom w:val="single" w:sz="4" w:space="0" w:color="auto"/>
            </w:tcBorders>
          </w:tcPr>
          <w:p w14:paraId="2FA6D11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Observations</w:t>
            </w:r>
          </w:p>
        </w:tc>
        <w:tc>
          <w:tcPr>
            <w:tcW w:w="1701" w:type="dxa"/>
            <w:tcBorders>
              <w:bottom w:val="single" w:sz="4" w:space="0" w:color="auto"/>
            </w:tcBorders>
          </w:tcPr>
          <w:p w14:paraId="2DAFB133"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536</w:t>
            </w:r>
          </w:p>
        </w:tc>
        <w:tc>
          <w:tcPr>
            <w:tcW w:w="1418" w:type="dxa"/>
            <w:tcBorders>
              <w:bottom w:val="single" w:sz="4" w:space="0" w:color="auto"/>
            </w:tcBorders>
          </w:tcPr>
          <w:p w14:paraId="482DCF90"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416</w:t>
            </w:r>
          </w:p>
        </w:tc>
        <w:tc>
          <w:tcPr>
            <w:tcW w:w="1490" w:type="dxa"/>
            <w:tcBorders>
              <w:bottom w:val="single" w:sz="4" w:space="0" w:color="auto"/>
            </w:tcBorders>
          </w:tcPr>
          <w:p w14:paraId="20809F95"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627</w:t>
            </w:r>
          </w:p>
        </w:tc>
        <w:tc>
          <w:tcPr>
            <w:tcW w:w="1767" w:type="dxa"/>
            <w:tcBorders>
              <w:bottom w:val="single" w:sz="4" w:space="0" w:color="auto"/>
              <w:right w:val="single" w:sz="4" w:space="0" w:color="auto"/>
            </w:tcBorders>
          </w:tcPr>
          <w:p w14:paraId="0176C98F"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325</w:t>
            </w:r>
          </w:p>
        </w:tc>
      </w:tr>
      <w:tr w:rsidR="00A9015F" w:rsidRPr="00A9015F" w14:paraId="1CFCC39A" w14:textId="77777777" w:rsidTr="009E69CE">
        <w:tc>
          <w:tcPr>
            <w:tcW w:w="2975" w:type="dxa"/>
            <w:tcBorders>
              <w:top w:val="single" w:sz="4" w:space="0" w:color="auto"/>
              <w:left w:val="single" w:sz="4" w:space="0" w:color="auto"/>
              <w:bottom w:val="single" w:sz="4" w:space="0" w:color="auto"/>
            </w:tcBorders>
          </w:tcPr>
          <w:p w14:paraId="5879451B"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Adj R-squared</w:t>
            </w:r>
          </w:p>
        </w:tc>
        <w:tc>
          <w:tcPr>
            <w:tcW w:w="1701" w:type="dxa"/>
            <w:tcBorders>
              <w:top w:val="single" w:sz="4" w:space="0" w:color="auto"/>
              <w:bottom w:val="single" w:sz="4" w:space="0" w:color="auto"/>
            </w:tcBorders>
          </w:tcPr>
          <w:p w14:paraId="3F5CF14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0.5630</w:t>
            </w:r>
          </w:p>
        </w:tc>
        <w:tc>
          <w:tcPr>
            <w:tcW w:w="1418" w:type="dxa"/>
            <w:tcBorders>
              <w:top w:val="single" w:sz="4" w:space="0" w:color="auto"/>
              <w:bottom w:val="single" w:sz="4" w:space="0" w:color="auto"/>
            </w:tcBorders>
          </w:tcPr>
          <w:p w14:paraId="6BA01949"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0.5617</w:t>
            </w:r>
          </w:p>
        </w:tc>
        <w:tc>
          <w:tcPr>
            <w:tcW w:w="1490" w:type="dxa"/>
            <w:tcBorders>
              <w:top w:val="single" w:sz="4" w:space="0" w:color="auto"/>
              <w:bottom w:val="single" w:sz="4" w:space="0" w:color="auto"/>
            </w:tcBorders>
          </w:tcPr>
          <w:p w14:paraId="77F6FB14"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0.4458</w:t>
            </w:r>
          </w:p>
        </w:tc>
        <w:tc>
          <w:tcPr>
            <w:tcW w:w="1767" w:type="dxa"/>
            <w:tcBorders>
              <w:top w:val="single" w:sz="4" w:space="0" w:color="auto"/>
              <w:bottom w:val="single" w:sz="4" w:space="0" w:color="auto"/>
              <w:right w:val="single" w:sz="4" w:space="0" w:color="auto"/>
            </w:tcBorders>
          </w:tcPr>
          <w:p w14:paraId="590B2E51"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0.6417</w:t>
            </w:r>
          </w:p>
        </w:tc>
      </w:tr>
    </w:tbl>
    <w:p w14:paraId="7A576B4F" w14:textId="77777777" w:rsidR="00A9015F" w:rsidRPr="00A9015F" w:rsidRDefault="00A9015F" w:rsidP="00A9015F">
      <w:pPr>
        <w:jc w:val="both"/>
        <w:rPr>
          <w:rFonts w:ascii="Times New Roman" w:eastAsia="Times New Roman" w:hAnsi="Times New Roman" w:cs="Times New Roman"/>
          <w:sz w:val="24"/>
          <w:szCs w:val="24"/>
        </w:rPr>
      </w:pPr>
    </w:p>
    <w:p w14:paraId="06BCB0F6" w14:textId="77777777"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The table reports test results on the information asymmetry channel. Panel A presents regression results for the effect of INED Heterogeneity Index on different measures of information asymmetry (e.g., Analysts’ Forecast Dispersion and Bid-Ask Spread). Panel B reports regression results for the effect of the INED Heterogeneity Index on bank misconduct in both high information asymmetry and low information asymmetry conditions. A higher than the median value of information asymmetry proxies is defined as high information asymmetry and lower than median value of information asymmetry proxies are defined as low information asymmetry. The table used same controls as our base line model. A detailed description of all the variables is included in Appendix. Standard errors are reported in parentheses. *** (**, *) indicates significance at the 1 (5, 10) percent levels, respectively. </w:t>
      </w:r>
    </w:p>
    <w:p w14:paraId="3BF7FD9F" w14:textId="7131A50E"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br w:type="page"/>
      </w:r>
    </w:p>
    <w:p w14:paraId="33C98B23" w14:textId="2E4A5441" w:rsidR="00A9015F" w:rsidRPr="00E30E2D" w:rsidRDefault="00DE7639" w:rsidP="00DE7639">
      <w:pPr>
        <w:pStyle w:val="Caption"/>
        <w:rPr>
          <w:rFonts w:ascii="Times New Roman" w:eastAsia="Times New Roman" w:hAnsi="Times New Roman" w:cs="Times New Roman"/>
          <w:b/>
          <w:bCs/>
          <w:i w:val="0"/>
          <w:iCs w:val="0"/>
          <w:color w:val="auto"/>
          <w:sz w:val="28"/>
          <w:szCs w:val="28"/>
        </w:rPr>
      </w:pPr>
      <w:bookmarkStart w:id="173" w:name="_Toc132386119"/>
      <w:bookmarkStart w:id="174" w:name="_Toc132437311"/>
      <w:r w:rsidRPr="00E30E2D">
        <w:rPr>
          <w:rFonts w:ascii="Times New Roman" w:eastAsia="Times New Roman" w:hAnsi="Times New Roman" w:cs="Times New Roman"/>
          <w:b/>
          <w:bCs/>
          <w:i w:val="0"/>
          <w:iCs w:val="0"/>
          <w:color w:val="auto"/>
          <w:sz w:val="28"/>
          <w:szCs w:val="28"/>
        </w:rPr>
        <w:t>Table5.</w:t>
      </w:r>
      <w:r w:rsidR="00221C3A">
        <w:rPr>
          <w:rFonts w:ascii="Times New Roman" w:eastAsia="Times New Roman" w:hAnsi="Times New Roman" w:cs="Times New Roman"/>
          <w:b/>
          <w:bCs/>
          <w:i w:val="0"/>
          <w:iCs w:val="0"/>
          <w:color w:val="auto"/>
          <w:sz w:val="28"/>
          <w:szCs w:val="28"/>
        </w:rPr>
        <w:t>8</w:t>
      </w:r>
      <w:r w:rsidRPr="00E30E2D">
        <w:rPr>
          <w:rFonts w:ascii="Times New Roman" w:eastAsia="Times New Roman" w:hAnsi="Times New Roman" w:cs="Times New Roman"/>
          <w:b/>
          <w:bCs/>
          <w:i w:val="0"/>
          <w:iCs w:val="0"/>
          <w:color w:val="auto"/>
          <w:sz w:val="28"/>
          <w:szCs w:val="28"/>
        </w:rPr>
        <w:t>. Robustness Results for Bank Misconduct</w:t>
      </w:r>
      <w:bookmarkEnd w:id="173"/>
      <w:bookmarkEnd w:id="174"/>
    </w:p>
    <w:tbl>
      <w:tblPr>
        <w:tblpPr w:leftFromText="180" w:rightFromText="180" w:vertAnchor="page" w:horzAnchor="margin" w:tblpY="2460"/>
        <w:tblW w:w="9452" w:type="dxa"/>
        <w:tblLayout w:type="fixed"/>
        <w:tblCellMar>
          <w:left w:w="75" w:type="dxa"/>
          <w:right w:w="75" w:type="dxa"/>
        </w:tblCellMar>
        <w:tblLook w:val="0000" w:firstRow="0" w:lastRow="0" w:firstColumn="0" w:lastColumn="0" w:noHBand="0" w:noVBand="0"/>
      </w:tblPr>
      <w:tblGrid>
        <w:gridCol w:w="1724"/>
        <w:gridCol w:w="2071"/>
        <w:gridCol w:w="1829"/>
        <w:gridCol w:w="2344"/>
        <w:gridCol w:w="1484"/>
      </w:tblGrid>
      <w:tr w:rsidR="00071AF6" w:rsidRPr="001278ED" w14:paraId="6B7B05A6" w14:textId="77777777" w:rsidTr="009E69CE">
        <w:trPr>
          <w:trHeight w:val="771"/>
        </w:trPr>
        <w:tc>
          <w:tcPr>
            <w:tcW w:w="1724" w:type="dxa"/>
            <w:tcBorders>
              <w:top w:val="single" w:sz="4" w:space="0" w:color="auto"/>
              <w:left w:val="single" w:sz="4" w:space="0" w:color="auto"/>
              <w:bottom w:val="single" w:sz="4" w:space="0" w:color="auto"/>
            </w:tcBorders>
          </w:tcPr>
          <w:p w14:paraId="55EB9767"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Borders>
              <w:top w:val="single" w:sz="4" w:space="0" w:color="auto"/>
              <w:bottom w:val="single" w:sz="4" w:space="0" w:color="auto"/>
            </w:tcBorders>
          </w:tcPr>
          <w:p w14:paraId="4A1C348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w:t>
            </w:r>
          </w:p>
        </w:tc>
        <w:tc>
          <w:tcPr>
            <w:tcW w:w="1829" w:type="dxa"/>
            <w:tcBorders>
              <w:top w:val="single" w:sz="4" w:space="0" w:color="auto"/>
              <w:bottom w:val="single" w:sz="4" w:space="0" w:color="auto"/>
            </w:tcBorders>
          </w:tcPr>
          <w:p w14:paraId="37178D9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(2) </w:t>
            </w:r>
          </w:p>
        </w:tc>
        <w:tc>
          <w:tcPr>
            <w:tcW w:w="2344" w:type="dxa"/>
            <w:tcBorders>
              <w:top w:val="single" w:sz="4" w:space="0" w:color="auto"/>
              <w:bottom w:val="single" w:sz="4" w:space="0" w:color="auto"/>
            </w:tcBorders>
          </w:tcPr>
          <w:p w14:paraId="1D9F80F8" w14:textId="59A62141" w:rsidR="00A9015F" w:rsidRPr="001278ED" w:rsidRDefault="001278ED" w:rsidP="00A901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84" w:type="dxa"/>
            <w:tcBorders>
              <w:top w:val="single" w:sz="4" w:space="0" w:color="auto"/>
              <w:bottom w:val="single" w:sz="4" w:space="0" w:color="auto"/>
              <w:right w:val="single" w:sz="4" w:space="0" w:color="auto"/>
            </w:tcBorders>
          </w:tcPr>
          <w:p w14:paraId="0B237CE5" w14:textId="67DF7566" w:rsidR="00A9015F" w:rsidRPr="001278ED" w:rsidRDefault="001278ED" w:rsidP="001278ED">
            <w:pPr>
              <w:ind w:left="-102"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71AF6" w:rsidRPr="001278ED" w14:paraId="6EF2F98D" w14:textId="77777777" w:rsidTr="009E69CE">
        <w:trPr>
          <w:trHeight w:val="496"/>
        </w:trPr>
        <w:tc>
          <w:tcPr>
            <w:tcW w:w="1724" w:type="dxa"/>
            <w:tcBorders>
              <w:top w:val="single" w:sz="4" w:space="0" w:color="auto"/>
              <w:left w:val="single" w:sz="4" w:space="0" w:color="auto"/>
              <w:bottom w:val="single" w:sz="4" w:space="0" w:color="auto"/>
            </w:tcBorders>
          </w:tcPr>
          <w:p w14:paraId="6994B4CD" w14:textId="77777777" w:rsidR="00A9015F" w:rsidRPr="001278ED" w:rsidRDefault="00A9015F" w:rsidP="00A9015F">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VARIABLES</w:t>
            </w:r>
          </w:p>
        </w:tc>
        <w:tc>
          <w:tcPr>
            <w:tcW w:w="2071" w:type="dxa"/>
            <w:tcBorders>
              <w:top w:val="single" w:sz="4" w:space="0" w:color="auto"/>
              <w:bottom w:val="single" w:sz="4" w:space="0" w:color="auto"/>
            </w:tcBorders>
          </w:tcPr>
          <w:p w14:paraId="08E91449" w14:textId="77777777" w:rsidR="00A9015F" w:rsidRPr="001278ED" w:rsidRDefault="00A9015F" w:rsidP="00A9015F">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Misconduct (Number of Fines)</w:t>
            </w:r>
          </w:p>
        </w:tc>
        <w:tc>
          <w:tcPr>
            <w:tcW w:w="1829" w:type="dxa"/>
            <w:tcBorders>
              <w:top w:val="single" w:sz="4" w:space="0" w:color="auto"/>
              <w:bottom w:val="single" w:sz="4" w:space="0" w:color="auto"/>
            </w:tcBorders>
          </w:tcPr>
          <w:p w14:paraId="70BBF900" w14:textId="77777777" w:rsidR="00A9015F" w:rsidRPr="001278ED" w:rsidRDefault="00A9015F" w:rsidP="00A9015F">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 xml:space="preserve">Negative Binomial Model </w:t>
            </w:r>
          </w:p>
        </w:tc>
        <w:tc>
          <w:tcPr>
            <w:tcW w:w="2344" w:type="dxa"/>
            <w:tcBorders>
              <w:top w:val="single" w:sz="4" w:space="0" w:color="auto"/>
              <w:bottom w:val="single" w:sz="4" w:space="0" w:color="auto"/>
            </w:tcBorders>
          </w:tcPr>
          <w:p w14:paraId="764C75F3" w14:textId="77777777" w:rsidR="00A9015F" w:rsidRPr="001278ED" w:rsidRDefault="00A9015F" w:rsidP="00A9015F">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Total Fine (Linear Index)</w:t>
            </w:r>
          </w:p>
        </w:tc>
        <w:tc>
          <w:tcPr>
            <w:tcW w:w="1484" w:type="dxa"/>
            <w:tcBorders>
              <w:top w:val="single" w:sz="4" w:space="0" w:color="auto"/>
              <w:bottom w:val="single" w:sz="4" w:space="0" w:color="auto"/>
              <w:right w:val="single" w:sz="4" w:space="0" w:color="auto"/>
            </w:tcBorders>
          </w:tcPr>
          <w:p w14:paraId="6E55DC57" w14:textId="77777777" w:rsidR="00A9015F" w:rsidRPr="001278ED" w:rsidRDefault="00A9015F" w:rsidP="00A9015F">
            <w:pPr>
              <w:jc w:val="both"/>
              <w:rPr>
                <w:rFonts w:ascii="Times New Roman" w:eastAsia="Times New Roman" w:hAnsi="Times New Roman" w:cs="Times New Roman"/>
                <w:b/>
                <w:bCs/>
                <w:sz w:val="20"/>
                <w:szCs w:val="20"/>
              </w:rPr>
            </w:pPr>
            <w:r w:rsidRPr="001278ED">
              <w:rPr>
                <w:rFonts w:ascii="Times New Roman" w:eastAsia="Times New Roman" w:hAnsi="Times New Roman" w:cs="Times New Roman"/>
                <w:b/>
                <w:bCs/>
                <w:sz w:val="20"/>
                <w:szCs w:val="20"/>
              </w:rPr>
              <w:t>Total Fine (Alternative proxy of Heterogeneity Index)</w:t>
            </w:r>
          </w:p>
        </w:tc>
      </w:tr>
      <w:tr w:rsidR="00071AF6" w:rsidRPr="001278ED" w14:paraId="6E312BA9" w14:textId="77777777" w:rsidTr="009E69CE">
        <w:trPr>
          <w:trHeight w:val="267"/>
        </w:trPr>
        <w:tc>
          <w:tcPr>
            <w:tcW w:w="1724" w:type="dxa"/>
            <w:tcBorders>
              <w:top w:val="single" w:sz="4" w:space="0" w:color="auto"/>
              <w:left w:val="single" w:sz="4" w:space="0" w:color="auto"/>
            </w:tcBorders>
          </w:tcPr>
          <w:p w14:paraId="7A5C917A"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Borders>
              <w:top w:val="single" w:sz="4" w:space="0" w:color="auto"/>
            </w:tcBorders>
          </w:tcPr>
          <w:p w14:paraId="4C45EDE1" w14:textId="77777777" w:rsidR="00A9015F" w:rsidRPr="001278ED" w:rsidRDefault="00A9015F" w:rsidP="00A9015F">
            <w:pPr>
              <w:jc w:val="both"/>
              <w:rPr>
                <w:rFonts w:ascii="Times New Roman" w:eastAsia="Times New Roman" w:hAnsi="Times New Roman" w:cs="Times New Roman"/>
                <w:sz w:val="20"/>
                <w:szCs w:val="20"/>
              </w:rPr>
            </w:pPr>
          </w:p>
        </w:tc>
        <w:tc>
          <w:tcPr>
            <w:tcW w:w="1829" w:type="dxa"/>
            <w:tcBorders>
              <w:top w:val="single" w:sz="4" w:space="0" w:color="auto"/>
            </w:tcBorders>
          </w:tcPr>
          <w:p w14:paraId="31C3B49E" w14:textId="77777777" w:rsidR="00A9015F" w:rsidRPr="001278ED" w:rsidRDefault="00A9015F" w:rsidP="00A9015F">
            <w:pPr>
              <w:jc w:val="both"/>
              <w:rPr>
                <w:rFonts w:ascii="Times New Roman" w:eastAsia="Times New Roman" w:hAnsi="Times New Roman" w:cs="Times New Roman"/>
                <w:sz w:val="20"/>
                <w:szCs w:val="20"/>
              </w:rPr>
            </w:pPr>
          </w:p>
        </w:tc>
        <w:tc>
          <w:tcPr>
            <w:tcW w:w="2344" w:type="dxa"/>
            <w:tcBorders>
              <w:top w:val="single" w:sz="4" w:space="0" w:color="auto"/>
            </w:tcBorders>
          </w:tcPr>
          <w:p w14:paraId="3BF4F01C" w14:textId="77777777" w:rsidR="00A9015F" w:rsidRPr="001278ED" w:rsidRDefault="00A9015F" w:rsidP="00A9015F">
            <w:pPr>
              <w:jc w:val="both"/>
              <w:rPr>
                <w:rFonts w:ascii="Times New Roman" w:eastAsia="Times New Roman" w:hAnsi="Times New Roman" w:cs="Times New Roman"/>
                <w:sz w:val="20"/>
                <w:szCs w:val="20"/>
              </w:rPr>
            </w:pPr>
          </w:p>
        </w:tc>
        <w:tc>
          <w:tcPr>
            <w:tcW w:w="1484" w:type="dxa"/>
            <w:tcBorders>
              <w:top w:val="single" w:sz="4" w:space="0" w:color="auto"/>
              <w:right w:val="single" w:sz="4" w:space="0" w:color="auto"/>
            </w:tcBorders>
          </w:tcPr>
          <w:p w14:paraId="3EAC2C6D" w14:textId="77777777" w:rsidR="00A9015F" w:rsidRPr="001278ED" w:rsidRDefault="00A9015F" w:rsidP="00A9015F">
            <w:pPr>
              <w:jc w:val="both"/>
              <w:rPr>
                <w:rFonts w:ascii="Times New Roman" w:eastAsia="Times New Roman" w:hAnsi="Times New Roman" w:cs="Times New Roman"/>
                <w:sz w:val="20"/>
                <w:szCs w:val="20"/>
              </w:rPr>
            </w:pPr>
          </w:p>
        </w:tc>
      </w:tr>
      <w:tr w:rsidR="00071AF6" w:rsidRPr="001278ED" w14:paraId="2E46AE38" w14:textId="77777777" w:rsidTr="009E69CE">
        <w:trPr>
          <w:trHeight w:val="245"/>
        </w:trPr>
        <w:tc>
          <w:tcPr>
            <w:tcW w:w="1724" w:type="dxa"/>
            <w:tcBorders>
              <w:left w:val="single" w:sz="4" w:space="0" w:color="auto"/>
            </w:tcBorders>
          </w:tcPr>
          <w:p w14:paraId="6F64D8F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Heterogeneity Index</w:t>
            </w:r>
          </w:p>
        </w:tc>
        <w:tc>
          <w:tcPr>
            <w:tcW w:w="2071" w:type="dxa"/>
          </w:tcPr>
          <w:p w14:paraId="0AE49590"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-0.0314***</w:t>
            </w:r>
          </w:p>
        </w:tc>
        <w:tc>
          <w:tcPr>
            <w:tcW w:w="1829" w:type="dxa"/>
          </w:tcPr>
          <w:p w14:paraId="7E4A655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-0.0689***</w:t>
            </w:r>
          </w:p>
        </w:tc>
        <w:tc>
          <w:tcPr>
            <w:tcW w:w="2344" w:type="dxa"/>
          </w:tcPr>
          <w:p w14:paraId="071EA50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-0.101***</w:t>
            </w:r>
          </w:p>
        </w:tc>
        <w:tc>
          <w:tcPr>
            <w:tcW w:w="1484" w:type="dxa"/>
            <w:tcBorders>
              <w:right w:val="single" w:sz="4" w:space="0" w:color="auto"/>
            </w:tcBorders>
          </w:tcPr>
          <w:p w14:paraId="3DACEE8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-0.2760*** </w:t>
            </w:r>
          </w:p>
        </w:tc>
      </w:tr>
      <w:tr w:rsidR="00071AF6" w:rsidRPr="001278ED" w14:paraId="15A11B7C" w14:textId="77777777" w:rsidTr="009E69CE">
        <w:trPr>
          <w:trHeight w:val="255"/>
        </w:trPr>
        <w:tc>
          <w:tcPr>
            <w:tcW w:w="1724" w:type="dxa"/>
            <w:tcBorders>
              <w:left w:val="single" w:sz="4" w:space="0" w:color="auto"/>
            </w:tcBorders>
          </w:tcPr>
          <w:p w14:paraId="68966EA3"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6E1F4A50"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(0.0078)</w:t>
            </w:r>
          </w:p>
        </w:tc>
        <w:tc>
          <w:tcPr>
            <w:tcW w:w="1829" w:type="dxa"/>
          </w:tcPr>
          <w:p w14:paraId="4172DCD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(0.0345)</w:t>
            </w:r>
          </w:p>
        </w:tc>
        <w:tc>
          <w:tcPr>
            <w:tcW w:w="2344" w:type="dxa"/>
          </w:tcPr>
          <w:p w14:paraId="6E90099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(0.0333)</w:t>
            </w:r>
          </w:p>
        </w:tc>
        <w:tc>
          <w:tcPr>
            <w:tcW w:w="1484" w:type="dxa"/>
            <w:tcBorders>
              <w:right w:val="single" w:sz="4" w:space="0" w:color="auto"/>
            </w:tcBorders>
          </w:tcPr>
          <w:p w14:paraId="26CCB0A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(0.0862)</w:t>
            </w:r>
          </w:p>
        </w:tc>
      </w:tr>
      <w:tr w:rsidR="00071AF6" w:rsidRPr="001278ED" w14:paraId="1426BE2B" w14:textId="77777777" w:rsidTr="009E69CE">
        <w:trPr>
          <w:trHeight w:val="255"/>
        </w:trPr>
        <w:tc>
          <w:tcPr>
            <w:tcW w:w="1724" w:type="dxa"/>
            <w:tcBorders>
              <w:left w:val="single" w:sz="4" w:space="0" w:color="auto"/>
            </w:tcBorders>
          </w:tcPr>
          <w:p w14:paraId="60A8155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Board Independence</w:t>
            </w:r>
          </w:p>
        </w:tc>
        <w:tc>
          <w:tcPr>
            <w:tcW w:w="2071" w:type="dxa"/>
          </w:tcPr>
          <w:p w14:paraId="2B47E51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0.1397</w:t>
            </w:r>
          </w:p>
          <w:p w14:paraId="002CF44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(0.1844)</w:t>
            </w:r>
          </w:p>
        </w:tc>
        <w:tc>
          <w:tcPr>
            <w:tcW w:w="1829" w:type="dxa"/>
          </w:tcPr>
          <w:p w14:paraId="57A34B5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0.2468</w:t>
            </w:r>
          </w:p>
          <w:p w14:paraId="2E8E076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(0.5981)</w:t>
            </w:r>
          </w:p>
        </w:tc>
        <w:tc>
          <w:tcPr>
            <w:tcW w:w="2344" w:type="dxa"/>
          </w:tcPr>
          <w:p w14:paraId="19BE9E2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0.0235   </w:t>
            </w:r>
          </w:p>
          <w:p w14:paraId="40C6570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(0.0508)</w:t>
            </w:r>
          </w:p>
        </w:tc>
        <w:tc>
          <w:tcPr>
            <w:tcW w:w="1484" w:type="dxa"/>
            <w:tcBorders>
              <w:right w:val="single" w:sz="4" w:space="0" w:color="auto"/>
            </w:tcBorders>
          </w:tcPr>
          <w:p w14:paraId="140549A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0.0334 </w:t>
            </w:r>
          </w:p>
          <w:p w14:paraId="29E6BE7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(0.0510)</w:t>
            </w:r>
          </w:p>
        </w:tc>
      </w:tr>
      <w:tr w:rsidR="00071AF6" w:rsidRPr="001278ED" w14:paraId="124ECD42" w14:textId="77777777" w:rsidTr="009E69CE">
        <w:trPr>
          <w:trHeight w:val="255"/>
        </w:trPr>
        <w:tc>
          <w:tcPr>
            <w:tcW w:w="1724" w:type="dxa"/>
            <w:tcBorders>
              <w:left w:val="single" w:sz="4" w:space="0" w:color="auto"/>
            </w:tcBorders>
          </w:tcPr>
          <w:p w14:paraId="2D5A3BA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Board Size</w:t>
            </w:r>
          </w:p>
        </w:tc>
        <w:tc>
          <w:tcPr>
            <w:tcW w:w="2071" w:type="dxa"/>
          </w:tcPr>
          <w:p w14:paraId="79AF732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-0.0110</w:t>
            </w:r>
          </w:p>
        </w:tc>
        <w:tc>
          <w:tcPr>
            <w:tcW w:w="1829" w:type="dxa"/>
          </w:tcPr>
          <w:p w14:paraId="5AE2425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-0.5026*</w:t>
            </w:r>
          </w:p>
        </w:tc>
        <w:tc>
          <w:tcPr>
            <w:tcW w:w="2344" w:type="dxa"/>
          </w:tcPr>
          <w:p w14:paraId="3517D80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-.1105   </w:t>
            </w:r>
          </w:p>
        </w:tc>
        <w:tc>
          <w:tcPr>
            <w:tcW w:w="1484" w:type="dxa"/>
            <w:tcBorders>
              <w:right w:val="single" w:sz="4" w:space="0" w:color="auto"/>
            </w:tcBorders>
          </w:tcPr>
          <w:p w14:paraId="6EC83965"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-0.1290</w:t>
            </w:r>
          </w:p>
        </w:tc>
      </w:tr>
      <w:tr w:rsidR="00071AF6" w:rsidRPr="001278ED" w14:paraId="2DCCDA95" w14:textId="77777777" w:rsidTr="009E69CE">
        <w:trPr>
          <w:trHeight w:val="255"/>
        </w:trPr>
        <w:tc>
          <w:tcPr>
            <w:tcW w:w="1724" w:type="dxa"/>
            <w:tcBorders>
              <w:left w:val="single" w:sz="4" w:space="0" w:color="auto"/>
            </w:tcBorders>
          </w:tcPr>
          <w:p w14:paraId="7425104D"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4CEF441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(0.1052)</w:t>
            </w:r>
          </w:p>
        </w:tc>
        <w:tc>
          <w:tcPr>
            <w:tcW w:w="1829" w:type="dxa"/>
          </w:tcPr>
          <w:p w14:paraId="1213482C"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(0.3318)</w:t>
            </w:r>
          </w:p>
        </w:tc>
        <w:tc>
          <w:tcPr>
            <w:tcW w:w="2344" w:type="dxa"/>
          </w:tcPr>
          <w:p w14:paraId="08C48D7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(0.0511)</w:t>
            </w:r>
          </w:p>
        </w:tc>
        <w:tc>
          <w:tcPr>
            <w:tcW w:w="1484" w:type="dxa"/>
            <w:tcBorders>
              <w:right w:val="single" w:sz="4" w:space="0" w:color="auto"/>
            </w:tcBorders>
          </w:tcPr>
          <w:p w14:paraId="7773BAA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(0.0506)</w:t>
            </w:r>
          </w:p>
        </w:tc>
      </w:tr>
      <w:tr w:rsidR="00071AF6" w:rsidRPr="001278ED" w14:paraId="26F46D8F" w14:textId="77777777" w:rsidTr="009E69CE">
        <w:trPr>
          <w:trHeight w:val="255"/>
        </w:trPr>
        <w:tc>
          <w:tcPr>
            <w:tcW w:w="1724" w:type="dxa"/>
            <w:tcBorders>
              <w:left w:val="single" w:sz="4" w:space="0" w:color="auto"/>
            </w:tcBorders>
          </w:tcPr>
          <w:p w14:paraId="26EA634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Growth</w:t>
            </w:r>
          </w:p>
        </w:tc>
        <w:tc>
          <w:tcPr>
            <w:tcW w:w="2071" w:type="dxa"/>
          </w:tcPr>
          <w:p w14:paraId="08EEF91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2.4745*</w:t>
            </w:r>
          </w:p>
        </w:tc>
        <w:tc>
          <w:tcPr>
            <w:tcW w:w="1829" w:type="dxa"/>
          </w:tcPr>
          <w:p w14:paraId="52D631C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11.6095*</w:t>
            </w:r>
          </w:p>
        </w:tc>
        <w:tc>
          <w:tcPr>
            <w:tcW w:w="2344" w:type="dxa"/>
          </w:tcPr>
          <w:p w14:paraId="7E40A45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0.0441 </w:t>
            </w:r>
          </w:p>
        </w:tc>
        <w:tc>
          <w:tcPr>
            <w:tcW w:w="1484" w:type="dxa"/>
            <w:tcBorders>
              <w:right w:val="single" w:sz="4" w:space="0" w:color="auto"/>
            </w:tcBorders>
          </w:tcPr>
          <w:p w14:paraId="10EE746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0.0538 </w:t>
            </w:r>
          </w:p>
        </w:tc>
      </w:tr>
      <w:tr w:rsidR="00071AF6" w:rsidRPr="001278ED" w14:paraId="5A14544F" w14:textId="77777777" w:rsidTr="009E69CE">
        <w:trPr>
          <w:trHeight w:val="245"/>
        </w:trPr>
        <w:tc>
          <w:tcPr>
            <w:tcW w:w="1724" w:type="dxa"/>
            <w:tcBorders>
              <w:left w:val="single" w:sz="4" w:space="0" w:color="auto"/>
            </w:tcBorders>
          </w:tcPr>
          <w:p w14:paraId="0A1BCE22"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67BFB74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(1.3572)</w:t>
            </w:r>
          </w:p>
        </w:tc>
        <w:tc>
          <w:tcPr>
            <w:tcW w:w="1829" w:type="dxa"/>
          </w:tcPr>
          <w:p w14:paraId="40E62EB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(6.7496)</w:t>
            </w:r>
          </w:p>
        </w:tc>
        <w:tc>
          <w:tcPr>
            <w:tcW w:w="2344" w:type="dxa"/>
          </w:tcPr>
          <w:p w14:paraId="599A6D0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(0.0333)</w:t>
            </w:r>
          </w:p>
        </w:tc>
        <w:tc>
          <w:tcPr>
            <w:tcW w:w="1484" w:type="dxa"/>
            <w:tcBorders>
              <w:right w:val="single" w:sz="4" w:space="0" w:color="auto"/>
            </w:tcBorders>
          </w:tcPr>
          <w:p w14:paraId="14569EBC"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(0.0336)</w:t>
            </w:r>
          </w:p>
        </w:tc>
      </w:tr>
      <w:tr w:rsidR="00071AF6" w:rsidRPr="001278ED" w14:paraId="3E16568C" w14:textId="77777777" w:rsidTr="009E69CE">
        <w:trPr>
          <w:trHeight w:val="255"/>
        </w:trPr>
        <w:tc>
          <w:tcPr>
            <w:tcW w:w="1724" w:type="dxa"/>
            <w:tcBorders>
              <w:left w:val="single" w:sz="4" w:space="0" w:color="auto"/>
            </w:tcBorders>
          </w:tcPr>
          <w:p w14:paraId="58F3358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Bank Size</w:t>
            </w:r>
          </w:p>
        </w:tc>
        <w:tc>
          <w:tcPr>
            <w:tcW w:w="2071" w:type="dxa"/>
          </w:tcPr>
          <w:p w14:paraId="0558C22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0.0203</w:t>
            </w:r>
          </w:p>
        </w:tc>
        <w:tc>
          <w:tcPr>
            <w:tcW w:w="1829" w:type="dxa"/>
          </w:tcPr>
          <w:p w14:paraId="391C0FC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0.3388***</w:t>
            </w:r>
          </w:p>
        </w:tc>
        <w:tc>
          <w:tcPr>
            <w:tcW w:w="2344" w:type="dxa"/>
          </w:tcPr>
          <w:p w14:paraId="049724E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0.1605  </w:t>
            </w:r>
          </w:p>
        </w:tc>
        <w:tc>
          <w:tcPr>
            <w:tcW w:w="1484" w:type="dxa"/>
            <w:tcBorders>
              <w:right w:val="single" w:sz="4" w:space="0" w:color="auto"/>
            </w:tcBorders>
          </w:tcPr>
          <w:p w14:paraId="3570A92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0.3352***</w:t>
            </w:r>
          </w:p>
        </w:tc>
      </w:tr>
      <w:tr w:rsidR="00071AF6" w:rsidRPr="001278ED" w14:paraId="72BFBA9F" w14:textId="77777777" w:rsidTr="009E69CE">
        <w:trPr>
          <w:trHeight w:val="255"/>
        </w:trPr>
        <w:tc>
          <w:tcPr>
            <w:tcW w:w="1724" w:type="dxa"/>
            <w:tcBorders>
              <w:left w:val="single" w:sz="4" w:space="0" w:color="auto"/>
            </w:tcBorders>
          </w:tcPr>
          <w:p w14:paraId="7A030BBA"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61E5DABA"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(0.0324)</w:t>
            </w:r>
          </w:p>
        </w:tc>
        <w:tc>
          <w:tcPr>
            <w:tcW w:w="1829" w:type="dxa"/>
          </w:tcPr>
          <w:p w14:paraId="4A04EAA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(0.0491)</w:t>
            </w:r>
          </w:p>
        </w:tc>
        <w:tc>
          <w:tcPr>
            <w:tcW w:w="2344" w:type="dxa"/>
          </w:tcPr>
          <w:p w14:paraId="39AB2E1C"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(0.1358)</w:t>
            </w:r>
          </w:p>
        </w:tc>
        <w:tc>
          <w:tcPr>
            <w:tcW w:w="1484" w:type="dxa"/>
            <w:tcBorders>
              <w:right w:val="single" w:sz="4" w:space="0" w:color="auto"/>
            </w:tcBorders>
          </w:tcPr>
          <w:p w14:paraId="7714C46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(0.1493)</w:t>
            </w:r>
          </w:p>
        </w:tc>
      </w:tr>
      <w:tr w:rsidR="00071AF6" w:rsidRPr="001278ED" w14:paraId="7C68DF51" w14:textId="77777777" w:rsidTr="009E69CE">
        <w:trPr>
          <w:trHeight w:val="255"/>
        </w:trPr>
        <w:tc>
          <w:tcPr>
            <w:tcW w:w="1724" w:type="dxa"/>
            <w:tcBorders>
              <w:left w:val="single" w:sz="4" w:space="0" w:color="auto"/>
            </w:tcBorders>
          </w:tcPr>
          <w:p w14:paraId="406754E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Charter Value</w:t>
            </w:r>
          </w:p>
        </w:tc>
        <w:tc>
          <w:tcPr>
            <w:tcW w:w="2071" w:type="dxa"/>
          </w:tcPr>
          <w:p w14:paraId="573023F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-0.2733</w:t>
            </w:r>
          </w:p>
        </w:tc>
        <w:tc>
          <w:tcPr>
            <w:tcW w:w="1829" w:type="dxa"/>
          </w:tcPr>
          <w:p w14:paraId="6CE0879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-0.2753</w:t>
            </w:r>
          </w:p>
        </w:tc>
        <w:tc>
          <w:tcPr>
            <w:tcW w:w="2344" w:type="dxa"/>
          </w:tcPr>
          <w:p w14:paraId="7CBF2D15"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-0.3554**   </w:t>
            </w:r>
          </w:p>
        </w:tc>
        <w:tc>
          <w:tcPr>
            <w:tcW w:w="1484" w:type="dxa"/>
            <w:tcBorders>
              <w:right w:val="single" w:sz="4" w:space="0" w:color="auto"/>
            </w:tcBorders>
          </w:tcPr>
          <w:p w14:paraId="4D316E7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0.0334**</w:t>
            </w:r>
          </w:p>
        </w:tc>
      </w:tr>
      <w:tr w:rsidR="00071AF6" w:rsidRPr="001278ED" w14:paraId="0C5ECECD" w14:textId="77777777" w:rsidTr="009E69CE">
        <w:trPr>
          <w:trHeight w:val="255"/>
        </w:trPr>
        <w:tc>
          <w:tcPr>
            <w:tcW w:w="1724" w:type="dxa"/>
            <w:tcBorders>
              <w:left w:val="single" w:sz="4" w:space="0" w:color="auto"/>
            </w:tcBorders>
          </w:tcPr>
          <w:p w14:paraId="5E4C16D1"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28143B7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(0.1570) *</w:t>
            </w:r>
          </w:p>
        </w:tc>
        <w:tc>
          <w:tcPr>
            <w:tcW w:w="1829" w:type="dxa"/>
          </w:tcPr>
          <w:p w14:paraId="2B39775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(0.6443)</w:t>
            </w:r>
          </w:p>
        </w:tc>
        <w:tc>
          <w:tcPr>
            <w:tcW w:w="2344" w:type="dxa"/>
          </w:tcPr>
          <w:p w14:paraId="56A4A9F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(0.1888)</w:t>
            </w:r>
          </w:p>
        </w:tc>
        <w:tc>
          <w:tcPr>
            <w:tcW w:w="1484" w:type="dxa"/>
            <w:tcBorders>
              <w:right w:val="single" w:sz="4" w:space="0" w:color="auto"/>
            </w:tcBorders>
          </w:tcPr>
          <w:p w14:paraId="06191C4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(0.1889)</w:t>
            </w:r>
          </w:p>
        </w:tc>
      </w:tr>
      <w:tr w:rsidR="00071AF6" w:rsidRPr="001278ED" w14:paraId="7C4385AC" w14:textId="77777777" w:rsidTr="009E69CE">
        <w:trPr>
          <w:trHeight w:val="245"/>
        </w:trPr>
        <w:tc>
          <w:tcPr>
            <w:tcW w:w="1724" w:type="dxa"/>
            <w:tcBorders>
              <w:left w:val="single" w:sz="4" w:space="0" w:color="auto"/>
            </w:tcBorders>
          </w:tcPr>
          <w:p w14:paraId="2C303D6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Capital</w:t>
            </w:r>
          </w:p>
        </w:tc>
        <w:tc>
          <w:tcPr>
            <w:tcW w:w="2071" w:type="dxa"/>
          </w:tcPr>
          <w:p w14:paraId="51AF80D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0.0143***</w:t>
            </w:r>
          </w:p>
        </w:tc>
        <w:tc>
          <w:tcPr>
            <w:tcW w:w="1829" w:type="dxa"/>
          </w:tcPr>
          <w:p w14:paraId="54EE805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-0.0266*</w:t>
            </w:r>
          </w:p>
        </w:tc>
        <w:tc>
          <w:tcPr>
            <w:tcW w:w="2344" w:type="dxa"/>
          </w:tcPr>
          <w:p w14:paraId="5CBE40FA"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0.1242 *  </w:t>
            </w:r>
          </w:p>
        </w:tc>
        <w:tc>
          <w:tcPr>
            <w:tcW w:w="1484" w:type="dxa"/>
            <w:tcBorders>
              <w:right w:val="single" w:sz="4" w:space="0" w:color="auto"/>
            </w:tcBorders>
          </w:tcPr>
          <w:p w14:paraId="09CF999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0.1075</w:t>
            </w:r>
          </w:p>
        </w:tc>
      </w:tr>
      <w:tr w:rsidR="00071AF6" w:rsidRPr="001278ED" w14:paraId="7F6773FC" w14:textId="77777777" w:rsidTr="009E69CE">
        <w:trPr>
          <w:trHeight w:val="255"/>
        </w:trPr>
        <w:tc>
          <w:tcPr>
            <w:tcW w:w="1724" w:type="dxa"/>
            <w:tcBorders>
              <w:left w:val="single" w:sz="4" w:space="0" w:color="auto"/>
            </w:tcBorders>
          </w:tcPr>
          <w:p w14:paraId="456C1F8E"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60035F0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(0.0065)</w:t>
            </w:r>
          </w:p>
        </w:tc>
        <w:tc>
          <w:tcPr>
            <w:tcW w:w="1829" w:type="dxa"/>
          </w:tcPr>
          <w:p w14:paraId="7C61849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(0.0204)</w:t>
            </w:r>
          </w:p>
        </w:tc>
        <w:tc>
          <w:tcPr>
            <w:tcW w:w="2344" w:type="dxa"/>
          </w:tcPr>
          <w:p w14:paraId="4428175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(0.0764)</w:t>
            </w:r>
          </w:p>
        </w:tc>
        <w:tc>
          <w:tcPr>
            <w:tcW w:w="1484" w:type="dxa"/>
            <w:tcBorders>
              <w:right w:val="single" w:sz="4" w:space="0" w:color="auto"/>
            </w:tcBorders>
          </w:tcPr>
          <w:p w14:paraId="5113CB3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(0.0766)</w:t>
            </w:r>
          </w:p>
        </w:tc>
      </w:tr>
      <w:tr w:rsidR="00071AF6" w:rsidRPr="001278ED" w14:paraId="4D526E65" w14:textId="77777777" w:rsidTr="009E69CE">
        <w:trPr>
          <w:trHeight w:val="255"/>
        </w:trPr>
        <w:tc>
          <w:tcPr>
            <w:tcW w:w="1724" w:type="dxa"/>
            <w:tcBorders>
              <w:left w:val="single" w:sz="4" w:space="0" w:color="auto"/>
            </w:tcBorders>
          </w:tcPr>
          <w:p w14:paraId="3ED9928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ROA</w:t>
            </w:r>
          </w:p>
        </w:tc>
        <w:tc>
          <w:tcPr>
            <w:tcW w:w="2071" w:type="dxa"/>
          </w:tcPr>
          <w:p w14:paraId="3BD7AC0C"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-2.0408</w:t>
            </w:r>
          </w:p>
        </w:tc>
        <w:tc>
          <w:tcPr>
            <w:tcW w:w="1829" w:type="dxa"/>
          </w:tcPr>
          <w:p w14:paraId="5BF0221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-2.1341</w:t>
            </w:r>
          </w:p>
        </w:tc>
        <w:tc>
          <w:tcPr>
            <w:tcW w:w="2344" w:type="dxa"/>
          </w:tcPr>
          <w:p w14:paraId="2659F055"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-0.1729 ** </w:t>
            </w:r>
          </w:p>
        </w:tc>
        <w:tc>
          <w:tcPr>
            <w:tcW w:w="1484" w:type="dxa"/>
            <w:tcBorders>
              <w:right w:val="single" w:sz="4" w:space="0" w:color="auto"/>
            </w:tcBorders>
          </w:tcPr>
          <w:p w14:paraId="6365A40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-0.1603*</w:t>
            </w:r>
          </w:p>
        </w:tc>
      </w:tr>
      <w:tr w:rsidR="00071AF6" w:rsidRPr="001278ED" w14:paraId="7F8ED360" w14:textId="77777777" w:rsidTr="009E69CE">
        <w:trPr>
          <w:trHeight w:val="255"/>
        </w:trPr>
        <w:tc>
          <w:tcPr>
            <w:tcW w:w="1724" w:type="dxa"/>
            <w:tcBorders>
              <w:left w:val="single" w:sz="4" w:space="0" w:color="auto"/>
            </w:tcBorders>
          </w:tcPr>
          <w:p w14:paraId="6E61E7F7"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3D0CCF50"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(1.888)</w:t>
            </w:r>
          </w:p>
        </w:tc>
        <w:tc>
          <w:tcPr>
            <w:tcW w:w="1829" w:type="dxa"/>
          </w:tcPr>
          <w:p w14:paraId="2F7A0F2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(8.611)</w:t>
            </w:r>
          </w:p>
        </w:tc>
        <w:tc>
          <w:tcPr>
            <w:tcW w:w="2344" w:type="dxa"/>
          </w:tcPr>
          <w:p w14:paraId="78A3EB8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(0.0986)</w:t>
            </w:r>
          </w:p>
        </w:tc>
        <w:tc>
          <w:tcPr>
            <w:tcW w:w="1484" w:type="dxa"/>
            <w:tcBorders>
              <w:right w:val="single" w:sz="4" w:space="0" w:color="auto"/>
            </w:tcBorders>
          </w:tcPr>
          <w:p w14:paraId="438FD29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(0.0987)</w:t>
            </w:r>
          </w:p>
        </w:tc>
      </w:tr>
      <w:tr w:rsidR="00071AF6" w:rsidRPr="001278ED" w14:paraId="7233AAA3" w14:textId="77777777" w:rsidTr="009E69CE">
        <w:trPr>
          <w:trHeight w:val="255"/>
        </w:trPr>
        <w:tc>
          <w:tcPr>
            <w:tcW w:w="1724" w:type="dxa"/>
            <w:tcBorders>
              <w:left w:val="single" w:sz="4" w:space="0" w:color="auto"/>
            </w:tcBorders>
          </w:tcPr>
          <w:p w14:paraId="255018F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CEO Tenure</w:t>
            </w:r>
          </w:p>
        </w:tc>
        <w:tc>
          <w:tcPr>
            <w:tcW w:w="2071" w:type="dxa"/>
          </w:tcPr>
          <w:p w14:paraId="0CDB795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-0.0057*</w:t>
            </w:r>
          </w:p>
        </w:tc>
        <w:tc>
          <w:tcPr>
            <w:tcW w:w="1829" w:type="dxa"/>
          </w:tcPr>
          <w:p w14:paraId="5ACB4A8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-0.0277*</w:t>
            </w:r>
          </w:p>
        </w:tc>
        <w:tc>
          <w:tcPr>
            <w:tcW w:w="2344" w:type="dxa"/>
          </w:tcPr>
          <w:p w14:paraId="43F83A1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-0.0546*    </w:t>
            </w:r>
          </w:p>
        </w:tc>
        <w:tc>
          <w:tcPr>
            <w:tcW w:w="1484" w:type="dxa"/>
            <w:tcBorders>
              <w:right w:val="single" w:sz="4" w:space="0" w:color="auto"/>
            </w:tcBorders>
          </w:tcPr>
          <w:p w14:paraId="24DA9FD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-0.0560</w:t>
            </w:r>
          </w:p>
        </w:tc>
      </w:tr>
      <w:tr w:rsidR="00071AF6" w:rsidRPr="001278ED" w14:paraId="59F6DB20" w14:textId="77777777" w:rsidTr="009E69CE">
        <w:trPr>
          <w:trHeight w:val="245"/>
        </w:trPr>
        <w:tc>
          <w:tcPr>
            <w:tcW w:w="1724" w:type="dxa"/>
            <w:tcBorders>
              <w:left w:val="single" w:sz="4" w:space="0" w:color="auto"/>
            </w:tcBorders>
          </w:tcPr>
          <w:p w14:paraId="432628C0"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29F6193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(0.0032)</w:t>
            </w:r>
          </w:p>
        </w:tc>
        <w:tc>
          <w:tcPr>
            <w:tcW w:w="1829" w:type="dxa"/>
          </w:tcPr>
          <w:p w14:paraId="6131B65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(0.0138)</w:t>
            </w:r>
          </w:p>
        </w:tc>
        <w:tc>
          <w:tcPr>
            <w:tcW w:w="2344" w:type="dxa"/>
          </w:tcPr>
          <w:p w14:paraId="4B2DB26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(0.0370)</w:t>
            </w:r>
          </w:p>
        </w:tc>
        <w:tc>
          <w:tcPr>
            <w:tcW w:w="1484" w:type="dxa"/>
            <w:tcBorders>
              <w:right w:val="single" w:sz="4" w:space="0" w:color="auto"/>
            </w:tcBorders>
          </w:tcPr>
          <w:p w14:paraId="3322D29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(0.0370)</w:t>
            </w:r>
          </w:p>
        </w:tc>
      </w:tr>
      <w:tr w:rsidR="00071AF6" w:rsidRPr="001278ED" w14:paraId="499F6BCB" w14:textId="77777777" w:rsidTr="009E69CE">
        <w:trPr>
          <w:trHeight w:val="255"/>
        </w:trPr>
        <w:tc>
          <w:tcPr>
            <w:tcW w:w="1724" w:type="dxa"/>
            <w:tcBorders>
              <w:left w:val="single" w:sz="4" w:space="0" w:color="auto"/>
            </w:tcBorders>
          </w:tcPr>
          <w:p w14:paraId="6E4151C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Risk</w:t>
            </w:r>
          </w:p>
        </w:tc>
        <w:tc>
          <w:tcPr>
            <w:tcW w:w="2071" w:type="dxa"/>
          </w:tcPr>
          <w:p w14:paraId="5AEA785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-6.7798***</w:t>
            </w:r>
          </w:p>
        </w:tc>
        <w:tc>
          <w:tcPr>
            <w:tcW w:w="1829" w:type="dxa"/>
          </w:tcPr>
          <w:p w14:paraId="701754A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-3.8346</w:t>
            </w:r>
          </w:p>
        </w:tc>
        <w:tc>
          <w:tcPr>
            <w:tcW w:w="2344" w:type="dxa"/>
          </w:tcPr>
          <w:p w14:paraId="4A16991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-0.0667*   </w:t>
            </w:r>
          </w:p>
        </w:tc>
        <w:tc>
          <w:tcPr>
            <w:tcW w:w="1484" w:type="dxa"/>
            <w:tcBorders>
              <w:right w:val="single" w:sz="4" w:space="0" w:color="auto"/>
            </w:tcBorders>
          </w:tcPr>
          <w:p w14:paraId="5FFB600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-0.0827</w:t>
            </w:r>
          </w:p>
        </w:tc>
      </w:tr>
      <w:tr w:rsidR="00071AF6" w:rsidRPr="001278ED" w14:paraId="11878D15" w14:textId="77777777" w:rsidTr="009E69CE">
        <w:trPr>
          <w:trHeight w:val="255"/>
        </w:trPr>
        <w:tc>
          <w:tcPr>
            <w:tcW w:w="1724" w:type="dxa"/>
            <w:tcBorders>
              <w:left w:val="single" w:sz="4" w:space="0" w:color="auto"/>
            </w:tcBorders>
          </w:tcPr>
          <w:p w14:paraId="03F72BA2"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3C51940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(2.7134)</w:t>
            </w:r>
          </w:p>
        </w:tc>
        <w:tc>
          <w:tcPr>
            <w:tcW w:w="1829" w:type="dxa"/>
          </w:tcPr>
          <w:p w14:paraId="20A7E65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(11.366)</w:t>
            </w:r>
          </w:p>
        </w:tc>
        <w:tc>
          <w:tcPr>
            <w:tcW w:w="2344" w:type="dxa"/>
          </w:tcPr>
          <w:p w14:paraId="643D959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(0.0282)</w:t>
            </w:r>
          </w:p>
        </w:tc>
        <w:tc>
          <w:tcPr>
            <w:tcW w:w="1484" w:type="dxa"/>
            <w:tcBorders>
              <w:right w:val="single" w:sz="4" w:space="0" w:color="auto"/>
            </w:tcBorders>
          </w:tcPr>
          <w:p w14:paraId="29A09BD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(0.0292)</w:t>
            </w:r>
          </w:p>
        </w:tc>
      </w:tr>
      <w:tr w:rsidR="00071AF6" w:rsidRPr="001278ED" w14:paraId="45483AEE" w14:textId="77777777" w:rsidTr="009E69CE">
        <w:trPr>
          <w:trHeight w:val="255"/>
        </w:trPr>
        <w:tc>
          <w:tcPr>
            <w:tcW w:w="1724" w:type="dxa"/>
            <w:tcBorders>
              <w:left w:val="single" w:sz="4" w:space="0" w:color="auto"/>
            </w:tcBorders>
          </w:tcPr>
          <w:p w14:paraId="183C096A"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Leverage </w:t>
            </w:r>
          </w:p>
        </w:tc>
        <w:tc>
          <w:tcPr>
            <w:tcW w:w="2071" w:type="dxa"/>
          </w:tcPr>
          <w:p w14:paraId="5241F67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-2.9593*</w:t>
            </w:r>
          </w:p>
        </w:tc>
        <w:tc>
          <w:tcPr>
            <w:tcW w:w="1829" w:type="dxa"/>
          </w:tcPr>
          <w:p w14:paraId="4799B7C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-1.5742</w:t>
            </w:r>
          </w:p>
        </w:tc>
        <w:tc>
          <w:tcPr>
            <w:tcW w:w="2344" w:type="dxa"/>
          </w:tcPr>
          <w:p w14:paraId="6F2B569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-1.2379* </w:t>
            </w:r>
          </w:p>
        </w:tc>
        <w:tc>
          <w:tcPr>
            <w:tcW w:w="1484" w:type="dxa"/>
            <w:tcBorders>
              <w:right w:val="single" w:sz="4" w:space="0" w:color="auto"/>
            </w:tcBorders>
          </w:tcPr>
          <w:p w14:paraId="6CA65CE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-1.2899*</w:t>
            </w:r>
          </w:p>
        </w:tc>
      </w:tr>
      <w:tr w:rsidR="00071AF6" w:rsidRPr="001278ED" w14:paraId="42D38CEB" w14:textId="77777777" w:rsidTr="009E69CE">
        <w:trPr>
          <w:trHeight w:val="255"/>
        </w:trPr>
        <w:tc>
          <w:tcPr>
            <w:tcW w:w="1724" w:type="dxa"/>
            <w:tcBorders>
              <w:left w:val="single" w:sz="4" w:space="0" w:color="auto"/>
            </w:tcBorders>
          </w:tcPr>
          <w:p w14:paraId="7F098AE8"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2C22ED4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(1.5763)</w:t>
            </w:r>
          </w:p>
        </w:tc>
        <w:tc>
          <w:tcPr>
            <w:tcW w:w="1829" w:type="dxa"/>
          </w:tcPr>
          <w:p w14:paraId="52F6891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(1.4998)</w:t>
            </w:r>
          </w:p>
        </w:tc>
        <w:tc>
          <w:tcPr>
            <w:tcW w:w="2344" w:type="dxa"/>
          </w:tcPr>
          <w:p w14:paraId="56F67406"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(0.6891)</w:t>
            </w:r>
          </w:p>
        </w:tc>
        <w:tc>
          <w:tcPr>
            <w:tcW w:w="1484" w:type="dxa"/>
            <w:tcBorders>
              <w:right w:val="single" w:sz="4" w:space="0" w:color="auto"/>
            </w:tcBorders>
          </w:tcPr>
          <w:p w14:paraId="47CDF24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(0.6891)</w:t>
            </w:r>
          </w:p>
        </w:tc>
      </w:tr>
      <w:tr w:rsidR="00071AF6" w:rsidRPr="001278ED" w14:paraId="4C53C435" w14:textId="77777777" w:rsidTr="009E69CE">
        <w:trPr>
          <w:trHeight w:val="245"/>
        </w:trPr>
        <w:tc>
          <w:tcPr>
            <w:tcW w:w="1724" w:type="dxa"/>
            <w:tcBorders>
              <w:left w:val="single" w:sz="4" w:space="0" w:color="auto"/>
            </w:tcBorders>
          </w:tcPr>
          <w:p w14:paraId="48D1DD0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No Fine</w:t>
            </w:r>
          </w:p>
        </w:tc>
        <w:tc>
          <w:tcPr>
            <w:tcW w:w="2071" w:type="dxa"/>
          </w:tcPr>
          <w:p w14:paraId="36191E39"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0.0417</w:t>
            </w:r>
          </w:p>
        </w:tc>
        <w:tc>
          <w:tcPr>
            <w:tcW w:w="1829" w:type="dxa"/>
          </w:tcPr>
          <w:p w14:paraId="7CA951E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0.9280**</w:t>
            </w:r>
          </w:p>
        </w:tc>
        <w:tc>
          <w:tcPr>
            <w:tcW w:w="2344" w:type="dxa"/>
          </w:tcPr>
          <w:p w14:paraId="06B761DC" w14:textId="77777777" w:rsidR="00A9015F" w:rsidRPr="001278ED" w:rsidRDefault="00A9015F" w:rsidP="00A9015F">
            <w:pPr>
              <w:jc w:val="both"/>
              <w:rPr>
                <w:rFonts w:ascii="Times New Roman" w:eastAsia="Times New Roman" w:hAnsi="Times New Roman" w:cs="Times New Roman"/>
                <w:sz w:val="20"/>
                <w:szCs w:val="20"/>
              </w:rPr>
            </w:pPr>
          </w:p>
        </w:tc>
        <w:tc>
          <w:tcPr>
            <w:tcW w:w="1484" w:type="dxa"/>
            <w:tcBorders>
              <w:right w:val="single" w:sz="4" w:space="0" w:color="auto"/>
            </w:tcBorders>
          </w:tcPr>
          <w:p w14:paraId="4431FA15" w14:textId="77777777" w:rsidR="00A9015F" w:rsidRPr="001278ED" w:rsidRDefault="00A9015F" w:rsidP="00A9015F">
            <w:pPr>
              <w:jc w:val="both"/>
              <w:rPr>
                <w:rFonts w:ascii="Times New Roman" w:eastAsia="Times New Roman" w:hAnsi="Times New Roman" w:cs="Times New Roman"/>
                <w:sz w:val="20"/>
                <w:szCs w:val="20"/>
              </w:rPr>
            </w:pPr>
          </w:p>
        </w:tc>
      </w:tr>
      <w:tr w:rsidR="00071AF6" w:rsidRPr="001278ED" w14:paraId="143321A1" w14:textId="77777777" w:rsidTr="009E69CE">
        <w:trPr>
          <w:trHeight w:val="255"/>
        </w:trPr>
        <w:tc>
          <w:tcPr>
            <w:tcW w:w="1724" w:type="dxa"/>
            <w:tcBorders>
              <w:left w:val="single" w:sz="4" w:space="0" w:color="auto"/>
            </w:tcBorders>
          </w:tcPr>
          <w:p w14:paraId="449AF128"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07226573"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(0.0336)</w:t>
            </w:r>
          </w:p>
        </w:tc>
        <w:tc>
          <w:tcPr>
            <w:tcW w:w="1829" w:type="dxa"/>
          </w:tcPr>
          <w:p w14:paraId="4D9A9F0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(0.1247)</w:t>
            </w:r>
          </w:p>
        </w:tc>
        <w:tc>
          <w:tcPr>
            <w:tcW w:w="2344" w:type="dxa"/>
          </w:tcPr>
          <w:p w14:paraId="3FD4B15B" w14:textId="77777777" w:rsidR="00A9015F" w:rsidRPr="001278ED" w:rsidRDefault="00A9015F" w:rsidP="00A9015F">
            <w:pPr>
              <w:jc w:val="both"/>
              <w:rPr>
                <w:rFonts w:ascii="Times New Roman" w:eastAsia="Times New Roman" w:hAnsi="Times New Roman" w:cs="Times New Roman"/>
                <w:sz w:val="20"/>
                <w:szCs w:val="20"/>
              </w:rPr>
            </w:pPr>
          </w:p>
        </w:tc>
        <w:tc>
          <w:tcPr>
            <w:tcW w:w="1484" w:type="dxa"/>
            <w:tcBorders>
              <w:right w:val="single" w:sz="4" w:space="0" w:color="auto"/>
            </w:tcBorders>
          </w:tcPr>
          <w:p w14:paraId="5DA4BEA8" w14:textId="77777777" w:rsidR="00A9015F" w:rsidRPr="001278ED" w:rsidRDefault="00A9015F" w:rsidP="00A9015F">
            <w:pPr>
              <w:jc w:val="both"/>
              <w:rPr>
                <w:rFonts w:ascii="Times New Roman" w:eastAsia="Times New Roman" w:hAnsi="Times New Roman" w:cs="Times New Roman"/>
                <w:sz w:val="20"/>
                <w:szCs w:val="20"/>
              </w:rPr>
            </w:pPr>
          </w:p>
        </w:tc>
      </w:tr>
      <w:tr w:rsidR="00071AF6" w:rsidRPr="001278ED" w14:paraId="0C0DAAAC" w14:textId="77777777" w:rsidTr="009E69CE">
        <w:trPr>
          <w:trHeight w:val="255"/>
        </w:trPr>
        <w:tc>
          <w:tcPr>
            <w:tcW w:w="1724" w:type="dxa"/>
            <w:tcBorders>
              <w:left w:val="single" w:sz="4" w:space="0" w:color="auto"/>
            </w:tcBorders>
          </w:tcPr>
          <w:p w14:paraId="089DD4D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Total Fine</w:t>
            </w:r>
          </w:p>
        </w:tc>
        <w:tc>
          <w:tcPr>
            <w:tcW w:w="2071" w:type="dxa"/>
          </w:tcPr>
          <w:p w14:paraId="29FBDEAE" w14:textId="77777777" w:rsidR="00A9015F" w:rsidRPr="001278ED" w:rsidRDefault="00A9015F" w:rsidP="00A9015F">
            <w:pPr>
              <w:jc w:val="both"/>
              <w:rPr>
                <w:rFonts w:ascii="Times New Roman" w:eastAsia="Times New Roman" w:hAnsi="Times New Roman" w:cs="Times New Roman"/>
                <w:sz w:val="20"/>
                <w:szCs w:val="20"/>
              </w:rPr>
            </w:pPr>
          </w:p>
        </w:tc>
        <w:tc>
          <w:tcPr>
            <w:tcW w:w="1829" w:type="dxa"/>
          </w:tcPr>
          <w:p w14:paraId="3E9A7C1F" w14:textId="77777777" w:rsidR="00A9015F" w:rsidRPr="001278ED" w:rsidRDefault="00A9015F" w:rsidP="00A9015F">
            <w:pPr>
              <w:jc w:val="both"/>
              <w:rPr>
                <w:rFonts w:ascii="Times New Roman" w:eastAsia="Times New Roman" w:hAnsi="Times New Roman" w:cs="Times New Roman"/>
                <w:sz w:val="20"/>
                <w:szCs w:val="20"/>
              </w:rPr>
            </w:pPr>
          </w:p>
        </w:tc>
        <w:tc>
          <w:tcPr>
            <w:tcW w:w="2344" w:type="dxa"/>
          </w:tcPr>
          <w:p w14:paraId="479892F8"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0.0241  </w:t>
            </w:r>
          </w:p>
          <w:p w14:paraId="434B088A"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(0.0339)</w:t>
            </w:r>
          </w:p>
        </w:tc>
        <w:tc>
          <w:tcPr>
            <w:tcW w:w="1484" w:type="dxa"/>
            <w:tcBorders>
              <w:right w:val="single" w:sz="4" w:space="0" w:color="auto"/>
            </w:tcBorders>
          </w:tcPr>
          <w:p w14:paraId="309364C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0.0261</w:t>
            </w:r>
          </w:p>
          <w:p w14:paraId="218F286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(0.0338)</w:t>
            </w:r>
          </w:p>
        </w:tc>
      </w:tr>
      <w:tr w:rsidR="00071AF6" w:rsidRPr="001278ED" w14:paraId="47BD8825" w14:textId="77777777" w:rsidTr="009E69CE">
        <w:trPr>
          <w:trHeight w:val="255"/>
        </w:trPr>
        <w:tc>
          <w:tcPr>
            <w:tcW w:w="1724" w:type="dxa"/>
            <w:tcBorders>
              <w:left w:val="single" w:sz="4" w:space="0" w:color="auto"/>
            </w:tcBorders>
          </w:tcPr>
          <w:p w14:paraId="0359454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Constant</w:t>
            </w:r>
          </w:p>
        </w:tc>
        <w:tc>
          <w:tcPr>
            <w:tcW w:w="2071" w:type="dxa"/>
          </w:tcPr>
          <w:p w14:paraId="12C28E01"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-0.0124**</w:t>
            </w:r>
          </w:p>
        </w:tc>
        <w:tc>
          <w:tcPr>
            <w:tcW w:w="1829" w:type="dxa"/>
          </w:tcPr>
          <w:p w14:paraId="4CCE897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-2.285***</w:t>
            </w:r>
          </w:p>
        </w:tc>
        <w:tc>
          <w:tcPr>
            <w:tcW w:w="2344" w:type="dxa"/>
          </w:tcPr>
          <w:p w14:paraId="2A7C708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 xml:space="preserve">-0.6978  </w:t>
            </w:r>
          </w:p>
        </w:tc>
        <w:tc>
          <w:tcPr>
            <w:tcW w:w="1484" w:type="dxa"/>
            <w:tcBorders>
              <w:right w:val="single" w:sz="4" w:space="0" w:color="auto"/>
            </w:tcBorders>
          </w:tcPr>
          <w:p w14:paraId="02F68E4B"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-2.266***</w:t>
            </w:r>
          </w:p>
        </w:tc>
      </w:tr>
      <w:tr w:rsidR="00071AF6" w:rsidRPr="001278ED" w14:paraId="2A550988" w14:textId="77777777" w:rsidTr="009E69CE">
        <w:trPr>
          <w:trHeight w:val="255"/>
        </w:trPr>
        <w:tc>
          <w:tcPr>
            <w:tcW w:w="1724" w:type="dxa"/>
            <w:tcBorders>
              <w:left w:val="single" w:sz="4" w:space="0" w:color="auto"/>
            </w:tcBorders>
          </w:tcPr>
          <w:p w14:paraId="4D1CD66C" w14:textId="77777777" w:rsidR="00A9015F" w:rsidRPr="001278ED" w:rsidRDefault="00A9015F" w:rsidP="00A9015F">
            <w:pPr>
              <w:jc w:val="both"/>
              <w:rPr>
                <w:rFonts w:ascii="Times New Roman" w:eastAsia="Times New Roman" w:hAnsi="Times New Roman" w:cs="Times New Roman"/>
                <w:sz w:val="20"/>
                <w:szCs w:val="20"/>
              </w:rPr>
            </w:pPr>
          </w:p>
        </w:tc>
        <w:tc>
          <w:tcPr>
            <w:tcW w:w="2071" w:type="dxa"/>
          </w:tcPr>
          <w:p w14:paraId="665ADC0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(0.4020)</w:t>
            </w:r>
          </w:p>
        </w:tc>
        <w:tc>
          <w:tcPr>
            <w:tcW w:w="1829" w:type="dxa"/>
          </w:tcPr>
          <w:p w14:paraId="46B8D15D"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(0.9356)</w:t>
            </w:r>
          </w:p>
        </w:tc>
        <w:tc>
          <w:tcPr>
            <w:tcW w:w="2344" w:type="dxa"/>
          </w:tcPr>
          <w:p w14:paraId="3B44B32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(0.3325)</w:t>
            </w:r>
          </w:p>
        </w:tc>
        <w:tc>
          <w:tcPr>
            <w:tcW w:w="1484" w:type="dxa"/>
            <w:tcBorders>
              <w:right w:val="single" w:sz="4" w:space="0" w:color="auto"/>
            </w:tcBorders>
          </w:tcPr>
          <w:p w14:paraId="559AAFB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(0.5431)</w:t>
            </w:r>
          </w:p>
        </w:tc>
      </w:tr>
      <w:tr w:rsidR="00071AF6" w:rsidRPr="001278ED" w14:paraId="2B4A3439" w14:textId="77777777" w:rsidTr="009E69CE">
        <w:trPr>
          <w:trHeight w:val="255"/>
        </w:trPr>
        <w:tc>
          <w:tcPr>
            <w:tcW w:w="1724" w:type="dxa"/>
            <w:tcBorders>
              <w:left w:val="single" w:sz="4" w:space="0" w:color="auto"/>
            </w:tcBorders>
          </w:tcPr>
          <w:p w14:paraId="1B5B6367"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Observations</w:t>
            </w:r>
          </w:p>
        </w:tc>
        <w:tc>
          <w:tcPr>
            <w:tcW w:w="2071" w:type="dxa"/>
          </w:tcPr>
          <w:p w14:paraId="1C01145A"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c>
          <w:tcPr>
            <w:tcW w:w="1829" w:type="dxa"/>
          </w:tcPr>
          <w:p w14:paraId="7076816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c>
          <w:tcPr>
            <w:tcW w:w="2344" w:type="dxa"/>
          </w:tcPr>
          <w:p w14:paraId="0D5056C5"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c>
          <w:tcPr>
            <w:tcW w:w="1484" w:type="dxa"/>
            <w:tcBorders>
              <w:right w:val="single" w:sz="4" w:space="0" w:color="auto"/>
            </w:tcBorders>
          </w:tcPr>
          <w:p w14:paraId="5E1D7624"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955</w:t>
            </w:r>
          </w:p>
        </w:tc>
      </w:tr>
      <w:tr w:rsidR="00071AF6" w:rsidRPr="001278ED" w14:paraId="6DE0FB0B" w14:textId="77777777" w:rsidTr="009E69CE">
        <w:trPr>
          <w:trHeight w:val="255"/>
        </w:trPr>
        <w:tc>
          <w:tcPr>
            <w:tcW w:w="1724" w:type="dxa"/>
            <w:tcBorders>
              <w:left w:val="single" w:sz="4" w:space="0" w:color="auto"/>
              <w:bottom w:val="single" w:sz="4" w:space="0" w:color="auto"/>
            </w:tcBorders>
          </w:tcPr>
          <w:p w14:paraId="58C22CD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Year and Bank FE</w:t>
            </w:r>
          </w:p>
        </w:tc>
        <w:tc>
          <w:tcPr>
            <w:tcW w:w="2071" w:type="dxa"/>
            <w:tcBorders>
              <w:bottom w:val="single" w:sz="4" w:space="0" w:color="auto"/>
            </w:tcBorders>
          </w:tcPr>
          <w:p w14:paraId="2C3E6462"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c>
          <w:tcPr>
            <w:tcW w:w="1829" w:type="dxa"/>
            <w:tcBorders>
              <w:bottom w:val="single" w:sz="4" w:space="0" w:color="auto"/>
            </w:tcBorders>
          </w:tcPr>
          <w:p w14:paraId="709DD33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c>
          <w:tcPr>
            <w:tcW w:w="2344" w:type="dxa"/>
            <w:tcBorders>
              <w:bottom w:val="single" w:sz="4" w:space="0" w:color="auto"/>
            </w:tcBorders>
          </w:tcPr>
          <w:p w14:paraId="71BE1B4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c>
          <w:tcPr>
            <w:tcW w:w="1484" w:type="dxa"/>
            <w:tcBorders>
              <w:bottom w:val="single" w:sz="4" w:space="0" w:color="auto"/>
              <w:right w:val="single" w:sz="4" w:space="0" w:color="auto"/>
            </w:tcBorders>
          </w:tcPr>
          <w:p w14:paraId="252A969E"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Yes</w:t>
            </w:r>
          </w:p>
        </w:tc>
      </w:tr>
      <w:tr w:rsidR="00071AF6" w:rsidRPr="001278ED" w14:paraId="3D470523" w14:textId="77777777" w:rsidTr="009E69CE">
        <w:trPr>
          <w:trHeight w:val="255"/>
        </w:trPr>
        <w:tc>
          <w:tcPr>
            <w:tcW w:w="1724" w:type="dxa"/>
            <w:tcBorders>
              <w:top w:val="single" w:sz="4" w:space="0" w:color="auto"/>
              <w:left w:val="single" w:sz="4" w:space="0" w:color="auto"/>
              <w:bottom w:val="single" w:sz="4" w:space="0" w:color="auto"/>
            </w:tcBorders>
          </w:tcPr>
          <w:p w14:paraId="6B0BD86B" w14:textId="77777777" w:rsidR="00A9015F" w:rsidRPr="00940E21" w:rsidRDefault="00A9015F" w:rsidP="00A9015F">
            <w:pPr>
              <w:jc w:val="both"/>
              <w:rPr>
                <w:rFonts w:ascii="Times New Roman" w:eastAsia="Times New Roman" w:hAnsi="Times New Roman" w:cs="Times New Roman"/>
                <w:sz w:val="20"/>
                <w:szCs w:val="20"/>
              </w:rPr>
            </w:pPr>
            <w:r w:rsidRPr="00940E21">
              <w:rPr>
                <w:rFonts w:ascii="Times New Roman" w:eastAsia="Times New Roman" w:hAnsi="Times New Roman" w:cs="Times New Roman"/>
                <w:sz w:val="20"/>
                <w:szCs w:val="20"/>
              </w:rPr>
              <w:t>Adj R-squared</w:t>
            </w:r>
          </w:p>
        </w:tc>
        <w:tc>
          <w:tcPr>
            <w:tcW w:w="2071" w:type="dxa"/>
            <w:tcBorders>
              <w:top w:val="single" w:sz="4" w:space="0" w:color="auto"/>
              <w:bottom w:val="single" w:sz="4" w:space="0" w:color="auto"/>
            </w:tcBorders>
          </w:tcPr>
          <w:p w14:paraId="407A71CA" w14:textId="77777777" w:rsidR="00A9015F" w:rsidRPr="00940E21" w:rsidRDefault="00A9015F" w:rsidP="00A9015F">
            <w:pPr>
              <w:jc w:val="both"/>
              <w:rPr>
                <w:rFonts w:ascii="Times New Roman" w:eastAsia="Times New Roman" w:hAnsi="Times New Roman" w:cs="Times New Roman"/>
                <w:sz w:val="20"/>
                <w:szCs w:val="20"/>
              </w:rPr>
            </w:pPr>
            <w:r w:rsidRPr="00940E21">
              <w:rPr>
                <w:rFonts w:ascii="Times New Roman" w:eastAsia="Times New Roman" w:hAnsi="Times New Roman" w:cs="Times New Roman"/>
                <w:sz w:val="20"/>
                <w:szCs w:val="20"/>
              </w:rPr>
              <w:t>0.6077</w:t>
            </w:r>
          </w:p>
        </w:tc>
        <w:tc>
          <w:tcPr>
            <w:tcW w:w="1829" w:type="dxa"/>
            <w:tcBorders>
              <w:top w:val="single" w:sz="4" w:space="0" w:color="auto"/>
              <w:bottom w:val="single" w:sz="4" w:space="0" w:color="auto"/>
            </w:tcBorders>
          </w:tcPr>
          <w:p w14:paraId="346C2208" w14:textId="77777777" w:rsidR="00A9015F" w:rsidRPr="00940E21" w:rsidRDefault="00A9015F" w:rsidP="00A9015F">
            <w:pPr>
              <w:jc w:val="both"/>
              <w:rPr>
                <w:rFonts w:ascii="Times New Roman" w:eastAsia="Times New Roman" w:hAnsi="Times New Roman" w:cs="Times New Roman"/>
                <w:sz w:val="20"/>
                <w:szCs w:val="20"/>
              </w:rPr>
            </w:pPr>
          </w:p>
        </w:tc>
        <w:tc>
          <w:tcPr>
            <w:tcW w:w="2344" w:type="dxa"/>
            <w:tcBorders>
              <w:top w:val="single" w:sz="4" w:space="0" w:color="auto"/>
              <w:bottom w:val="single" w:sz="4" w:space="0" w:color="auto"/>
            </w:tcBorders>
          </w:tcPr>
          <w:p w14:paraId="336269F8" w14:textId="16EDA75C" w:rsidR="00A9015F" w:rsidRPr="00940E21" w:rsidRDefault="001D0BC0" w:rsidP="00A901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0.543</w:t>
            </w:r>
          </w:p>
        </w:tc>
        <w:tc>
          <w:tcPr>
            <w:tcW w:w="1484" w:type="dxa"/>
            <w:tcBorders>
              <w:top w:val="single" w:sz="4" w:space="0" w:color="auto"/>
              <w:bottom w:val="single" w:sz="4" w:space="0" w:color="auto"/>
              <w:right w:val="single" w:sz="4" w:space="0" w:color="auto"/>
            </w:tcBorders>
          </w:tcPr>
          <w:p w14:paraId="6188197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0.5372</w:t>
            </w:r>
          </w:p>
        </w:tc>
      </w:tr>
      <w:tr w:rsidR="00071AF6" w:rsidRPr="001278ED" w14:paraId="36A023DA" w14:textId="77777777" w:rsidTr="009E69CE">
        <w:trPr>
          <w:trHeight w:val="255"/>
        </w:trPr>
        <w:tc>
          <w:tcPr>
            <w:tcW w:w="1724" w:type="dxa"/>
            <w:tcBorders>
              <w:top w:val="single" w:sz="4" w:space="0" w:color="auto"/>
              <w:left w:val="single" w:sz="4" w:space="0" w:color="auto"/>
              <w:bottom w:val="single" w:sz="4" w:space="0" w:color="auto"/>
            </w:tcBorders>
          </w:tcPr>
          <w:p w14:paraId="689CEE0C"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Pseudo R-Squared</w:t>
            </w:r>
          </w:p>
        </w:tc>
        <w:tc>
          <w:tcPr>
            <w:tcW w:w="2071" w:type="dxa"/>
            <w:tcBorders>
              <w:top w:val="single" w:sz="4" w:space="0" w:color="auto"/>
              <w:bottom w:val="single" w:sz="4" w:space="0" w:color="auto"/>
            </w:tcBorders>
          </w:tcPr>
          <w:p w14:paraId="6765367F" w14:textId="77777777" w:rsidR="00A9015F" w:rsidRPr="001278ED" w:rsidRDefault="00A9015F" w:rsidP="00A9015F">
            <w:pPr>
              <w:jc w:val="both"/>
              <w:rPr>
                <w:rFonts w:ascii="Times New Roman" w:eastAsia="Times New Roman" w:hAnsi="Times New Roman" w:cs="Times New Roman"/>
                <w:sz w:val="20"/>
                <w:szCs w:val="20"/>
              </w:rPr>
            </w:pPr>
          </w:p>
        </w:tc>
        <w:tc>
          <w:tcPr>
            <w:tcW w:w="1829" w:type="dxa"/>
            <w:tcBorders>
              <w:top w:val="single" w:sz="4" w:space="0" w:color="auto"/>
              <w:bottom w:val="single" w:sz="4" w:space="0" w:color="auto"/>
            </w:tcBorders>
          </w:tcPr>
          <w:p w14:paraId="30E894CF" w14:textId="77777777" w:rsidR="00A9015F" w:rsidRPr="001278ED" w:rsidRDefault="00A9015F" w:rsidP="00A9015F">
            <w:pPr>
              <w:jc w:val="both"/>
              <w:rPr>
                <w:rFonts w:ascii="Times New Roman" w:eastAsia="Times New Roman" w:hAnsi="Times New Roman" w:cs="Times New Roman"/>
                <w:sz w:val="20"/>
                <w:szCs w:val="20"/>
              </w:rPr>
            </w:pPr>
            <w:r w:rsidRPr="001278ED">
              <w:rPr>
                <w:rFonts w:ascii="Times New Roman" w:eastAsia="Times New Roman" w:hAnsi="Times New Roman" w:cs="Times New Roman"/>
                <w:sz w:val="20"/>
                <w:szCs w:val="20"/>
              </w:rPr>
              <w:t>0.2958</w:t>
            </w:r>
          </w:p>
        </w:tc>
        <w:tc>
          <w:tcPr>
            <w:tcW w:w="2344" w:type="dxa"/>
            <w:tcBorders>
              <w:top w:val="single" w:sz="4" w:space="0" w:color="auto"/>
              <w:bottom w:val="single" w:sz="4" w:space="0" w:color="auto"/>
            </w:tcBorders>
          </w:tcPr>
          <w:p w14:paraId="65A1878A" w14:textId="77777777" w:rsidR="00A9015F" w:rsidRPr="001278ED" w:rsidRDefault="00A9015F" w:rsidP="00A9015F">
            <w:pPr>
              <w:jc w:val="both"/>
              <w:rPr>
                <w:rFonts w:ascii="Times New Roman" w:eastAsia="Times New Roman" w:hAnsi="Times New Roman" w:cs="Times New Roman"/>
                <w:sz w:val="20"/>
                <w:szCs w:val="20"/>
              </w:rPr>
            </w:pPr>
          </w:p>
        </w:tc>
        <w:tc>
          <w:tcPr>
            <w:tcW w:w="1484" w:type="dxa"/>
            <w:tcBorders>
              <w:top w:val="single" w:sz="4" w:space="0" w:color="auto"/>
              <w:bottom w:val="single" w:sz="4" w:space="0" w:color="auto"/>
              <w:right w:val="single" w:sz="4" w:space="0" w:color="auto"/>
            </w:tcBorders>
          </w:tcPr>
          <w:p w14:paraId="00D997C5" w14:textId="77777777" w:rsidR="00A9015F" w:rsidRPr="001278ED" w:rsidRDefault="00A9015F" w:rsidP="00A9015F">
            <w:pPr>
              <w:jc w:val="both"/>
              <w:rPr>
                <w:rFonts w:ascii="Times New Roman" w:eastAsia="Times New Roman" w:hAnsi="Times New Roman" w:cs="Times New Roman"/>
                <w:sz w:val="20"/>
                <w:szCs w:val="20"/>
              </w:rPr>
            </w:pPr>
          </w:p>
        </w:tc>
      </w:tr>
    </w:tbl>
    <w:p w14:paraId="388C4062" w14:textId="77777777" w:rsidR="00A9015F" w:rsidRPr="00A9015F" w:rsidRDefault="00A9015F" w:rsidP="00A9015F">
      <w:pPr>
        <w:jc w:val="both"/>
        <w:rPr>
          <w:rFonts w:ascii="Times New Roman" w:eastAsia="Times New Roman" w:hAnsi="Times New Roman" w:cs="Times New Roman"/>
          <w:sz w:val="24"/>
          <w:szCs w:val="24"/>
        </w:rPr>
      </w:pPr>
    </w:p>
    <w:p w14:paraId="778EBAE7" w14:textId="348740AA" w:rsidR="00A9015F" w:rsidRPr="00A9015F" w:rsidRDefault="00A9015F" w:rsidP="00A9015F">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This table shows the results of additional tests for the effect of independent directors’ attribute heterogeneity on bank misconduct risk. Model (1) reports the results for panel fixed effects using an alternative proxy for misconduct risk, i.e., the Number of Fines. Model (2) reports the baseline model using an alternative proxy for misconduct risk (number of fines) and a negative binomial model. Model (3) reports the baseline model using panel fixed effects and an alternative measure of heterogeneity index. All independent variables are lagged by one year. Standard errors are clustered at the bank level and are reported in parentheses. Board controls include board size and CEO tenure. Bank controls include bank size, profitability, growth, risk, leverage, capital, and charter value. ***, **, * denote significance at the 1%, 5%, 10% level, respectively. Definitions of the variables are provided in Appendix</w:t>
      </w:r>
      <w:r w:rsidR="006E71BB">
        <w:rPr>
          <w:rFonts w:ascii="Times New Roman" w:eastAsia="Times New Roman" w:hAnsi="Times New Roman" w:cs="Times New Roman"/>
          <w:sz w:val="20"/>
          <w:szCs w:val="20"/>
        </w:rPr>
        <w:t xml:space="preserve"> </w:t>
      </w:r>
      <w:r w:rsidR="00221C3A">
        <w:rPr>
          <w:rFonts w:ascii="Times New Roman" w:eastAsia="Times New Roman" w:hAnsi="Times New Roman" w:cs="Times New Roman"/>
          <w:sz w:val="20"/>
          <w:szCs w:val="20"/>
        </w:rPr>
        <w:t>A</w:t>
      </w:r>
      <w:r w:rsidRPr="00A9015F">
        <w:rPr>
          <w:rFonts w:ascii="Times New Roman" w:eastAsia="Times New Roman" w:hAnsi="Times New Roman" w:cs="Times New Roman"/>
          <w:sz w:val="20"/>
          <w:szCs w:val="20"/>
        </w:rPr>
        <w:t>.</w:t>
      </w:r>
    </w:p>
    <w:p w14:paraId="39A51ED0" w14:textId="77777777" w:rsidR="00A9015F" w:rsidRPr="00A9015F" w:rsidRDefault="00A9015F" w:rsidP="00A9015F">
      <w:pPr>
        <w:jc w:val="both"/>
        <w:rPr>
          <w:rFonts w:ascii="Times New Roman" w:eastAsia="Times New Roman" w:hAnsi="Times New Roman" w:cs="Times New Roman"/>
          <w:sz w:val="24"/>
          <w:szCs w:val="24"/>
        </w:rPr>
      </w:pPr>
    </w:p>
    <w:p w14:paraId="0E9BE4D0" w14:textId="77777777" w:rsidR="00A9015F" w:rsidRPr="00A9015F" w:rsidRDefault="00A9015F" w:rsidP="00A9015F">
      <w:pPr>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br w:type="page"/>
      </w:r>
    </w:p>
    <w:p w14:paraId="0DA5AB79" w14:textId="77777777" w:rsidR="00A9015F" w:rsidRPr="00A9015F" w:rsidRDefault="00A9015F" w:rsidP="00A9015F">
      <w:pPr>
        <w:jc w:val="both"/>
        <w:rPr>
          <w:rFonts w:ascii="Times New Roman" w:eastAsia="Times New Roman" w:hAnsi="Times New Roman" w:cs="Times New Roman"/>
          <w:sz w:val="24"/>
          <w:szCs w:val="24"/>
        </w:rPr>
      </w:pPr>
    </w:p>
    <w:p w14:paraId="27B0055E" w14:textId="77777777" w:rsidR="00A9015F" w:rsidRPr="009E69CE" w:rsidRDefault="00A9015F" w:rsidP="00A9015F">
      <w:pPr>
        <w:jc w:val="center"/>
        <w:rPr>
          <w:rFonts w:ascii="Times New Roman" w:eastAsia="Times New Roman" w:hAnsi="Times New Roman" w:cs="Times New Roman"/>
          <w:b/>
          <w:bCs/>
          <w:sz w:val="36"/>
          <w:szCs w:val="36"/>
        </w:rPr>
      </w:pPr>
      <w:r w:rsidRPr="009E69CE">
        <w:rPr>
          <w:rFonts w:ascii="Times New Roman" w:eastAsia="Times New Roman" w:hAnsi="Times New Roman" w:cs="Times New Roman"/>
          <w:b/>
          <w:bCs/>
          <w:sz w:val="36"/>
          <w:szCs w:val="36"/>
        </w:rPr>
        <w:t>Appendix</w:t>
      </w:r>
    </w:p>
    <w:p w14:paraId="26CABAC5" w14:textId="77777777" w:rsidR="00A9015F" w:rsidRPr="00A9015F" w:rsidRDefault="00A9015F" w:rsidP="00A9015F">
      <w:pPr>
        <w:jc w:val="both"/>
        <w:rPr>
          <w:rFonts w:ascii="Times New Roman" w:eastAsia="Times New Roman" w:hAnsi="Times New Roman" w:cs="Times New Roman"/>
          <w:b/>
          <w:bCs/>
          <w:i/>
          <w:iCs/>
          <w:sz w:val="24"/>
          <w:szCs w:val="24"/>
        </w:rPr>
      </w:pPr>
    </w:p>
    <w:p w14:paraId="286F8798" w14:textId="17B23725" w:rsidR="00A9015F" w:rsidRPr="009E69CE" w:rsidRDefault="00A9015F" w:rsidP="009E69CE">
      <w:pPr>
        <w:jc w:val="center"/>
        <w:rPr>
          <w:rFonts w:ascii="Times New Roman" w:eastAsia="Times New Roman" w:hAnsi="Times New Roman" w:cs="Times New Roman"/>
          <w:b/>
          <w:bCs/>
          <w:sz w:val="28"/>
          <w:szCs w:val="28"/>
        </w:rPr>
      </w:pPr>
      <w:r w:rsidRPr="009E69CE">
        <w:rPr>
          <w:rFonts w:ascii="Times New Roman" w:eastAsia="Times New Roman" w:hAnsi="Times New Roman" w:cs="Times New Roman"/>
          <w:b/>
          <w:bCs/>
          <w:sz w:val="28"/>
          <w:szCs w:val="28"/>
        </w:rPr>
        <w:t xml:space="preserve">Appendix </w:t>
      </w:r>
      <w:r w:rsidR="00E30E2D">
        <w:rPr>
          <w:rFonts w:ascii="Times New Roman" w:eastAsia="Times New Roman" w:hAnsi="Times New Roman" w:cs="Times New Roman"/>
          <w:b/>
          <w:bCs/>
          <w:sz w:val="28"/>
          <w:szCs w:val="28"/>
        </w:rPr>
        <w:t xml:space="preserve">A: </w:t>
      </w:r>
      <w:r w:rsidRPr="009E69CE">
        <w:rPr>
          <w:rFonts w:ascii="Times New Roman" w:eastAsia="Times New Roman" w:hAnsi="Times New Roman" w:cs="Times New Roman"/>
          <w:b/>
          <w:bCs/>
          <w:sz w:val="28"/>
          <w:szCs w:val="28"/>
        </w:rPr>
        <w:t>.List of sampled sanctions and sanctioning regulatory agencies</w:t>
      </w:r>
    </w:p>
    <w:tbl>
      <w:tblPr>
        <w:tblStyle w:val="TableGrid5"/>
        <w:tblpPr w:leftFromText="180" w:rightFromText="180" w:vertAnchor="text" w:horzAnchor="margin" w:tblpY="735"/>
        <w:tblW w:w="0" w:type="auto"/>
        <w:tblLook w:val="04A0" w:firstRow="1" w:lastRow="0" w:firstColumn="1" w:lastColumn="0" w:noHBand="0" w:noVBand="1"/>
      </w:tblPr>
      <w:tblGrid>
        <w:gridCol w:w="3107"/>
        <w:gridCol w:w="3108"/>
        <w:gridCol w:w="3108"/>
      </w:tblGrid>
      <w:tr w:rsidR="00A9015F" w:rsidRPr="001278ED" w14:paraId="2A242422" w14:textId="77777777" w:rsidTr="00E03CA2">
        <w:tc>
          <w:tcPr>
            <w:tcW w:w="3107" w:type="dxa"/>
          </w:tcPr>
          <w:p w14:paraId="59B1A7B6"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 xml:space="preserve">Sanction type </w:t>
            </w:r>
          </w:p>
        </w:tc>
        <w:tc>
          <w:tcPr>
            <w:tcW w:w="3108" w:type="dxa"/>
          </w:tcPr>
          <w:p w14:paraId="0F7BD4A0"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Sanction</w:t>
            </w:r>
          </w:p>
        </w:tc>
        <w:tc>
          <w:tcPr>
            <w:tcW w:w="3108" w:type="dxa"/>
          </w:tcPr>
          <w:p w14:paraId="1C98B9FF"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Sanctioning regulatory agency</w:t>
            </w:r>
          </w:p>
        </w:tc>
      </w:tr>
      <w:tr w:rsidR="00A9015F" w:rsidRPr="001278ED" w14:paraId="768EBE18" w14:textId="77777777" w:rsidTr="00E03CA2">
        <w:tc>
          <w:tcPr>
            <w:tcW w:w="3107" w:type="dxa"/>
          </w:tcPr>
          <w:p w14:paraId="478B048B"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Banking business violations</w:t>
            </w:r>
          </w:p>
        </w:tc>
        <w:tc>
          <w:tcPr>
            <w:tcW w:w="3108" w:type="dxa"/>
          </w:tcPr>
          <w:p w14:paraId="3B3A1A5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Banking violation</w:t>
            </w:r>
          </w:p>
        </w:tc>
        <w:tc>
          <w:tcPr>
            <w:tcW w:w="3108" w:type="dxa"/>
          </w:tcPr>
          <w:p w14:paraId="3F107CC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Office of the Comptroller of the Currency (OCC) Federal Reserve New York State Department of Financial Services (NYSDFS) New York County District Attorney (NYCDA)</w:t>
            </w:r>
          </w:p>
        </w:tc>
      </w:tr>
      <w:tr w:rsidR="00A9015F" w:rsidRPr="001278ED" w14:paraId="0BAE5C03" w14:textId="77777777" w:rsidTr="00E03CA2">
        <w:tc>
          <w:tcPr>
            <w:tcW w:w="3107" w:type="dxa"/>
          </w:tcPr>
          <w:p w14:paraId="5D1F9195"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1F20EC8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Anti-money laundering deficiency</w:t>
            </w:r>
          </w:p>
        </w:tc>
        <w:tc>
          <w:tcPr>
            <w:tcW w:w="3108" w:type="dxa"/>
          </w:tcPr>
          <w:p w14:paraId="4D1DCF8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Federal Reserve Justice Department Criminal Division New York State Department of Financial Services (NYSDFS)</w:t>
            </w:r>
          </w:p>
        </w:tc>
      </w:tr>
      <w:tr w:rsidR="00A9015F" w:rsidRPr="001278ED" w14:paraId="4BC18E9B" w14:textId="77777777" w:rsidTr="00E03CA2">
        <w:tc>
          <w:tcPr>
            <w:tcW w:w="3107" w:type="dxa"/>
          </w:tcPr>
          <w:p w14:paraId="3B0C91E4"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6C45B78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Fraud</w:t>
            </w:r>
          </w:p>
        </w:tc>
        <w:tc>
          <w:tcPr>
            <w:tcW w:w="3108" w:type="dxa"/>
          </w:tcPr>
          <w:p w14:paraId="499DF4B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Criminal Division</w:t>
            </w:r>
          </w:p>
        </w:tc>
      </w:tr>
      <w:tr w:rsidR="00A9015F" w:rsidRPr="001278ED" w14:paraId="7125DDFD" w14:textId="77777777" w:rsidTr="00E03CA2">
        <w:tc>
          <w:tcPr>
            <w:tcW w:w="3107" w:type="dxa"/>
          </w:tcPr>
          <w:p w14:paraId="5B88BBC1"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2797C71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Mortgage abuse</w:t>
            </w:r>
          </w:p>
        </w:tc>
        <w:tc>
          <w:tcPr>
            <w:tcW w:w="3108" w:type="dxa"/>
          </w:tcPr>
          <w:p w14:paraId="04BD670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US Attorney Justice Department multiagency referral</w:t>
            </w:r>
          </w:p>
        </w:tc>
      </w:tr>
      <w:tr w:rsidR="00A9015F" w:rsidRPr="001278ED" w14:paraId="75986D3B" w14:textId="77777777" w:rsidTr="00E03CA2">
        <w:tc>
          <w:tcPr>
            <w:tcW w:w="3107" w:type="dxa"/>
          </w:tcPr>
          <w:p w14:paraId="54C2356F"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3988CD59"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Financial institution supervision failure</w:t>
            </w:r>
          </w:p>
        </w:tc>
        <w:tc>
          <w:tcPr>
            <w:tcW w:w="3108" w:type="dxa"/>
          </w:tcPr>
          <w:p w14:paraId="503AA9F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Commodity Futures Trading Commission</w:t>
            </w:r>
          </w:p>
        </w:tc>
      </w:tr>
      <w:tr w:rsidR="00A9015F" w:rsidRPr="001278ED" w14:paraId="7C36A294" w14:textId="77777777" w:rsidTr="00E03CA2">
        <w:tc>
          <w:tcPr>
            <w:tcW w:w="3107" w:type="dxa"/>
          </w:tcPr>
          <w:p w14:paraId="73A36937"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5F085BB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Investor protection violation</w:t>
            </w:r>
          </w:p>
        </w:tc>
        <w:tc>
          <w:tcPr>
            <w:tcW w:w="3108" w:type="dxa"/>
          </w:tcPr>
          <w:p w14:paraId="5EB260C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Securities and Exchange Commission (SEC) Commodity Futures Trading Commission</w:t>
            </w:r>
          </w:p>
        </w:tc>
      </w:tr>
      <w:tr w:rsidR="00A9015F" w:rsidRPr="001278ED" w14:paraId="6237852F" w14:textId="77777777" w:rsidTr="00E03CA2">
        <w:tc>
          <w:tcPr>
            <w:tcW w:w="3107" w:type="dxa"/>
          </w:tcPr>
          <w:p w14:paraId="5707F922"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Economic sanction violations</w:t>
            </w:r>
          </w:p>
        </w:tc>
        <w:tc>
          <w:tcPr>
            <w:tcW w:w="3108" w:type="dxa"/>
          </w:tcPr>
          <w:p w14:paraId="67ED607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Economic sanction violation</w:t>
            </w:r>
          </w:p>
        </w:tc>
        <w:tc>
          <w:tcPr>
            <w:tcW w:w="3108" w:type="dxa"/>
          </w:tcPr>
          <w:p w14:paraId="1899E01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Criminal Division Office of Foreign Assets Control US Attorney</w:t>
            </w:r>
          </w:p>
        </w:tc>
      </w:tr>
      <w:tr w:rsidR="00A9015F" w:rsidRPr="001278ED" w14:paraId="19035E22" w14:textId="77777777" w:rsidTr="00E03CA2">
        <w:tc>
          <w:tcPr>
            <w:tcW w:w="3107" w:type="dxa"/>
          </w:tcPr>
          <w:p w14:paraId="06FD5550"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3FBE8D7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US sanction violation</w:t>
            </w:r>
          </w:p>
        </w:tc>
        <w:tc>
          <w:tcPr>
            <w:tcW w:w="3108" w:type="dxa"/>
          </w:tcPr>
          <w:p w14:paraId="0C46F3C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Office of Foreign Assets Control</w:t>
            </w:r>
          </w:p>
        </w:tc>
      </w:tr>
      <w:tr w:rsidR="00A9015F" w:rsidRPr="001278ED" w14:paraId="5A00D661" w14:textId="77777777" w:rsidTr="00E03CA2">
        <w:tc>
          <w:tcPr>
            <w:tcW w:w="3107" w:type="dxa"/>
          </w:tcPr>
          <w:p w14:paraId="313EF859"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Market violations</w:t>
            </w:r>
          </w:p>
        </w:tc>
        <w:tc>
          <w:tcPr>
            <w:tcW w:w="3108" w:type="dxa"/>
          </w:tcPr>
          <w:p w14:paraId="57CA386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Toxic securities abuse</w:t>
            </w:r>
          </w:p>
        </w:tc>
        <w:tc>
          <w:tcPr>
            <w:tcW w:w="3108" w:type="dxa"/>
          </w:tcPr>
          <w:p w14:paraId="03E3ECD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Federal Housing Finance Agency National Credit Union Administration US Attorney Justice Department Civil Division</w:t>
            </w:r>
          </w:p>
        </w:tc>
      </w:tr>
      <w:tr w:rsidR="00A9015F" w:rsidRPr="001278ED" w14:paraId="3111140E" w14:textId="77777777" w:rsidTr="00E03CA2">
        <w:tc>
          <w:tcPr>
            <w:tcW w:w="3107" w:type="dxa"/>
          </w:tcPr>
          <w:p w14:paraId="6D2D39E0"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7B12432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Securities issuance or trading violation</w:t>
            </w:r>
          </w:p>
        </w:tc>
        <w:tc>
          <w:tcPr>
            <w:tcW w:w="3108" w:type="dxa"/>
          </w:tcPr>
          <w:p w14:paraId="06A6337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Securities and Exchange Commission (SEC) Commodity Futures Trading Commission</w:t>
            </w:r>
          </w:p>
        </w:tc>
      </w:tr>
      <w:tr w:rsidR="00A9015F" w:rsidRPr="001278ED" w14:paraId="56279FBD" w14:textId="77777777" w:rsidTr="00E03CA2">
        <w:tc>
          <w:tcPr>
            <w:tcW w:w="3107" w:type="dxa"/>
          </w:tcPr>
          <w:p w14:paraId="773B1CEC"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31D180A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Interest rate benchmark manipulation</w:t>
            </w:r>
          </w:p>
        </w:tc>
        <w:tc>
          <w:tcPr>
            <w:tcW w:w="3108" w:type="dxa"/>
          </w:tcPr>
          <w:p w14:paraId="4D411DF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Criminal Division Commodity Futures Trading Commission Federal Reserve</w:t>
            </w:r>
          </w:p>
        </w:tc>
      </w:tr>
      <w:tr w:rsidR="00A9015F" w:rsidRPr="001278ED" w14:paraId="5D65B06F" w14:textId="77777777" w:rsidTr="00E03CA2">
        <w:tc>
          <w:tcPr>
            <w:tcW w:w="3107" w:type="dxa"/>
          </w:tcPr>
          <w:p w14:paraId="4927FE09"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1E497A1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Foreign exchange market manipulation</w:t>
            </w:r>
          </w:p>
        </w:tc>
        <w:tc>
          <w:tcPr>
            <w:tcW w:w="3108" w:type="dxa"/>
          </w:tcPr>
          <w:p w14:paraId="03DD572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Criminal Division Federal Reserve Justice Department Antitrust Division</w:t>
            </w:r>
          </w:p>
        </w:tc>
      </w:tr>
      <w:tr w:rsidR="00A9015F" w:rsidRPr="001278ED" w14:paraId="4F005DFD" w14:textId="77777777" w:rsidTr="00E03CA2">
        <w:tc>
          <w:tcPr>
            <w:tcW w:w="3107" w:type="dxa"/>
          </w:tcPr>
          <w:p w14:paraId="212E8BC9"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11B5625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Energy market manipulation</w:t>
            </w:r>
          </w:p>
        </w:tc>
        <w:tc>
          <w:tcPr>
            <w:tcW w:w="3108" w:type="dxa"/>
          </w:tcPr>
          <w:p w14:paraId="768B09B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Federal Energy Regulatory Commission</w:t>
            </w:r>
          </w:p>
        </w:tc>
      </w:tr>
      <w:tr w:rsidR="00A9015F" w:rsidRPr="001278ED" w14:paraId="778FB0CE" w14:textId="77777777" w:rsidTr="00E03CA2">
        <w:tc>
          <w:tcPr>
            <w:tcW w:w="3107" w:type="dxa"/>
          </w:tcPr>
          <w:p w14:paraId="5C2288DA"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Administrative violations</w:t>
            </w:r>
          </w:p>
        </w:tc>
        <w:tc>
          <w:tcPr>
            <w:tcW w:w="3108" w:type="dxa"/>
          </w:tcPr>
          <w:p w14:paraId="33E8FA2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Tax violation</w:t>
            </w:r>
          </w:p>
        </w:tc>
        <w:tc>
          <w:tcPr>
            <w:tcW w:w="3108" w:type="dxa"/>
          </w:tcPr>
          <w:p w14:paraId="0BD14D5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Tax Division US Attorney</w:t>
            </w:r>
          </w:p>
        </w:tc>
      </w:tr>
      <w:tr w:rsidR="00A9015F" w:rsidRPr="001278ED" w14:paraId="614C430B" w14:textId="77777777" w:rsidTr="00E03CA2">
        <w:tc>
          <w:tcPr>
            <w:tcW w:w="3107" w:type="dxa"/>
          </w:tcPr>
          <w:p w14:paraId="5E7EB842"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3E6FABB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Accounting fraud or deficiency</w:t>
            </w:r>
          </w:p>
        </w:tc>
        <w:tc>
          <w:tcPr>
            <w:tcW w:w="3108" w:type="dxa"/>
          </w:tcPr>
          <w:p w14:paraId="5D1A9ED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Commodity Futures Trading Commission</w:t>
            </w:r>
          </w:p>
        </w:tc>
      </w:tr>
      <w:tr w:rsidR="00A9015F" w:rsidRPr="001278ED" w14:paraId="33B2A6C2" w14:textId="77777777" w:rsidTr="00E03CA2">
        <w:tc>
          <w:tcPr>
            <w:tcW w:w="3107" w:type="dxa"/>
          </w:tcPr>
          <w:p w14:paraId="45B4EBE4"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48CA5D1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Falsification of records of NY financial institutions</w:t>
            </w:r>
          </w:p>
        </w:tc>
        <w:tc>
          <w:tcPr>
            <w:tcW w:w="3108" w:type="dxa"/>
          </w:tcPr>
          <w:p w14:paraId="1661742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New York County District Attorney (NYCDA)</w:t>
            </w:r>
          </w:p>
        </w:tc>
      </w:tr>
      <w:tr w:rsidR="00A9015F" w:rsidRPr="001278ED" w14:paraId="7546A65A" w14:textId="77777777" w:rsidTr="00E03CA2">
        <w:tc>
          <w:tcPr>
            <w:tcW w:w="3107" w:type="dxa"/>
          </w:tcPr>
          <w:p w14:paraId="67B43418"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073F71D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Data submission deficiency</w:t>
            </w:r>
          </w:p>
        </w:tc>
        <w:tc>
          <w:tcPr>
            <w:tcW w:w="3108" w:type="dxa"/>
          </w:tcPr>
          <w:p w14:paraId="27FECE8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Commodity Futures Trading Commission</w:t>
            </w:r>
          </w:p>
        </w:tc>
      </w:tr>
      <w:tr w:rsidR="00A9015F" w:rsidRPr="001278ED" w14:paraId="4522E495" w14:textId="77777777" w:rsidTr="00E03CA2">
        <w:tc>
          <w:tcPr>
            <w:tcW w:w="3107" w:type="dxa"/>
          </w:tcPr>
          <w:p w14:paraId="3268AE34"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74EFBCC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False Claims Act</w:t>
            </w:r>
          </w:p>
        </w:tc>
        <w:tc>
          <w:tcPr>
            <w:tcW w:w="3108" w:type="dxa"/>
          </w:tcPr>
          <w:p w14:paraId="2C293D5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Civil Division US Attorney</w:t>
            </w:r>
          </w:p>
        </w:tc>
      </w:tr>
      <w:tr w:rsidR="00A9015F" w:rsidRPr="001278ED" w14:paraId="5CF3C576" w14:textId="77777777" w:rsidTr="00E03CA2">
        <w:tc>
          <w:tcPr>
            <w:tcW w:w="3107" w:type="dxa"/>
          </w:tcPr>
          <w:p w14:paraId="66A807E3"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57436E8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Consumer protection violation</w:t>
            </w:r>
          </w:p>
        </w:tc>
        <w:tc>
          <w:tcPr>
            <w:tcW w:w="3108" w:type="dxa"/>
          </w:tcPr>
          <w:p w14:paraId="50F4DDF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Consumer Financial Protection Bureau</w:t>
            </w:r>
          </w:p>
        </w:tc>
      </w:tr>
      <w:tr w:rsidR="00A9015F" w:rsidRPr="001278ED" w14:paraId="7C2A3BAC" w14:textId="77777777" w:rsidTr="00E03CA2">
        <w:tc>
          <w:tcPr>
            <w:tcW w:w="3107" w:type="dxa"/>
          </w:tcPr>
          <w:p w14:paraId="0EEB2852"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6E768D3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Employment discrimination</w:t>
            </w:r>
          </w:p>
        </w:tc>
        <w:tc>
          <w:tcPr>
            <w:tcW w:w="3108" w:type="dxa"/>
          </w:tcPr>
          <w:p w14:paraId="551405A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Equal Employment Opportunity Commission</w:t>
            </w:r>
          </w:p>
        </w:tc>
      </w:tr>
      <w:tr w:rsidR="00A9015F" w:rsidRPr="001278ED" w14:paraId="01288FEA" w14:textId="77777777" w:rsidTr="00E03CA2">
        <w:tc>
          <w:tcPr>
            <w:tcW w:w="3107" w:type="dxa"/>
          </w:tcPr>
          <w:p w14:paraId="7B402B6B"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67CEA47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Benefit plan administrator violation</w:t>
            </w:r>
          </w:p>
        </w:tc>
        <w:tc>
          <w:tcPr>
            <w:tcW w:w="3108" w:type="dxa"/>
          </w:tcPr>
          <w:p w14:paraId="7D88B8D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Employee Benefits Security Administration</w:t>
            </w:r>
          </w:p>
        </w:tc>
      </w:tr>
      <w:tr w:rsidR="00A9015F" w:rsidRPr="001278ED" w14:paraId="6A43FA25" w14:textId="77777777" w:rsidTr="00E03CA2">
        <w:tc>
          <w:tcPr>
            <w:tcW w:w="3107" w:type="dxa"/>
          </w:tcPr>
          <w:p w14:paraId="0C25BC48"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1EB4D97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Wage and hour violation</w:t>
            </w:r>
          </w:p>
        </w:tc>
        <w:tc>
          <w:tcPr>
            <w:tcW w:w="3108" w:type="dxa"/>
          </w:tcPr>
          <w:p w14:paraId="1B06ADB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Labour Department Wage and Hour Division</w:t>
            </w:r>
          </w:p>
        </w:tc>
      </w:tr>
      <w:tr w:rsidR="00A9015F" w:rsidRPr="001278ED" w14:paraId="7B070CBD" w14:textId="77777777" w:rsidTr="00E03CA2">
        <w:tc>
          <w:tcPr>
            <w:tcW w:w="3107" w:type="dxa"/>
          </w:tcPr>
          <w:p w14:paraId="4CE054C4"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5520B3F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Workplace safety or health violation</w:t>
            </w:r>
          </w:p>
        </w:tc>
        <w:tc>
          <w:tcPr>
            <w:tcW w:w="3108" w:type="dxa"/>
          </w:tcPr>
          <w:p w14:paraId="62A5505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Occupational Safety &amp; Health Administration</w:t>
            </w:r>
          </w:p>
        </w:tc>
      </w:tr>
      <w:tr w:rsidR="00A9015F" w:rsidRPr="001278ED" w14:paraId="51CD0585" w14:textId="77777777" w:rsidTr="00E03CA2">
        <w:tc>
          <w:tcPr>
            <w:tcW w:w="3107" w:type="dxa"/>
          </w:tcPr>
          <w:p w14:paraId="58809C47"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58F8461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Servicemembers Civil Relief Act</w:t>
            </w:r>
          </w:p>
        </w:tc>
        <w:tc>
          <w:tcPr>
            <w:tcW w:w="3108" w:type="dxa"/>
          </w:tcPr>
          <w:p w14:paraId="47A64C6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Justice Department Civil Rights Division</w:t>
            </w:r>
          </w:p>
        </w:tc>
      </w:tr>
      <w:tr w:rsidR="00A9015F" w:rsidRPr="001278ED" w14:paraId="69D9F3C2" w14:textId="77777777" w:rsidTr="00E03CA2">
        <w:tc>
          <w:tcPr>
            <w:tcW w:w="3107" w:type="dxa"/>
          </w:tcPr>
          <w:p w14:paraId="4159A8D1" w14:textId="77777777" w:rsidR="00A9015F" w:rsidRPr="001278ED" w:rsidRDefault="00A9015F" w:rsidP="00A9015F">
            <w:pPr>
              <w:spacing w:after="160" w:line="259" w:lineRule="auto"/>
              <w:jc w:val="both"/>
              <w:rPr>
                <w:rFonts w:ascii="Times New Roman" w:hAnsi="Times New Roman"/>
                <w:sz w:val="20"/>
                <w:szCs w:val="20"/>
              </w:rPr>
            </w:pPr>
          </w:p>
        </w:tc>
        <w:tc>
          <w:tcPr>
            <w:tcW w:w="3108" w:type="dxa"/>
          </w:tcPr>
          <w:p w14:paraId="27AE2A2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Environmental violation</w:t>
            </w:r>
          </w:p>
        </w:tc>
        <w:tc>
          <w:tcPr>
            <w:tcW w:w="3108" w:type="dxa"/>
          </w:tcPr>
          <w:p w14:paraId="5F94C86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Environmental Protection Agency</w:t>
            </w:r>
          </w:p>
        </w:tc>
      </w:tr>
    </w:tbl>
    <w:p w14:paraId="6F41BE6A" w14:textId="77777777" w:rsidR="00A9015F" w:rsidRPr="001278ED" w:rsidRDefault="00A9015F" w:rsidP="00A9015F">
      <w:pPr>
        <w:jc w:val="both"/>
        <w:rPr>
          <w:rFonts w:ascii="Times New Roman" w:eastAsia="Times New Roman" w:hAnsi="Times New Roman" w:cs="Times New Roman"/>
          <w:b/>
          <w:bCs/>
          <w:i/>
          <w:iCs/>
          <w:sz w:val="20"/>
          <w:szCs w:val="20"/>
        </w:rPr>
      </w:pPr>
    </w:p>
    <w:p w14:paraId="4832DE25" w14:textId="77777777" w:rsidR="00A9015F" w:rsidRPr="001278ED" w:rsidRDefault="00A9015F" w:rsidP="00A9015F">
      <w:pPr>
        <w:jc w:val="both"/>
        <w:rPr>
          <w:rFonts w:ascii="Times New Roman" w:eastAsia="Times New Roman" w:hAnsi="Times New Roman" w:cs="Times New Roman"/>
          <w:b/>
          <w:bCs/>
          <w:i/>
          <w:iCs/>
          <w:sz w:val="20"/>
          <w:szCs w:val="20"/>
        </w:rPr>
      </w:pPr>
      <w:r w:rsidRPr="001278ED">
        <w:rPr>
          <w:rFonts w:ascii="Times New Roman" w:eastAsia="Times New Roman" w:hAnsi="Times New Roman" w:cs="Times New Roman"/>
          <w:b/>
          <w:bCs/>
          <w:i/>
          <w:iCs/>
          <w:sz w:val="20"/>
          <w:szCs w:val="20"/>
        </w:rPr>
        <w:t>Source (Arnaboldi et al., 2021)</w:t>
      </w:r>
      <w:r w:rsidRPr="001278ED">
        <w:rPr>
          <w:rFonts w:ascii="Times New Roman" w:eastAsia="Times New Roman" w:hAnsi="Times New Roman" w:cs="Times New Roman"/>
          <w:b/>
          <w:bCs/>
          <w:i/>
          <w:iCs/>
          <w:sz w:val="20"/>
          <w:szCs w:val="20"/>
        </w:rPr>
        <w:br w:type="page"/>
      </w:r>
    </w:p>
    <w:p w14:paraId="6281122C" w14:textId="1E446848" w:rsidR="00A9015F" w:rsidRPr="009E69CE" w:rsidRDefault="00A9015F" w:rsidP="009E69CE">
      <w:pPr>
        <w:rPr>
          <w:rFonts w:ascii="Times New Roman" w:eastAsia="Times New Roman" w:hAnsi="Times New Roman" w:cs="Times New Roman"/>
          <w:b/>
          <w:bCs/>
          <w:sz w:val="28"/>
          <w:szCs w:val="28"/>
        </w:rPr>
      </w:pPr>
      <w:r w:rsidRPr="009E69CE">
        <w:rPr>
          <w:rFonts w:ascii="Times New Roman" w:eastAsia="Times New Roman" w:hAnsi="Times New Roman" w:cs="Times New Roman"/>
          <w:b/>
          <w:bCs/>
          <w:sz w:val="28"/>
          <w:szCs w:val="28"/>
        </w:rPr>
        <w:t xml:space="preserve">Appendix </w:t>
      </w:r>
      <w:r w:rsidR="00E30E2D">
        <w:rPr>
          <w:rFonts w:ascii="Times New Roman" w:eastAsia="Times New Roman" w:hAnsi="Times New Roman" w:cs="Times New Roman"/>
          <w:b/>
          <w:bCs/>
          <w:sz w:val="28"/>
          <w:szCs w:val="28"/>
        </w:rPr>
        <w:t xml:space="preserve">B </w:t>
      </w:r>
      <w:r w:rsidRPr="009E69CE">
        <w:rPr>
          <w:rFonts w:ascii="Times New Roman" w:eastAsia="Times New Roman" w:hAnsi="Times New Roman" w:cs="Times New Roman"/>
          <w:b/>
          <w:bCs/>
          <w:sz w:val="28"/>
          <w:szCs w:val="28"/>
        </w:rPr>
        <w:t xml:space="preserve"> Variable definitions</w:t>
      </w:r>
    </w:p>
    <w:tbl>
      <w:tblPr>
        <w:tblStyle w:val="TableGrid5"/>
        <w:tblW w:w="10447" w:type="dxa"/>
        <w:tblInd w:w="-431" w:type="dxa"/>
        <w:tblLook w:val="04A0" w:firstRow="1" w:lastRow="0" w:firstColumn="1" w:lastColumn="0" w:noHBand="0" w:noVBand="1"/>
      </w:tblPr>
      <w:tblGrid>
        <w:gridCol w:w="4497"/>
        <w:gridCol w:w="5950"/>
      </w:tblGrid>
      <w:tr w:rsidR="00A9015F" w:rsidRPr="001278ED" w14:paraId="6F4786A9" w14:textId="77777777" w:rsidTr="00071AF6">
        <w:trPr>
          <w:trHeight w:val="283"/>
        </w:trPr>
        <w:tc>
          <w:tcPr>
            <w:tcW w:w="4497" w:type="dxa"/>
            <w:noWrap/>
            <w:hideMark/>
          </w:tcPr>
          <w:p w14:paraId="0CA30EEF"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Variable</w:t>
            </w:r>
          </w:p>
        </w:tc>
        <w:tc>
          <w:tcPr>
            <w:tcW w:w="5950" w:type="dxa"/>
          </w:tcPr>
          <w:p w14:paraId="66809E58"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Definition</w:t>
            </w:r>
          </w:p>
        </w:tc>
      </w:tr>
      <w:tr w:rsidR="00A9015F" w:rsidRPr="001278ED" w14:paraId="1B77905C" w14:textId="77777777" w:rsidTr="00071AF6">
        <w:trPr>
          <w:trHeight w:val="283"/>
        </w:trPr>
        <w:tc>
          <w:tcPr>
            <w:tcW w:w="4497" w:type="dxa"/>
            <w:noWrap/>
            <w:hideMark/>
          </w:tcPr>
          <w:p w14:paraId="2605E26E" w14:textId="77777777" w:rsidR="00A9015F" w:rsidRPr="001278ED" w:rsidRDefault="00A9015F" w:rsidP="00A9015F">
            <w:pPr>
              <w:spacing w:after="160" w:line="259" w:lineRule="auto"/>
              <w:jc w:val="both"/>
              <w:rPr>
                <w:rFonts w:ascii="Times New Roman" w:hAnsi="Times New Roman"/>
                <w:b/>
                <w:bCs/>
                <w:sz w:val="20"/>
                <w:szCs w:val="20"/>
              </w:rPr>
            </w:pPr>
          </w:p>
        </w:tc>
        <w:tc>
          <w:tcPr>
            <w:tcW w:w="5950" w:type="dxa"/>
          </w:tcPr>
          <w:p w14:paraId="4ACC5221" w14:textId="77777777" w:rsidR="00A9015F" w:rsidRPr="001278ED" w:rsidRDefault="00A9015F" w:rsidP="00A9015F">
            <w:pPr>
              <w:spacing w:after="160" w:line="259" w:lineRule="auto"/>
              <w:jc w:val="both"/>
              <w:rPr>
                <w:rFonts w:ascii="Times New Roman" w:hAnsi="Times New Roman"/>
                <w:sz w:val="20"/>
                <w:szCs w:val="20"/>
              </w:rPr>
            </w:pPr>
          </w:p>
        </w:tc>
      </w:tr>
      <w:tr w:rsidR="00A9015F" w:rsidRPr="001278ED" w14:paraId="4989E9F0" w14:textId="77777777" w:rsidTr="00071AF6">
        <w:trPr>
          <w:trHeight w:val="283"/>
        </w:trPr>
        <w:tc>
          <w:tcPr>
            <w:tcW w:w="4497" w:type="dxa"/>
            <w:noWrap/>
            <w:hideMark/>
          </w:tcPr>
          <w:p w14:paraId="54E9E12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Total Fine ($m)</w:t>
            </w:r>
          </w:p>
        </w:tc>
        <w:tc>
          <w:tcPr>
            <w:tcW w:w="5950" w:type="dxa"/>
          </w:tcPr>
          <w:p w14:paraId="2B6E824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Author's own calculation using violation tracker/regulatory agency website as used by Zaman et al. (2021) and Arnaboldi et al. (2021)</w:t>
            </w:r>
          </w:p>
        </w:tc>
      </w:tr>
      <w:tr w:rsidR="00A9015F" w:rsidRPr="001278ED" w14:paraId="32761EAD" w14:textId="77777777" w:rsidTr="00071AF6">
        <w:trPr>
          <w:trHeight w:val="283"/>
        </w:trPr>
        <w:tc>
          <w:tcPr>
            <w:tcW w:w="4497" w:type="dxa"/>
            <w:noWrap/>
            <w:hideMark/>
          </w:tcPr>
          <w:p w14:paraId="4AE082D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Total Fine</w:t>
            </w:r>
          </w:p>
        </w:tc>
        <w:tc>
          <w:tcPr>
            <w:tcW w:w="5950" w:type="dxa"/>
          </w:tcPr>
          <w:p w14:paraId="2208461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the variable Total Fine (Zaman et al., 2021)</w:t>
            </w:r>
          </w:p>
        </w:tc>
      </w:tr>
      <w:tr w:rsidR="00A9015F" w:rsidRPr="001278ED" w14:paraId="61E70EA2" w14:textId="77777777" w:rsidTr="00071AF6">
        <w:trPr>
          <w:trHeight w:val="283"/>
        </w:trPr>
        <w:tc>
          <w:tcPr>
            <w:tcW w:w="4497" w:type="dxa"/>
            <w:noWrap/>
            <w:hideMark/>
          </w:tcPr>
          <w:p w14:paraId="7883946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No of Fine</w:t>
            </w:r>
          </w:p>
        </w:tc>
        <w:tc>
          <w:tcPr>
            <w:tcW w:w="5950" w:type="dxa"/>
          </w:tcPr>
          <w:p w14:paraId="6AE1578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The number of fines (total) in a bank year. Authors' own calculation using violation tracker/regulatory agency website as used by Arnaboldi et al. (2021)</w:t>
            </w:r>
          </w:p>
        </w:tc>
      </w:tr>
      <w:tr w:rsidR="00A9015F" w:rsidRPr="001278ED" w14:paraId="052670B5" w14:textId="77777777" w:rsidTr="00071AF6">
        <w:trPr>
          <w:trHeight w:val="283"/>
        </w:trPr>
        <w:tc>
          <w:tcPr>
            <w:tcW w:w="4497" w:type="dxa"/>
            <w:noWrap/>
            <w:hideMark/>
          </w:tcPr>
          <w:p w14:paraId="7829592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No of Fine</w:t>
            </w:r>
          </w:p>
        </w:tc>
        <w:tc>
          <w:tcPr>
            <w:tcW w:w="5950" w:type="dxa"/>
          </w:tcPr>
          <w:p w14:paraId="654E3A7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the variable No of Fine (Zaman et al., 2021)</w:t>
            </w:r>
          </w:p>
        </w:tc>
      </w:tr>
      <w:tr w:rsidR="00A9015F" w:rsidRPr="001278ED" w14:paraId="1B546C3D" w14:textId="77777777" w:rsidTr="00071AF6">
        <w:trPr>
          <w:trHeight w:val="283"/>
        </w:trPr>
        <w:tc>
          <w:tcPr>
            <w:tcW w:w="4497" w:type="dxa"/>
            <w:noWrap/>
            <w:hideMark/>
          </w:tcPr>
          <w:p w14:paraId="2EBE721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 xml:space="preserve">Gender Heterogeneity </w:t>
            </w:r>
          </w:p>
        </w:tc>
        <w:tc>
          <w:tcPr>
            <w:tcW w:w="5950" w:type="dxa"/>
          </w:tcPr>
          <w:p w14:paraId="5B2AFDB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We construct a Blau index for gender heterogeneity of independent non-executive directors by following Radu and Samili (2021) Mollah et al. (2021).</w:t>
            </w:r>
          </w:p>
        </w:tc>
      </w:tr>
      <w:tr w:rsidR="00A9015F" w:rsidRPr="001278ED" w14:paraId="75BAED0C" w14:textId="77777777" w:rsidTr="00071AF6">
        <w:trPr>
          <w:trHeight w:val="283"/>
        </w:trPr>
        <w:tc>
          <w:tcPr>
            <w:tcW w:w="4497" w:type="dxa"/>
            <w:noWrap/>
            <w:hideMark/>
          </w:tcPr>
          <w:p w14:paraId="10C9255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Financial Expert Heterogeneity</w:t>
            </w:r>
          </w:p>
        </w:tc>
        <w:tc>
          <w:tcPr>
            <w:tcW w:w="5950" w:type="dxa"/>
          </w:tcPr>
          <w:p w14:paraId="0FA9875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We construct a Blau index for financial expertise of independent non-executive directors by following Fang et al. (2018) and Mollah et al (2021)</w:t>
            </w:r>
          </w:p>
        </w:tc>
      </w:tr>
      <w:tr w:rsidR="00A9015F" w:rsidRPr="001278ED" w14:paraId="3E3A879E" w14:textId="77777777" w:rsidTr="00071AF6">
        <w:trPr>
          <w:trHeight w:val="283"/>
        </w:trPr>
        <w:tc>
          <w:tcPr>
            <w:tcW w:w="4497" w:type="dxa"/>
            <w:noWrap/>
            <w:hideMark/>
          </w:tcPr>
          <w:p w14:paraId="1F24E5A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Tenure Heterogeneity</w:t>
            </w:r>
          </w:p>
        </w:tc>
        <w:tc>
          <w:tcPr>
            <w:tcW w:w="5950" w:type="dxa"/>
          </w:tcPr>
          <w:p w14:paraId="658A76D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 xml:space="preserve">By following Wahid et al. (2018), we calculate it as </w:t>
            </w:r>
          </w:p>
          <w:p w14:paraId="0BFE84D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CV =  mean/SD, where the mean and standard deviation is based on the tenures of each director on board of the bank</w:t>
            </w:r>
          </w:p>
        </w:tc>
      </w:tr>
      <w:tr w:rsidR="00A9015F" w:rsidRPr="001278ED" w14:paraId="2FD73377" w14:textId="77777777" w:rsidTr="00071AF6">
        <w:trPr>
          <w:trHeight w:val="283"/>
        </w:trPr>
        <w:tc>
          <w:tcPr>
            <w:tcW w:w="4497" w:type="dxa"/>
            <w:noWrap/>
            <w:hideMark/>
          </w:tcPr>
          <w:p w14:paraId="667180A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Heterogeneity Index</w:t>
            </w:r>
          </w:p>
        </w:tc>
        <w:tc>
          <w:tcPr>
            <w:tcW w:w="5950" w:type="dxa"/>
          </w:tcPr>
          <w:p w14:paraId="2B607E3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By following Mollah et al (2021) and Bernile et al. (2018), we normalize Gender INED Financial Expertise Heterogeneity, and INED Tenure Heterogeneity by its mean and standard deviation (i.e. STDZ) for scaling and equally weighting each of the three attributes to construct an INED Heterogeneity Index</w:t>
            </w:r>
          </w:p>
        </w:tc>
      </w:tr>
      <w:tr w:rsidR="00A9015F" w:rsidRPr="001278ED" w14:paraId="087BB878" w14:textId="77777777" w:rsidTr="00071AF6">
        <w:trPr>
          <w:trHeight w:val="283"/>
        </w:trPr>
        <w:tc>
          <w:tcPr>
            <w:tcW w:w="4497" w:type="dxa"/>
            <w:noWrap/>
            <w:hideMark/>
          </w:tcPr>
          <w:p w14:paraId="6DDE1F2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Board Independence</w:t>
            </w:r>
          </w:p>
        </w:tc>
        <w:tc>
          <w:tcPr>
            <w:tcW w:w="5950" w:type="dxa"/>
          </w:tcPr>
          <w:p w14:paraId="7D5D89C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Percentage of independent directors on the board</w:t>
            </w:r>
          </w:p>
        </w:tc>
      </w:tr>
      <w:tr w:rsidR="00A9015F" w:rsidRPr="001278ED" w14:paraId="7A0FAC2F" w14:textId="77777777" w:rsidTr="00071AF6">
        <w:trPr>
          <w:trHeight w:val="283"/>
        </w:trPr>
        <w:tc>
          <w:tcPr>
            <w:tcW w:w="4497" w:type="dxa"/>
            <w:noWrap/>
            <w:hideMark/>
          </w:tcPr>
          <w:p w14:paraId="0D607BF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Board Size</w:t>
            </w:r>
          </w:p>
        </w:tc>
        <w:tc>
          <w:tcPr>
            <w:tcW w:w="5950" w:type="dxa"/>
          </w:tcPr>
          <w:p w14:paraId="4981225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Total number of directors on the board</w:t>
            </w:r>
          </w:p>
        </w:tc>
      </w:tr>
      <w:tr w:rsidR="00A9015F" w:rsidRPr="001278ED" w14:paraId="28078A84" w14:textId="77777777" w:rsidTr="00071AF6">
        <w:trPr>
          <w:trHeight w:val="283"/>
        </w:trPr>
        <w:tc>
          <w:tcPr>
            <w:tcW w:w="4497" w:type="dxa"/>
            <w:noWrap/>
            <w:hideMark/>
          </w:tcPr>
          <w:p w14:paraId="464D90F1" w14:textId="77777777" w:rsidR="00A9015F" w:rsidRPr="001278ED" w:rsidRDefault="00A9015F" w:rsidP="00A9015F">
            <w:pPr>
              <w:spacing w:after="160" w:line="259" w:lineRule="auto"/>
              <w:jc w:val="both"/>
              <w:rPr>
                <w:rFonts w:ascii="Times New Roman" w:hAnsi="Times New Roman"/>
                <w:sz w:val="20"/>
                <w:szCs w:val="20"/>
              </w:rPr>
            </w:pPr>
          </w:p>
        </w:tc>
        <w:tc>
          <w:tcPr>
            <w:tcW w:w="5950" w:type="dxa"/>
          </w:tcPr>
          <w:p w14:paraId="28BE4FC9" w14:textId="77777777" w:rsidR="00A9015F" w:rsidRPr="001278ED" w:rsidRDefault="00A9015F" w:rsidP="00A9015F">
            <w:pPr>
              <w:spacing w:after="160" w:line="259" w:lineRule="auto"/>
              <w:jc w:val="both"/>
              <w:rPr>
                <w:rFonts w:ascii="Times New Roman" w:hAnsi="Times New Roman"/>
                <w:sz w:val="20"/>
                <w:szCs w:val="20"/>
              </w:rPr>
            </w:pPr>
          </w:p>
        </w:tc>
      </w:tr>
      <w:tr w:rsidR="00A9015F" w:rsidRPr="001278ED" w14:paraId="57440CAA" w14:textId="77777777" w:rsidTr="00071AF6">
        <w:trPr>
          <w:trHeight w:val="283"/>
        </w:trPr>
        <w:tc>
          <w:tcPr>
            <w:tcW w:w="4497" w:type="dxa"/>
            <w:noWrap/>
            <w:hideMark/>
          </w:tcPr>
          <w:p w14:paraId="4459C22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Board Size</w:t>
            </w:r>
          </w:p>
        </w:tc>
        <w:tc>
          <w:tcPr>
            <w:tcW w:w="5950" w:type="dxa"/>
          </w:tcPr>
          <w:p w14:paraId="4279D74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number of directors on the board</w:t>
            </w:r>
          </w:p>
        </w:tc>
      </w:tr>
      <w:tr w:rsidR="00A9015F" w:rsidRPr="001278ED" w14:paraId="766F8BFE" w14:textId="77777777" w:rsidTr="00071AF6">
        <w:trPr>
          <w:trHeight w:val="283"/>
        </w:trPr>
        <w:tc>
          <w:tcPr>
            <w:tcW w:w="4497" w:type="dxa"/>
            <w:noWrap/>
            <w:hideMark/>
          </w:tcPr>
          <w:p w14:paraId="68A6C21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CEO Tenure</w:t>
            </w:r>
          </w:p>
        </w:tc>
        <w:tc>
          <w:tcPr>
            <w:tcW w:w="5950" w:type="dxa"/>
          </w:tcPr>
          <w:p w14:paraId="6071524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Tenure of CEO in years</w:t>
            </w:r>
          </w:p>
        </w:tc>
      </w:tr>
      <w:tr w:rsidR="00A9015F" w:rsidRPr="001278ED" w14:paraId="364C4F69" w14:textId="77777777" w:rsidTr="00071AF6">
        <w:trPr>
          <w:trHeight w:val="283"/>
        </w:trPr>
        <w:tc>
          <w:tcPr>
            <w:tcW w:w="4497" w:type="dxa"/>
            <w:noWrap/>
            <w:hideMark/>
          </w:tcPr>
          <w:p w14:paraId="305A93A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ROA</w:t>
            </w:r>
          </w:p>
        </w:tc>
        <w:tc>
          <w:tcPr>
            <w:tcW w:w="5950" w:type="dxa"/>
          </w:tcPr>
          <w:p w14:paraId="1DE005D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The ratio of net income to total assets</w:t>
            </w:r>
          </w:p>
        </w:tc>
      </w:tr>
      <w:tr w:rsidR="00A9015F" w:rsidRPr="001278ED" w14:paraId="7E7BDB13" w14:textId="77777777" w:rsidTr="00071AF6">
        <w:trPr>
          <w:trHeight w:val="283"/>
        </w:trPr>
        <w:tc>
          <w:tcPr>
            <w:tcW w:w="4497" w:type="dxa"/>
            <w:noWrap/>
            <w:hideMark/>
          </w:tcPr>
          <w:p w14:paraId="288F4E3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Total Assets</w:t>
            </w:r>
          </w:p>
        </w:tc>
        <w:tc>
          <w:tcPr>
            <w:tcW w:w="5950" w:type="dxa"/>
          </w:tcPr>
          <w:p w14:paraId="1CB8F42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Total assets ($m)</w:t>
            </w:r>
          </w:p>
        </w:tc>
      </w:tr>
      <w:tr w:rsidR="00A9015F" w:rsidRPr="001278ED" w14:paraId="06DFA193" w14:textId="77777777" w:rsidTr="00071AF6">
        <w:trPr>
          <w:trHeight w:val="283"/>
        </w:trPr>
        <w:tc>
          <w:tcPr>
            <w:tcW w:w="4497" w:type="dxa"/>
            <w:noWrap/>
            <w:hideMark/>
          </w:tcPr>
          <w:p w14:paraId="709076B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TA</w:t>
            </w:r>
          </w:p>
        </w:tc>
        <w:tc>
          <w:tcPr>
            <w:tcW w:w="5950" w:type="dxa"/>
          </w:tcPr>
          <w:p w14:paraId="71272C69"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Log of total assets</w:t>
            </w:r>
          </w:p>
        </w:tc>
      </w:tr>
      <w:tr w:rsidR="00A9015F" w:rsidRPr="001278ED" w14:paraId="61938996" w14:textId="77777777" w:rsidTr="00071AF6">
        <w:trPr>
          <w:trHeight w:val="283"/>
        </w:trPr>
        <w:tc>
          <w:tcPr>
            <w:tcW w:w="4497" w:type="dxa"/>
            <w:noWrap/>
            <w:hideMark/>
          </w:tcPr>
          <w:p w14:paraId="4C46276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Leverage to TA</w:t>
            </w:r>
          </w:p>
        </w:tc>
        <w:tc>
          <w:tcPr>
            <w:tcW w:w="5950" w:type="dxa"/>
          </w:tcPr>
          <w:p w14:paraId="3A6220D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Total Debt to total assets</w:t>
            </w:r>
          </w:p>
        </w:tc>
      </w:tr>
      <w:tr w:rsidR="00A9015F" w:rsidRPr="001278ED" w14:paraId="6F736CF6" w14:textId="77777777" w:rsidTr="00071AF6">
        <w:trPr>
          <w:trHeight w:val="283"/>
        </w:trPr>
        <w:tc>
          <w:tcPr>
            <w:tcW w:w="4497" w:type="dxa"/>
            <w:noWrap/>
          </w:tcPr>
          <w:p w14:paraId="74122E6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Charter Value</w:t>
            </w:r>
          </w:p>
        </w:tc>
        <w:tc>
          <w:tcPr>
            <w:tcW w:w="5950" w:type="dxa"/>
          </w:tcPr>
          <w:p w14:paraId="788A5F3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Market value of equity to book value of equity</w:t>
            </w:r>
          </w:p>
        </w:tc>
      </w:tr>
      <w:tr w:rsidR="00A9015F" w:rsidRPr="001278ED" w14:paraId="5352DF5E" w14:textId="77777777" w:rsidTr="00071AF6">
        <w:trPr>
          <w:trHeight w:val="283"/>
        </w:trPr>
        <w:tc>
          <w:tcPr>
            <w:tcW w:w="4497" w:type="dxa"/>
            <w:noWrap/>
            <w:hideMark/>
          </w:tcPr>
          <w:p w14:paraId="3A280B2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 xml:space="preserve">Capital </w:t>
            </w:r>
          </w:p>
        </w:tc>
        <w:tc>
          <w:tcPr>
            <w:tcW w:w="5950" w:type="dxa"/>
          </w:tcPr>
          <w:p w14:paraId="2D41E09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Tier1 ratio</w:t>
            </w:r>
          </w:p>
        </w:tc>
      </w:tr>
      <w:tr w:rsidR="00A9015F" w:rsidRPr="001278ED" w14:paraId="546D8280" w14:textId="77777777" w:rsidTr="00071AF6">
        <w:trPr>
          <w:trHeight w:val="283"/>
        </w:trPr>
        <w:tc>
          <w:tcPr>
            <w:tcW w:w="4497" w:type="dxa"/>
            <w:noWrap/>
            <w:hideMark/>
          </w:tcPr>
          <w:p w14:paraId="2D500E6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Risk</w:t>
            </w:r>
          </w:p>
        </w:tc>
        <w:tc>
          <w:tcPr>
            <w:tcW w:w="5950" w:type="dxa"/>
          </w:tcPr>
          <w:p w14:paraId="7345B63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The ratio of nonperforming loans to total assets</w:t>
            </w:r>
          </w:p>
        </w:tc>
      </w:tr>
      <w:tr w:rsidR="00A9015F" w:rsidRPr="001278ED" w14:paraId="5C41C6E0" w14:textId="77777777" w:rsidTr="00071AF6">
        <w:trPr>
          <w:trHeight w:val="283"/>
        </w:trPr>
        <w:tc>
          <w:tcPr>
            <w:tcW w:w="4497" w:type="dxa"/>
            <w:noWrap/>
            <w:hideMark/>
          </w:tcPr>
          <w:p w14:paraId="08344CD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Growth</w:t>
            </w:r>
          </w:p>
        </w:tc>
        <w:tc>
          <w:tcPr>
            <w:tcW w:w="5950" w:type="dxa"/>
          </w:tcPr>
          <w:p w14:paraId="5974432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Percentage change in total assets over the year</w:t>
            </w:r>
          </w:p>
        </w:tc>
      </w:tr>
    </w:tbl>
    <w:p w14:paraId="18054063" w14:textId="4DA1D38A" w:rsidR="00A9015F" w:rsidRPr="009E69CE" w:rsidRDefault="00A9015F" w:rsidP="00A9015F">
      <w:pPr>
        <w:jc w:val="both"/>
        <w:rPr>
          <w:rFonts w:ascii="Times New Roman" w:eastAsia="Times New Roman" w:hAnsi="Times New Roman" w:cs="Times New Roman"/>
          <w:b/>
          <w:bCs/>
          <w:sz w:val="28"/>
          <w:szCs w:val="28"/>
        </w:rPr>
      </w:pPr>
      <w:r w:rsidRPr="00A9015F">
        <w:rPr>
          <w:rFonts w:ascii="Times New Roman" w:eastAsia="Times New Roman" w:hAnsi="Times New Roman" w:cs="Times New Roman"/>
          <w:sz w:val="24"/>
          <w:szCs w:val="24"/>
        </w:rPr>
        <w:br w:type="page"/>
      </w:r>
      <w:r w:rsidRPr="009E69CE">
        <w:rPr>
          <w:rFonts w:ascii="Times New Roman" w:eastAsia="Times New Roman" w:hAnsi="Times New Roman" w:cs="Times New Roman"/>
          <w:b/>
          <w:bCs/>
          <w:sz w:val="28"/>
          <w:szCs w:val="28"/>
        </w:rPr>
        <w:t xml:space="preserve">Appendix </w:t>
      </w:r>
      <w:r w:rsidR="00E30E2D">
        <w:rPr>
          <w:rFonts w:ascii="Times New Roman" w:eastAsia="Times New Roman" w:hAnsi="Times New Roman" w:cs="Times New Roman"/>
          <w:b/>
          <w:bCs/>
          <w:sz w:val="28"/>
          <w:szCs w:val="28"/>
        </w:rPr>
        <w:t>C</w:t>
      </w:r>
      <w:r w:rsidR="00DA161D" w:rsidRPr="009E69CE">
        <w:rPr>
          <w:rFonts w:ascii="Times New Roman" w:eastAsia="Times New Roman" w:hAnsi="Times New Roman" w:cs="Times New Roman"/>
          <w:b/>
          <w:bCs/>
          <w:sz w:val="28"/>
          <w:szCs w:val="28"/>
        </w:rPr>
        <w:t>.</w:t>
      </w:r>
      <w:r w:rsidRPr="009E69CE">
        <w:rPr>
          <w:rFonts w:ascii="Times New Roman" w:eastAsia="Times New Roman" w:hAnsi="Times New Roman" w:cs="Times New Roman"/>
          <w:b/>
          <w:bCs/>
          <w:sz w:val="28"/>
          <w:szCs w:val="28"/>
        </w:rPr>
        <w:t>: Correlation Matrix:</w:t>
      </w:r>
    </w:p>
    <w:tbl>
      <w:tblPr>
        <w:tblStyle w:val="TableGrid5"/>
        <w:tblpPr w:leftFromText="180" w:rightFromText="180" w:vertAnchor="page" w:horzAnchor="page" w:tblpX="673" w:tblpY="3157"/>
        <w:tblW w:w="9351" w:type="dxa"/>
        <w:tblLayout w:type="fixed"/>
        <w:tblLook w:val="04A0" w:firstRow="1" w:lastRow="0" w:firstColumn="1" w:lastColumn="0" w:noHBand="0" w:noVBand="1"/>
      </w:tblPr>
      <w:tblGrid>
        <w:gridCol w:w="1838"/>
        <w:gridCol w:w="1134"/>
        <w:gridCol w:w="1134"/>
        <w:gridCol w:w="1134"/>
        <w:gridCol w:w="1134"/>
        <w:gridCol w:w="992"/>
        <w:gridCol w:w="1134"/>
        <w:gridCol w:w="851"/>
      </w:tblGrid>
      <w:tr w:rsidR="00A9015F" w:rsidRPr="00A9015F" w14:paraId="608C9099" w14:textId="77777777" w:rsidTr="00E30E2D">
        <w:trPr>
          <w:trHeight w:val="213"/>
        </w:trPr>
        <w:tc>
          <w:tcPr>
            <w:tcW w:w="1838" w:type="dxa"/>
          </w:tcPr>
          <w:p w14:paraId="1C83DA74"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0960485F"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(1)</w:t>
            </w:r>
          </w:p>
        </w:tc>
        <w:tc>
          <w:tcPr>
            <w:tcW w:w="1134" w:type="dxa"/>
          </w:tcPr>
          <w:p w14:paraId="4DC508C7"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(2)</w:t>
            </w:r>
          </w:p>
        </w:tc>
        <w:tc>
          <w:tcPr>
            <w:tcW w:w="1134" w:type="dxa"/>
          </w:tcPr>
          <w:p w14:paraId="1AEE90D6"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(3)</w:t>
            </w:r>
          </w:p>
        </w:tc>
        <w:tc>
          <w:tcPr>
            <w:tcW w:w="1134" w:type="dxa"/>
          </w:tcPr>
          <w:p w14:paraId="4D3733B7"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(4)</w:t>
            </w:r>
          </w:p>
        </w:tc>
        <w:tc>
          <w:tcPr>
            <w:tcW w:w="992" w:type="dxa"/>
          </w:tcPr>
          <w:p w14:paraId="59C7C261"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(5)</w:t>
            </w:r>
          </w:p>
        </w:tc>
        <w:tc>
          <w:tcPr>
            <w:tcW w:w="1134" w:type="dxa"/>
          </w:tcPr>
          <w:p w14:paraId="5F78E757"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(6)</w:t>
            </w:r>
          </w:p>
        </w:tc>
        <w:tc>
          <w:tcPr>
            <w:tcW w:w="851" w:type="dxa"/>
          </w:tcPr>
          <w:p w14:paraId="3C4FE838"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1904C7B6" w14:textId="77777777" w:rsidTr="00E30E2D">
        <w:trPr>
          <w:trHeight w:val="213"/>
        </w:trPr>
        <w:tc>
          <w:tcPr>
            <w:tcW w:w="1838" w:type="dxa"/>
          </w:tcPr>
          <w:p w14:paraId="0B9418C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 Total Fine</w:t>
            </w:r>
          </w:p>
        </w:tc>
        <w:tc>
          <w:tcPr>
            <w:tcW w:w="1134" w:type="dxa"/>
          </w:tcPr>
          <w:p w14:paraId="4B87199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18ED1EB5"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5BBFB45C"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64770682" w14:textId="77777777" w:rsidR="00A9015F" w:rsidRPr="001278ED" w:rsidRDefault="00A9015F" w:rsidP="00A9015F">
            <w:pPr>
              <w:spacing w:after="160" w:line="259" w:lineRule="auto"/>
              <w:jc w:val="both"/>
              <w:rPr>
                <w:rFonts w:ascii="Times New Roman" w:hAnsi="Times New Roman"/>
                <w:sz w:val="20"/>
                <w:szCs w:val="20"/>
              </w:rPr>
            </w:pPr>
          </w:p>
        </w:tc>
        <w:tc>
          <w:tcPr>
            <w:tcW w:w="992" w:type="dxa"/>
          </w:tcPr>
          <w:p w14:paraId="4541A84E"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02E29494"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496A95E1"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765438F0" w14:textId="77777777" w:rsidTr="00E30E2D">
        <w:trPr>
          <w:trHeight w:val="427"/>
        </w:trPr>
        <w:tc>
          <w:tcPr>
            <w:tcW w:w="1838" w:type="dxa"/>
          </w:tcPr>
          <w:p w14:paraId="676E5BF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2. Gender Heterogeneity</w:t>
            </w:r>
          </w:p>
        </w:tc>
        <w:tc>
          <w:tcPr>
            <w:tcW w:w="1134" w:type="dxa"/>
          </w:tcPr>
          <w:p w14:paraId="0FCB248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-0.248***</w:t>
            </w:r>
          </w:p>
        </w:tc>
        <w:tc>
          <w:tcPr>
            <w:tcW w:w="1134" w:type="dxa"/>
          </w:tcPr>
          <w:p w14:paraId="7F45AE1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2F3511D5"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21F9F1EC" w14:textId="77777777" w:rsidR="00A9015F" w:rsidRPr="001278ED" w:rsidRDefault="00A9015F" w:rsidP="00A9015F">
            <w:pPr>
              <w:spacing w:after="160" w:line="259" w:lineRule="auto"/>
              <w:jc w:val="both"/>
              <w:rPr>
                <w:rFonts w:ascii="Times New Roman" w:hAnsi="Times New Roman"/>
                <w:sz w:val="20"/>
                <w:szCs w:val="20"/>
              </w:rPr>
            </w:pPr>
          </w:p>
        </w:tc>
        <w:tc>
          <w:tcPr>
            <w:tcW w:w="992" w:type="dxa"/>
          </w:tcPr>
          <w:p w14:paraId="0CC2A089"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21956B48"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7C4175E1"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2A94CD13" w14:textId="77777777" w:rsidTr="00E30E2D">
        <w:trPr>
          <w:trHeight w:val="652"/>
        </w:trPr>
        <w:tc>
          <w:tcPr>
            <w:tcW w:w="1838" w:type="dxa"/>
          </w:tcPr>
          <w:p w14:paraId="1819474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3. Financial Expert Heterogeneity</w:t>
            </w:r>
          </w:p>
        </w:tc>
        <w:tc>
          <w:tcPr>
            <w:tcW w:w="1134" w:type="dxa"/>
          </w:tcPr>
          <w:p w14:paraId="1CD10F0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-0.150***</w:t>
            </w:r>
          </w:p>
        </w:tc>
        <w:tc>
          <w:tcPr>
            <w:tcW w:w="1134" w:type="dxa"/>
          </w:tcPr>
          <w:p w14:paraId="1B3AEA1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0.261***</w:t>
            </w:r>
          </w:p>
        </w:tc>
        <w:tc>
          <w:tcPr>
            <w:tcW w:w="1134" w:type="dxa"/>
          </w:tcPr>
          <w:p w14:paraId="3E327C8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31E0CFB1" w14:textId="77777777" w:rsidR="00A9015F" w:rsidRPr="001278ED" w:rsidRDefault="00A9015F" w:rsidP="00A9015F">
            <w:pPr>
              <w:spacing w:after="160" w:line="259" w:lineRule="auto"/>
              <w:jc w:val="both"/>
              <w:rPr>
                <w:rFonts w:ascii="Times New Roman" w:hAnsi="Times New Roman"/>
                <w:sz w:val="20"/>
                <w:szCs w:val="20"/>
              </w:rPr>
            </w:pPr>
          </w:p>
        </w:tc>
        <w:tc>
          <w:tcPr>
            <w:tcW w:w="992" w:type="dxa"/>
          </w:tcPr>
          <w:p w14:paraId="188C820F"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61663B3C"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29FB5912"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0245C71D" w14:textId="77777777" w:rsidTr="00E30E2D">
        <w:trPr>
          <w:trHeight w:val="427"/>
        </w:trPr>
        <w:tc>
          <w:tcPr>
            <w:tcW w:w="1838" w:type="dxa"/>
          </w:tcPr>
          <w:p w14:paraId="298C1AF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4. Tenure Heterogeneity</w:t>
            </w:r>
          </w:p>
        </w:tc>
        <w:tc>
          <w:tcPr>
            <w:tcW w:w="1134" w:type="dxa"/>
          </w:tcPr>
          <w:p w14:paraId="7EF306A9"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0.047***</w:t>
            </w:r>
          </w:p>
        </w:tc>
        <w:tc>
          <w:tcPr>
            <w:tcW w:w="1134" w:type="dxa"/>
          </w:tcPr>
          <w:p w14:paraId="4C53838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-0.247***</w:t>
            </w:r>
          </w:p>
        </w:tc>
        <w:tc>
          <w:tcPr>
            <w:tcW w:w="1134" w:type="dxa"/>
          </w:tcPr>
          <w:p w14:paraId="3AEA58F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-0.057***</w:t>
            </w:r>
          </w:p>
        </w:tc>
        <w:tc>
          <w:tcPr>
            <w:tcW w:w="1134" w:type="dxa"/>
          </w:tcPr>
          <w:p w14:paraId="4B63E40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992" w:type="dxa"/>
          </w:tcPr>
          <w:p w14:paraId="522FDAC0"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10E7DB68"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29D8EE96"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2CB2AF28" w14:textId="77777777" w:rsidTr="00E30E2D">
        <w:trPr>
          <w:trHeight w:val="427"/>
        </w:trPr>
        <w:tc>
          <w:tcPr>
            <w:tcW w:w="1838" w:type="dxa"/>
          </w:tcPr>
          <w:p w14:paraId="49F4561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5. Heterogeneity Index</w:t>
            </w:r>
          </w:p>
        </w:tc>
        <w:tc>
          <w:tcPr>
            <w:tcW w:w="1134" w:type="dxa"/>
          </w:tcPr>
          <w:p w14:paraId="3D98615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0.071***</w:t>
            </w:r>
          </w:p>
        </w:tc>
        <w:tc>
          <w:tcPr>
            <w:tcW w:w="1134" w:type="dxa"/>
          </w:tcPr>
          <w:p w14:paraId="19DA358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0.484***</w:t>
            </w:r>
          </w:p>
        </w:tc>
        <w:tc>
          <w:tcPr>
            <w:tcW w:w="1134" w:type="dxa"/>
          </w:tcPr>
          <w:p w14:paraId="6344FC8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-0.657***</w:t>
            </w:r>
          </w:p>
        </w:tc>
        <w:tc>
          <w:tcPr>
            <w:tcW w:w="1134" w:type="dxa"/>
          </w:tcPr>
          <w:p w14:paraId="6898712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0.099***</w:t>
            </w:r>
          </w:p>
        </w:tc>
        <w:tc>
          <w:tcPr>
            <w:tcW w:w="992" w:type="dxa"/>
          </w:tcPr>
          <w:p w14:paraId="3B39C22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31DA3BF8"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1C3B5EDB"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6C451E37" w14:textId="77777777" w:rsidTr="00E30E2D">
        <w:trPr>
          <w:trHeight w:val="652"/>
        </w:trPr>
        <w:tc>
          <w:tcPr>
            <w:tcW w:w="1838" w:type="dxa"/>
          </w:tcPr>
          <w:p w14:paraId="5DF662D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6. Board Size</w:t>
            </w:r>
          </w:p>
        </w:tc>
        <w:tc>
          <w:tcPr>
            <w:tcW w:w="1134" w:type="dxa"/>
          </w:tcPr>
          <w:p w14:paraId="503A3BE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0.173***</w:t>
            </w:r>
          </w:p>
        </w:tc>
        <w:tc>
          <w:tcPr>
            <w:tcW w:w="1134" w:type="dxa"/>
          </w:tcPr>
          <w:p w14:paraId="6519D5E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0.105***</w:t>
            </w:r>
          </w:p>
        </w:tc>
        <w:tc>
          <w:tcPr>
            <w:tcW w:w="1134" w:type="dxa"/>
          </w:tcPr>
          <w:p w14:paraId="2B30D55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-0.190***</w:t>
            </w:r>
          </w:p>
        </w:tc>
        <w:tc>
          <w:tcPr>
            <w:tcW w:w="1134" w:type="dxa"/>
          </w:tcPr>
          <w:p w14:paraId="0B75483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-0.0445</w:t>
            </w:r>
          </w:p>
        </w:tc>
        <w:tc>
          <w:tcPr>
            <w:tcW w:w="992" w:type="dxa"/>
          </w:tcPr>
          <w:p w14:paraId="2D5F549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-0.237***</w:t>
            </w:r>
          </w:p>
        </w:tc>
        <w:tc>
          <w:tcPr>
            <w:tcW w:w="1134" w:type="dxa"/>
          </w:tcPr>
          <w:p w14:paraId="3D3E22E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851" w:type="dxa"/>
          </w:tcPr>
          <w:p w14:paraId="13CE4BF8"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49AC20FC" w14:textId="77777777" w:rsidTr="00E30E2D">
        <w:trPr>
          <w:trHeight w:val="427"/>
        </w:trPr>
        <w:tc>
          <w:tcPr>
            <w:tcW w:w="1838" w:type="dxa"/>
          </w:tcPr>
          <w:p w14:paraId="32A51BD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7. CEO Tenure</w:t>
            </w:r>
          </w:p>
        </w:tc>
        <w:tc>
          <w:tcPr>
            <w:tcW w:w="1134" w:type="dxa"/>
          </w:tcPr>
          <w:p w14:paraId="032ADF1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-0.147***</w:t>
            </w:r>
          </w:p>
        </w:tc>
        <w:tc>
          <w:tcPr>
            <w:tcW w:w="1134" w:type="dxa"/>
          </w:tcPr>
          <w:p w14:paraId="1EBDBEE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-0.071***</w:t>
            </w:r>
          </w:p>
        </w:tc>
        <w:tc>
          <w:tcPr>
            <w:tcW w:w="1134" w:type="dxa"/>
          </w:tcPr>
          <w:p w14:paraId="7051E20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-0.086***</w:t>
            </w:r>
          </w:p>
        </w:tc>
        <w:tc>
          <w:tcPr>
            <w:tcW w:w="1134" w:type="dxa"/>
          </w:tcPr>
          <w:p w14:paraId="1058771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0.016***</w:t>
            </w:r>
          </w:p>
        </w:tc>
        <w:tc>
          <w:tcPr>
            <w:tcW w:w="992" w:type="dxa"/>
          </w:tcPr>
          <w:p w14:paraId="2CDE6E4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0.024***</w:t>
            </w:r>
          </w:p>
        </w:tc>
        <w:tc>
          <w:tcPr>
            <w:tcW w:w="1134" w:type="dxa"/>
          </w:tcPr>
          <w:p w14:paraId="6C394BF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-0.085***</w:t>
            </w:r>
          </w:p>
        </w:tc>
        <w:tc>
          <w:tcPr>
            <w:tcW w:w="851" w:type="dxa"/>
          </w:tcPr>
          <w:p w14:paraId="6D2543EF"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1926D935" w14:textId="77777777" w:rsidTr="00E30E2D">
        <w:trPr>
          <w:trHeight w:val="427"/>
        </w:trPr>
        <w:tc>
          <w:tcPr>
            <w:tcW w:w="1838" w:type="dxa"/>
          </w:tcPr>
          <w:p w14:paraId="6B7A327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8. ROA</w:t>
            </w:r>
          </w:p>
        </w:tc>
        <w:tc>
          <w:tcPr>
            <w:tcW w:w="1134" w:type="dxa"/>
          </w:tcPr>
          <w:p w14:paraId="49EE238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0.027</w:t>
            </w:r>
          </w:p>
        </w:tc>
        <w:tc>
          <w:tcPr>
            <w:tcW w:w="1134" w:type="dxa"/>
          </w:tcPr>
          <w:p w14:paraId="4FD5729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0.114***</w:t>
            </w:r>
          </w:p>
        </w:tc>
        <w:tc>
          <w:tcPr>
            <w:tcW w:w="1134" w:type="dxa"/>
          </w:tcPr>
          <w:p w14:paraId="4A9908E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-0.069***</w:t>
            </w:r>
          </w:p>
        </w:tc>
        <w:tc>
          <w:tcPr>
            <w:tcW w:w="1134" w:type="dxa"/>
          </w:tcPr>
          <w:p w14:paraId="6BF86DA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-0.053</w:t>
            </w:r>
          </w:p>
        </w:tc>
        <w:tc>
          <w:tcPr>
            <w:tcW w:w="992" w:type="dxa"/>
          </w:tcPr>
          <w:p w14:paraId="3493555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0.136***</w:t>
            </w:r>
          </w:p>
        </w:tc>
        <w:tc>
          <w:tcPr>
            <w:tcW w:w="1134" w:type="dxa"/>
          </w:tcPr>
          <w:p w14:paraId="133CE05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0.018</w:t>
            </w:r>
          </w:p>
        </w:tc>
        <w:tc>
          <w:tcPr>
            <w:tcW w:w="851" w:type="dxa"/>
          </w:tcPr>
          <w:p w14:paraId="217824C2"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7894B445" w14:textId="77777777" w:rsidTr="00E30E2D">
        <w:trPr>
          <w:trHeight w:val="427"/>
        </w:trPr>
        <w:tc>
          <w:tcPr>
            <w:tcW w:w="1838" w:type="dxa"/>
          </w:tcPr>
          <w:p w14:paraId="0267789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9. Bank Size</w:t>
            </w:r>
          </w:p>
        </w:tc>
        <w:tc>
          <w:tcPr>
            <w:tcW w:w="1134" w:type="dxa"/>
          </w:tcPr>
          <w:p w14:paraId="568AAE8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0.626***</w:t>
            </w:r>
          </w:p>
        </w:tc>
        <w:tc>
          <w:tcPr>
            <w:tcW w:w="1134" w:type="dxa"/>
          </w:tcPr>
          <w:p w14:paraId="2156FB5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0.438</w:t>
            </w:r>
          </w:p>
        </w:tc>
        <w:tc>
          <w:tcPr>
            <w:tcW w:w="1134" w:type="dxa"/>
          </w:tcPr>
          <w:p w14:paraId="20F5183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0.256</w:t>
            </w:r>
          </w:p>
        </w:tc>
        <w:tc>
          <w:tcPr>
            <w:tcW w:w="1134" w:type="dxa"/>
          </w:tcPr>
          <w:p w14:paraId="75AEC72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-0.091</w:t>
            </w:r>
          </w:p>
        </w:tc>
        <w:tc>
          <w:tcPr>
            <w:tcW w:w="992" w:type="dxa"/>
          </w:tcPr>
          <w:p w14:paraId="4D1A0BF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0.092***</w:t>
            </w:r>
          </w:p>
        </w:tc>
        <w:tc>
          <w:tcPr>
            <w:tcW w:w="1134" w:type="dxa"/>
          </w:tcPr>
          <w:p w14:paraId="7B49C79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-0.184***</w:t>
            </w:r>
          </w:p>
        </w:tc>
        <w:tc>
          <w:tcPr>
            <w:tcW w:w="851" w:type="dxa"/>
          </w:tcPr>
          <w:p w14:paraId="587AC2EC"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02227CC7" w14:textId="77777777" w:rsidTr="00E30E2D">
        <w:trPr>
          <w:trHeight w:val="427"/>
        </w:trPr>
        <w:tc>
          <w:tcPr>
            <w:tcW w:w="1838" w:type="dxa"/>
          </w:tcPr>
          <w:p w14:paraId="7BD4A16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 Leverage</w:t>
            </w:r>
          </w:p>
        </w:tc>
        <w:tc>
          <w:tcPr>
            <w:tcW w:w="1134" w:type="dxa"/>
          </w:tcPr>
          <w:p w14:paraId="2741648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0.133***</w:t>
            </w:r>
          </w:p>
        </w:tc>
        <w:tc>
          <w:tcPr>
            <w:tcW w:w="1134" w:type="dxa"/>
          </w:tcPr>
          <w:p w14:paraId="12B9929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0.130***</w:t>
            </w:r>
          </w:p>
        </w:tc>
        <w:tc>
          <w:tcPr>
            <w:tcW w:w="1134" w:type="dxa"/>
          </w:tcPr>
          <w:p w14:paraId="743969A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-0.017</w:t>
            </w:r>
          </w:p>
        </w:tc>
        <w:tc>
          <w:tcPr>
            <w:tcW w:w="1134" w:type="dxa"/>
          </w:tcPr>
          <w:p w14:paraId="5996C10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0.013</w:t>
            </w:r>
          </w:p>
        </w:tc>
        <w:tc>
          <w:tcPr>
            <w:tcW w:w="992" w:type="dxa"/>
          </w:tcPr>
          <w:p w14:paraId="0777D42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0.119***</w:t>
            </w:r>
          </w:p>
        </w:tc>
        <w:tc>
          <w:tcPr>
            <w:tcW w:w="1134" w:type="dxa"/>
          </w:tcPr>
          <w:p w14:paraId="1B13A9C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-0.043</w:t>
            </w:r>
          </w:p>
        </w:tc>
        <w:tc>
          <w:tcPr>
            <w:tcW w:w="851" w:type="dxa"/>
          </w:tcPr>
          <w:p w14:paraId="5C63F7B3"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6942432D" w14:textId="77777777" w:rsidTr="00E30E2D">
        <w:trPr>
          <w:trHeight w:val="427"/>
        </w:trPr>
        <w:tc>
          <w:tcPr>
            <w:tcW w:w="1838" w:type="dxa"/>
          </w:tcPr>
          <w:p w14:paraId="00197D3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11. Capital</w:t>
            </w:r>
          </w:p>
        </w:tc>
        <w:tc>
          <w:tcPr>
            <w:tcW w:w="1134" w:type="dxa"/>
          </w:tcPr>
          <w:p w14:paraId="6CE667A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-0.096***</w:t>
            </w:r>
          </w:p>
        </w:tc>
        <w:tc>
          <w:tcPr>
            <w:tcW w:w="1134" w:type="dxa"/>
          </w:tcPr>
          <w:p w14:paraId="5E24328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0.059***</w:t>
            </w:r>
          </w:p>
        </w:tc>
        <w:tc>
          <w:tcPr>
            <w:tcW w:w="1134" w:type="dxa"/>
          </w:tcPr>
          <w:p w14:paraId="2DB265E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-0.044</w:t>
            </w:r>
          </w:p>
        </w:tc>
        <w:tc>
          <w:tcPr>
            <w:tcW w:w="1134" w:type="dxa"/>
          </w:tcPr>
          <w:p w14:paraId="2FFBAC4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0.036</w:t>
            </w:r>
          </w:p>
        </w:tc>
        <w:tc>
          <w:tcPr>
            <w:tcW w:w="992" w:type="dxa"/>
          </w:tcPr>
          <w:p w14:paraId="650DE2F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0.093***</w:t>
            </w:r>
          </w:p>
        </w:tc>
        <w:tc>
          <w:tcPr>
            <w:tcW w:w="1134" w:type="dxa"/>
          </w:tcPr>
          <w:p w14:paraId="60C8BAC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0.042</w:t>
            </w:r>
          </w:p>
        </w:tc>
        <w:tc>
          <w:tcPr>
            <w:tcW w:w="851" w:type="dxa"/>
          </w:tcPr>
          <w:p w14:paraId="0FB33699"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4404D876" w14:textId="77777777" w:rsidTr="00E30E2D">
        <w:trPr>
          <w:trHeight w:val="660"/>
        </w:trPr>
        <w:tc>
          <w:tcPr>
            <w:tcW w:w="1838" w:type="dxa"/>
          </w:tcPr>
          <w:p w14:paraId="2E180D0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12. Risk</w:t>
            </w:r>
          </w:p>
        </w:tc>
        <w:tc>
          <w:tcPr>
            <w:tcW w:w="1134" w:type="dxa"/>
          </w:tcPr>
          <w:p w14:paraId="6BB7E2A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-0.134***</w:t>
            </w:r>
          </w:p>
        </w:tc>
        <w:tc>
          <w:tcPr>
            <w:tcW w:w="1134" w:type="dxa"/>
          </w:tcPr>
          <w:p w14:paraId="087E6A0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-0.189***</w:t>
            </w:r>
          </w:p>
        </w:tc>
        <w:tc>
          <w:tcPr>
            <w:tcW w:w="1134" w:type="dxa"/>
          </w:tcPr>
          <w:p w14:paraId="74B7185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-0.089***</w:t>
            </w:r>
          </w:p>
        </w:tc>
        <w:tc>
          <w:tcPr>
            <w:tcW w:w="1134" w:type="dxa"/>
          </w:tcPr>
          <w:p w14:paraId="2F2C999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0.269***</w:t>
            </w:r>
          </w:p>
        </w:tc>
        <w:tc>
          <w:tcPr>
            <w:tcW w:w="992" w:type="dxa"/>
          </w:tcPr>
          <w:p w14:paraId="5D0E133F"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-0.003</w:t>
            </w:r>
          </w:p>
        </w:tc>
        <w:tc>
          <w:tcPr>
            <w:tcW w:w="1134" w:type="dxa"/>
          </w:tcPr>
          <w:p w14:paraId="0005315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0.006</w:t>
            </w:r>
          </w:p>
        </w:tc>
        <w:tc>
          <w:tcPr>
            <w:tcW w:w="851" w:type="dxa"/>
          </w:tcPr>
          <w:p w14:paraId="62431EE3"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0228DC95" w14:textId="77777777" w:rsidTr="00E30E2D">
        <w:trPr>
          <w:trHeight w:val="427"/>
        </w:trPr>
        <w:tc>
          <w:tcPr>
            <w:tcW w:w="1838" w:type="dxa"/>
          </w:tcPr>
          <w:p w14:paraId="08F1011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13. Growth</w:t>
            </w:r>
          </w:p>
        </w:tc>
        <w:tc>
          <w:tcPr>
            <w:tcW w:w="1134" w:type="dxa"/>
          </w:tcPr>
          <w:p w14:paraId="20C350C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0.078***</w:t>
            </w:r>
          </w:p>
        </w:tc>
        <w:tc>
          <w:tcPr>
            <w:tcW w:w="1134" w:type="dxa"/>
          </w:tcPr>
          <w:p w14:paraId="7FFECD70"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0.027***</w:t>
            </w:r>
          </w:p>
        </w:tc>
        <w:tc>
          <w:tcPr>
            <w:tcW w:w="1134" w:type="dxa"/>
          </w:tcPr>
          <w:p w14:paraId="6D1C382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0.027</w:t>
            </w:r>
          </w:p>
        </w:tc>
        <w:tc>
          <w:tcPr>
            <w:tcW w:w="1134" w:type="dxa"/>
          </w:tcPr>
          <w:p w14:paraId="6EA2EA6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0.022</w:t>
            </w:r>
          </w:p>
        </w:tc>
        <w:tc>
          <w:tcPr>
            <w:tcW w:w="992" w:type="dxa"/>
          </w:tcPr>
          <w:p w14:paraId="7B06B70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0.127***</w:t>
            </w:r>
          </w:p>
        </w:tc>
        <w:tc>
          <w:tcPr>
            <w:tcW w:w="1134" w:type="dxa"/>
          </w:tcPr>
          <w:p w14:paraId="4BA9348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0.041</w:t>
            </w:r>
          </w:p>
        </w:tc>
        <w:tc>
          <w:tcPr>
            <w:tcW w:w="851" w:type="dxa"/>
          </w:tcPr>
          <w:p w14:paraId="355111E9"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253D3528" w14:textId="77777777" w:rsidTr="00E30E2D">
        <w:trPr>
          <w:trHeight w:val="427"/>
        </w:trPr>
        <w:tc>
          <w:tcPr>
            <w:tcW w:w="1838" w:type="dxa"/>
            <w:tcBorders>
              <w:bottom w:val="nil"/>
            </w:tcBorders>
          </w:tcPr>
          <w:p w14:paraId="74A2F7CC"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Borders>
              <w:bottom w:val="nil"/>
            </w:tcBorders>
          </w:tcPr>
          <w:p w14:paraId="2B094BB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b/>
                <w:bCs/>
                <w:sz w:val="20"/>
                <w:szCs w:val="20"/>
              </w:rPr>
              <w:t>(7)</w:t>
            </w:r>
          </w:p>
        </w:tc>
        <w:tc>
          <w:tcPr>
            <w:tcW w:w="1134" w:type="dxa"/>
            <w:tcBorders>
              <w:bottom w:val="nil"/>
            </w:tcBorders>
          </w:tcPr>
          <w:p w14:paraId="1EAB8188"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(8)</w:t>
            </w:r>
          </w:p>
        </w:tc>
        <w:tc>
          <w:tcPr>
            <w:tcW w:w="1134" w:type="dxa"/>
            <w:tcBorders>
              <w:bottom w:val="nil"/>
            </w:tcBorders>
          </w:tcPr>
          <w:p w14:paraId="3494F927"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(9)</w:t>
            </w:r>
          </w:p>
        </w:tc>
        <w:tc>
          <w:tcPr>
            <w:tcW w:w="1134" w:type="dxa"/>
            <w:tcBorders>
              <w:bottom w:val="nil"/>
            </w:tcBorders>
          </w:tcPr>
          <w:p w14:paraId="5227103A"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(10)</w:t>
            </w:r>
          </w:p>
        </w:tc>
        <w:tc>
          <w:tcPr>
            <w:tcW w:w="992" w:type="dxa"/>
            <w:tcBorders>
              <w:bottom w:val="nil"/>
            </w:tcBorders>
          </w:tcPr>
          <w:p w14:paraId="3FA670B7"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(11)</w:t>
            </w:r>
          </w:p>
        </w:tc>
        <w:tc>
          <w:tcPr>
            <w:tcW w:w="1134" w:type="dxa"/>
            <w:tcBorders>
              <w:bottom w:val="nil"/>
            </w:tcBorders>
          </w:tcPr>
          <w:p w14:paraId="6F3EE8AE"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(12)</w:t>
            </w:r>
          </w:p>
        </w:tc>
        <w:tc>
          <w:tcPr>
            <w:tcW w:w="851" w:type="dxa"/>
            <w:tcBorders>
              <w:bottom w:val="nil"/>
            </w:tcBorders>
          </w:tcPr>
          <w:p w14:paraId="5B7150FF" w14:textId="77777777" w:rsidR="00A9015F" w:rsidRPr="001278ED" w:rsidRDefault="00A9015F" w:rsidP="00A9015F">
            <w:pPr>
              <w:spacing w:after="160" w:line="259" w:lineRule="auto"/>
              <w:jc w:val="both"/>
              <w:rPr>
                <w:rFonts w:ascii="Times New Roman" w:hAnsi="Times New Roman"/>
                <w:b/>
                <w:bCs/>
                <w:sz w:val="20"/>
                <w:szCs w:val="20"/>
              </w:rPr>
            </w:pPr>
            <w:r w:rsidRPr="001278ED">
              <w:rPr>
                <w:rFonts w:ascii="Times New Roman" w:hAnsi="Times New Roman"/>
                <w:b/>
                <w:bCs/>
                <w:sz w:val="20"/>
                <w:szCs w:val="20"/>
              </w:rPr>
              <w:t>(13)</w:t>
            </w:r>
          </w:p>
        </w:tc>
      </w:tr>
      <w:tr w:rsidR="00A9015F" w:rsidRPr="00A9015F" w14:paraId="240B5CBC" w14:textId="77777777" w:rsidTr="00E30E2D">
        <w:trPr>
          <w:trHeight w:val="427"/>
        </w:trPr>
        <w:tc>
          <w:tcPr>
            <w:tcW w:w="1838" w:type="dxa"/>
            <w:tcBorders>
              <w:top w:val="nil"/>
            </w:tcBorders>
          </w:tcPr>
          <w:p w14:paraId="382D164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CEO Tenure</w:t>
            </w:r>
          </w:p>
        </w:tc>
        <w:tc>
          <w:tcPr>
            <w:tcW w:w="1134" w:type="dxa"/>
            <w:tcBorders>
              <w:top w:val="nil"/>
            </w:tcBorders>
          </w:tcPr>
          <w:p w14:paraId="34BD487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Borders>
              <w:top w:val="nil"/>
            </w:tcBorders>
          </w:tcPr>
          <w:p w14:paraId="5C92A5F2"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Borders>
              <w:top w:val="nil"/>
            </w:tcBorders>
          </w:tcPr>
          <w:p w14:paraId="00F51A25"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Borders>
              <w:top w:val="nil"/>
            </w:tcBorders>
          </w:tcPr>
          <w:p w14:paraId="55F8C020" w14:textId="77777777" w:rsidR="00A9015F" w:rsidRPr="001278ED" w:rsidRDefault="00A9015F" w:rsidP="00A9015F">
            <w:pPr>
              <w:spacing w:after="160" w:line="259" w:lineRule="auto"/>
              <w:jc w:val="both"/>
              <w:rPr>
                <w:rFonts w:ascii="Times New Roman" w:hAnsi="Times New Roman"/>
                <w:sz w:val="20"/>
                <w:szCs w:val="20"/>
              </w:rPr>
            </w:pPr>
          </w:p>
        </w:tc>
        <w:tc>
          <w:tcPr>
            <w:tcW w:w="992" w:type="dxa"/>
            <w:tcBorders>
              <w:top w:val="nil"/>
            </w:tcBorders>
          </w:tcPr>
          <w:p w14:paraId="42EF7ECB"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Borders>
              <w:top w:val="nil"/>
            </w:tcBorders>
          </w:tcPr>
          <w:p w14:paraId="78DFF7A7" w14:textId="77777777" w:rsidR="00A9015F" w:rsidRPr="001278ED" w:rsidRDefault="00A9015F" w:rsidP="00A9015F">
            <w:pPr>
              <w:spacing w:after="160" w:line="259" w:lineRule="auto"/>
              <w:jc w:val="both"/>
              <w:rPr>
                <w:rFonts w:ascii="Times New Roman" w:hAnsi="Times New Roman"/>
                <w:sz w:val="20"/>
                <w:szCs w:val="20"/>
              </w:rPr>
            </w:pPr>
          </w:p>
        </w:tc>
        <w:tc>
          <w:tcPr>
            <w:tcW w:w="851" w:type="dxa"/>
            <w:tcBorders>
              <w:top w:val="nil"/>
            </w:tcBorders>
          </w:tcPr>
          <w:p w14:paraId="432CAD91"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6C1243A2" w14:textId="77777777" w:rsidTr="00E30E2D">
        <w:trPr>
          <w:trHeight w:val="427"/>
        </w:trPr>
        <w:tc>
          <w:tcPr>
            <w:tcW w:w="1838" w:type="dxa"/>
          </w:tcPr>
          <w:p w14:paraId="62F14F9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ROA</w:t>
            </w:r>
          </w:p>
        </w:tc>
        <w:tc>
          <w:tcPr>
            <w:tcW w:w="1134" w:type="dxa"/>
          </w:tcPr>
          <w:p w14:paraId="5E875601"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08FB51C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2C7C60CF"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3A9ABD2A" w14:textId="77777777" w:rsidR="00A9015F" w:rsidRPr="001278ED" w:rsidRDefault="00A9015F" w:rsidP="00A9015F">
            <w:pPr>
              <w:spacing w:after="160" w:line="259" w:lineRule="auto"/>
              <w:jc w:val="both"/>
              <w:rPr>
                <w:rFonts w:ascii="Times New Roman" w:hAnsi="Times New Roman"/>
                <w:sz w:val="20"/>
                <w:szCs w:val="20"/>
              </w:rPr>
            </w:pPr>
          </w:p>
        </w:tc>
        <w:tc>
          <w:tcPr>
            <w:tcW w:w="992" w:type="dxa"/>
          </w:tcPr>
          <w:p w14:paraId="5D57D789"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0DF49676"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7B3CF1B9"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3E6762C4" w14:textId="77777777" w:rsidTr="00E30E2D">
        <w:trPr>
          <w:trHeight w:val="427"/>
        </w:trPr>
        <w:tc>
          <w:tcPr>
            <w:tcW w:w="1838" w:type="dxa"/>
          </w:tcPr>
          <w:p w14:paraId="13B9A0C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Bank Size</w:t>
            </w:r>
          </w:p>
        </w:tc>
        <w:tc>
          <w:tcPr>
            <w:tcW w:w="1134" w:type="dxa"/>
          </w:tcPr>
          <w:p w14:paraId="5358CC2D"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109DBFC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-0.0157</w:t>
            </w:r>
          </w:p>
        </w:tc>
        <w:tc>
          <w:tcPr>
            <w:tcW w:w="1134" w:type="dxa"/>
          </w:tcPr>
          <w:p w14:paraId="0ED3F31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7420939C" w14:textId="77777777" w:rsidR="00A9015F" w:rsidRPr="001278ED" w:rsidRDefault="00A9015F" w:rsidP="00A9015F">
            <w:pPr>
              <w:spacing w:after="160" w:line="259" w:lineRule="auto"/>
              <w:jc w:val="both"/>
              <w:rPr>
                <w:rFonts w:ascii="Times New Roman" w:hAnsi="Times New Roman"/>
                <w:sz w:val="20"/>
                <w:szCs w:val="20"/>
              </w:rPr>
            </w:pPr>
          </w:p>
        </w:tc>
        <w:tc>
          <w:tcPr>
            <w:tcW w:w="992" w:type="dxa"/>
          </w:tcPr>
          <w:p w14:paraId="20CBCFF8"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45F62028"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0E3C67D1"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2A67D7D1" w14:textId="77777777" w:rsidTr="00E30E2D">
        <w:trPr>
          <w:trHeight w:val="427"/>
        </w:trPr>
        <w:tc>
          <w:tcPr>
            <w:tcW w:w="1838" w:type="dxa"/>
          </w:tcPr>
          <w:p w14:paraId="1F44C8A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Leverage</w:t>
            </w:r>
          </w:p>
        </w:tc>
        <w:tc>
          <w:tcPr>
            <w:tcW w:w="1134" w:type="dxa"/>
          </w:tcPr>
          <w:p w14:paraId="2CD190A5"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7EA6E0B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0.6000***</w:t>
            </w:r>
          </w:p>
        </w:tc>
        <w:tc>
          <w:tcPr>
            <w:tcW w:w="1134" w:type="dxa"/>
          </w:tcPr>
          <w:p w14:paraId="630766A1"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0.059***</w:t>
            </w:r>
          </w:p>
        </w:tc>
        <w:tc>
          <w:tcPr>
            <w:tcW w:w="1134" w:type="dxa"/>
          </w:tcPr>
          <w:p w14:paraId="2DF91777"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992" w:type="dxa"/>
          </w:tcPr>
          <w:p w14:paraId="4805F610"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27BDA8BE"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31FF4E33"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4A065499" w14:textId="77777777" w:rsidTr="00E30E2D">
        <w:trPr>
          <w:trHeight w:val="427"/>
        </w:trPr>
        <w:tc>
          <w:tcPr>
            <w:tcW w:w="1838" w:type="dxa"/>
          </w:tcPr>
          <w:p w14:paraId="6CCF25D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Capital</w:t>
            </w:r>
          </w:p>
        </w:tc>
        <w:tc>
          <w:tcPr>
            <w:tcW w:w="1134" w:type="dxa"/>
          </w:tcPr>
          <w:p w14:paraId="61ECB7A6"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514E3AD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-0.227***</w:t>
            </w:r>
          </w:p>
        </w:tc>
        <w:tc>
          <w:tcPr>
            <w:tcW w:w="1134" w:type="dxa"/>
          </w:tcPr>
          <w:p w14:paraId="41341449"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-0.001</w:t>
            </w:r>
          </w:p>
        </w:tc>
        <w:tc>
          <w:tcPr>
            <w:tcW w:w="1134" w:type="dxa"/>
          </w:tcPr>
          <w:p w14:paraId="05FB079E"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-0.364***</w:t>
            </w:r>
          </w:p>
        </w:tc>
        <w:tc>
          <w:tcPr>
            <w:tcW w:w="992" w:type="dxa"/>
          </w:tcPr>
          <w:p w14:paraId="0A5FFCBD"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1134" w:type="dxa"/>
          </w:tcPr>
          <w:p w14:paraId="1F6F84F3" w14:textId="77777777" w:rsidR="00A9015F" w:rsidRPr="001278ED" w:rsidRDefault="00A9015F" w:rsidP="00A9015F">
            <w:pPr>
              <w:spacing w:after="160" w:line="259" w:lineRule="auto"/>
              <w:jc w:val="both"/>
              <w:rPr>
                <w:rFonts w:ascii="Times New Roman" w:hAnsi="Times New Roman"/>
                <w:sz w:val="20"/>
                <w:szCs w:val="20"/>
              </w:rPr>
            </w:pPr>
          </w:p>
        </w:tc>
        <w:tc>
          <w:tcPr>
            <w:tcW w:w="851" w:type="dxa"/>
          </w:tcPr>
          <w:p w14:paraId="144C3127"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0A6833BA" w14:textId="77777777" w:rsidTr="00E30E2D">
        <w:trPr>
          <w:trHeight w:val="427"/>
        </w:trPr>
        <w:tc>
          <w:tcPr>
            <w:tcW w:w="1838" w:type="dxa"/>
          </w:tcPr>
          <w:p w14:paraId="6FE84A98"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Risk</w:t>
            </w:r>
          </w:p>
        </w:tc>
        <w:tc>
          <w:tcPr>
            <w:tcW w:w="1134" w:type="dxa"/>
          </w:tcPr>
          <w:p w14:paraId="3D82A154"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5773F3F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-0.344***</w:t>
            </w:r>
          </w:p>
        </w:tc>
        <w:tc>
          <w:tcPr>
            <w:tcW w:w="1134" w:type="dxa"/>
          </w:tcPr>
          <w:p w14:paraId="1662825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-0.181***</w:t>
            </w:r>
          </w:p>
        </w:tc>
        <w:tc>
          <w:tcPr>
            <w:tcW w:w="1134" w:type="dxa"/>
          </w:tcPr>
          <w:p w14:paraId="5C2F7EB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-0.082***</w:t>
            </w:r>
          </w:p>
        </w:tc>
        <w:tc>
          <w:tcPr>
            <w:tcW w:w="992" w:type="dxa"/>
          </w:tcPr>
          <w:p w14:paraId="251C8839"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0.156***</w:t>
            </w:r>
          </w:p>
        </w:tc>
        <w:tc>
          <w:tcPr>
            <w:tcW w:w="1134" w:type="dxa"/>
          </w:tcPr>
          <w:p w14:paraId="52A2BB76"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c>
          <w:tcPr>
            <w:tcW w:w="851" w:type="dxa"/>
          </w:tcPr>
          <w:p w14:paraId="47FE8604" w14:textId="77777777" w:rsidR="00A9015F" w:rsidRPr="001278ED" w:rsidRDefault="00A9015F" w:rsidP="00A9015F">
            <w:pPr>
              <w:spacing w:after="160" w:line="259" w:lineRule="auto"/>
              <w:jc w:val="both"/>
              <w:rPr>
                <w:rFonts w:ascii="Times New Roman" w:hAnsi="Times New Roman"/>
                <w:sz w:val="20"/>
                <w:szCs w:val="20"/>
              </w:rPr>
            </w:pPr>
          </w:p>
        </w:tc>
      </w:tr>
      <w:tr w:rsidR="00A9015F" w:rsidRPr="00A9015F" w14:paraId="256A9B40" w14:textId="77777777" w:rsidTr="00E30E2D">
        <w:trPr>
          <w:trHeight w:val="427"/>
        </w:trPr>
        <w:tc>
          <w:tcPr>
            <w:tcW w:w="1838" w:type="dxa"/>
          </w:tcPr>
          <w:p w14:paraId="5A952C1A"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Growth</w:t>
            </w:r>
          </w:p>
        </w:tc>
        <w:tc>
          <w:tcPr>
            <w:tcW w:w="1134" w:type="dxa"/>
          </w:tcPr>
          <w:p w14:paraId="27C9D0DE" w14:textId="77777777" w:rsidR="00A9015F" w:rsidRPr="001278ED" w:rsidRDefault="00A9015F" w:rsidP="00A9015F">
            <w:pPr>
              <w:spacing w:after="160" w:line="259" w:lineRule="auto"/>
              <w:jc w:val="both"/>
              <w:rPr>
                <w:rFonts w:ascii="Times New Roman" w:hAnsi="Times New Roman"/>
                <w:sz w:val="20"/>
                <w:szCs w:val="20"/>
              </w:rPr>
            </w:pPr>
          </w:p>
        </w:tc>
        <w:tc>
          <w:tcPr>
            <w:tcW w:w="1134" w:type="dxa"/>
          </w:tcPr>
          <w:p w14:paraId="045E8BF3"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-0.133***</w:t>
            </w:r>
          </w:p>
        </w:tc>
        <w:tc>
          <w:tcPr>
            <w:tcW w:w="1134" w:type="dxa"/>
          </w:tcPr>
          <w:p w14:paraId="3A2B9EB4"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0.068***</w:t>
            </w:r>
          </w:p>
        </w:tc>
        <w:tc>
          <w:tcPr>
            <w:tcW w:w="1134" w:type="dxa"/>
          </w:tcPr>
          <w:p w14:paraId="3674266C"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0.0464</w:t>
            </w:r>
          </w:p>
        </w:tc>
        <w:tc>
          <w:tcPr>
            <w:tcW w:w="992" w:type="dxa"/>
          </w:tcPr>
          <w:p w14:paraId="20F2DE92"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0.116***</w:t>
            </w:r>
          </w:p>
        </w:tc>
        <w:tc>
          <w:tcPr>
            <w:tcW w:w="1134" w:type="dxa"/>
          </w:tcPr>
          <w:p w14:paraId="205138A5"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0.299***</w:t>
            </w:r>
          </w:p>
        </w:tc>
        <w:tc>
          <w:tcPr>
            <w:tcW w:w="851" w:type="dxa"/>
          </w:tcPr>
          <w:p w14:paraId="66F6CEDB" w14:textId="77777777" w:rsidR="00A9015F" w:rsidRPr="001278ED" w:rsidRDefault="00A9015F" w:rsidP="00A9015F">
            <w:pPr>
              <w:spacing w:after="160" w:line="259" w:lineRule="auto"/>
              <w:jc w:val="both"/>
              <w:rPr>
                <w:rFonts w:ascii="Times New Roman" w:hAnsi="Times New Roman"/>
                <w:sz w:val="20"/>
                <w:szCs w:val="20"/>
              </w:rPr>
            </w:pPr>
            <w:r w:rsidRPr="001278ED">
              <w:rPr>
                <w:rFonts w:ascii="Times New Roman" w:hAnsi="Times New Roman"/>
                <w:sz w:val="20"/>
                <w:szCs w:val="20"/>
              </w:rPr>
              <w:t>1.000</w:t>
            </w:r>
          </w:p>
        </w:tc>
      </w:tr>
    </w:tbl>
    <w:p w14:paraId="2743888C" w14:textId="77777777" w:rsidR="00A9015F" w:rsidRPr="00A9015F" w:rsidRDefault="00A9015F" w:rsidP="00A9015F">
      <w:pPr>
        <w:jc w:val="both"/>
        <w:rPr>
          <w:rFonts w:ascii="Times New Roman" w:eastAsia="Times New Roman" w:hAnsi="Times New Roman" w:cs="Times New Roman"/>
          <w:sz w:val="24"/>
          <w:szCs w:val="24"/>
        </w:rPr>
      </w:pPr>
    </w:p>
    <w:p w14:paraId="64DA3B59" w14:textId="77777777" w:rsidR="00A9015F" w:rsidRPr="00A9015F" w:rsidRDefault="00A9015F" w:rsidP="00A9015F">
      <w:pPr>
        <w:jc w:val="both"/>
        <w:rPr>
          <w:rFonts w:ascii="Times New Roman" w:eastAsia="Times New Roman" w:hAnsi="Times New Roman" w:cs="Times New Roman"/>
          <w:sz w:val="24"/>
          <w:szCs w:val="24"/>
        </w:rPr>
      </w:pPr>
    </w:p>
    <w:p w14:paraId="6FD5CF2E" w14:textId="07BFFE1C" w:rsidR="00071AF6" w:rsidRDefault="00071AF6">
      <w:pPr>
        <w:rPr>
          <w:rFonts w:ascii="Times New Roman" w:eastAsia="Times New Roman" w:hAnsi="Times New Roman" w:cs="Times New Roman"/>
          <w:sz w:val="24"/>
          <w:szCs w:val="24"/>
        </w:rPr>
      </w:pPr>
    </w:p>
    <w:p w14:paraId="4BD34695" w14:textId="77777777" w:rsidR="00E30E2D" w:rsidRDefault="00E30E2D" w:rsidP="000329D3">
      <w:pPr>
        <w:jc w:val="both"/>
        <w:rPr>
          <w:rFonts w:ascii="Times New Roman" w:eastAsia="Times New Roman" w:hAnsi="Times New Roman" w:cs="Times New Roman"/>
          <w:sz w:val="20"/>
          <w:szCs w:val="20"/>
        </w:rPr>
      </w:pPr>
    </w:p>
    <w:p w14:paraId="6C20774F" w14:textId="77777777" w:rsidR="00E30E2D" w:rsidRDefault="00E30E2D" w:rsidP="000329D3">
      <w:pPr>
        <w:jc w:val="both"/>
        <w:rPr>
          <w:rFonts w:ascii="Times New Roman" w:eastAsia="Times New Roman" w:hAnsi="Times New Roman" w:cs="Times New Roman"/>
          <w:sz w:val="20"/>
          <w:szCs w:val="20"/>
        </w:rPr>
      </w:pPr>
    </w:p>
    <w:p w14:paraId="45EABADA" w14:textId="77777777" w:rsidR="00E30E2D" w:rsidRDefault="00E30E2D" w:rsidP="000329D3">
      <w:pPr>
        <w:jc w:val="both"/>
        <w:rPr>
          <w:rFonts w:ascii="Times New Roman" w:eastAsia="Times New Roman" w:hAnsi="Times New Roman" w:cs="Times New Roman"/>
          <w:sz w:val="20"/>
          <w:szCs w:val="20"/>
        </w:rPr>
      </w:pPr>
    </w:p>
    <w:p w14:paraId="35B98600" w14:textId="77777777" w:rsidR="00E30E2D" w:rsidRDefault="00E30E2D" w:rsidP="000329D3">
      <w:pPr>
        <w:jc w:val="both"/>
        <w:rPr>
          <w:rFonts w:ascii="Times New Roman" w:eastAsia="Times New Roman" w:hAnsi="Times New Roman" w:cs="Times New Roman"/>
          <w:sz w:val="20"/>
          <w:szCs w:val="20"/>
        </w:rPr>
      </w:pPr>
    </w:p>
    <w:p w14:paraId="748418DB" w14:textId="77777777" w:rsidR="00E30E2D" w:rsidRDefault="00E30E2D" w:rsidP="000329D3">
      <w:pPr>
        <w:jc w:val="both"/>
        <w:rPr>
          <w:rFonts w:ascii="Times New Roman" w:eastAsia="Times New Roman" w:hAnsi="Times New Roman" w:cs="Times New Roman"/>
          <w:sz w:val="20"/>
          <w:szCs w:val="20"/>
        </w:rPr>
      </w:pPr>
    </w:p>
    <w:p w14:paraId="31077261" w14:textId="77777777" w:rsidR="00E30E2D" w:rsidRDefault="00E30E2D" w:rsidP="000329D3">
      <w:pPr>
        <w:jc w:val="both"/>
        <w:rPr>
          <w:rFonts w:ascii="Times New Roman" w:eastAsia="Times New Roman" w:hAnsi="Times New Roman" w:cs="Times New Roman"/>
          <w:sz w:val="20"/>
          <w:szCs w:val="20"/>
        </w:rPr>
      </w:pPr>
    </w:p>
    <w:p w14:paraId="0E7583EF" w14:textId="77777777" w:rsidR="00E30E2D" w:rsidRDefault="00E30E2D" w:rsidP="000329D3">
      <w:pPr>
        <w:jc w:val="both"/>
        <w:rPr>
          <w:rFonts w:ascii="Times New Roman" w:eastAsia="Times New Roman" w:hAnsi="Times New Roman" w:cs="Times New Roman"/>
          <w:sz w:val="20"/>
          <w:szCs w:val="20"/>
        </w:rPr>
      </w:pPr>
    </w:p>
    <w:p w14:paraId="0BA0E43D" w14:textId="77777777" w:rsidR="00E30E2D" w:rsidRDefault="00E30E2D" w:rsidP="000329D3">
      <w:pPr>
        <w:jc w:val="both"/>
        <w:rPr>
          <w:rFonts w:ascii="Times New Roman" w:eastAsia="Times New Roman" w:hAnsi="Times New Roman" w:cs="Times New Roman"/>
          <w:sz w:val="20"/>
          <w:szCs w:val="20"/>
        </w:rPr>
      </w:pPr>
    </w:p>
    <w:p w14:paraId="3620F854" w14:textId="77777777" w:rsidR="00E30E2D" w:rsidRDefault="00E30E2D" w:rsidP="000329D3">
      <w:pPr>
        <w:jc w:val="both"/>
        <w:rPr>
          <w:rFonts w:ascii="Times New Roman" w:eastAsia="Times New Roman" w:hAnsi="Times New Roman" w:cs="Times New Roman"/>
          <w:sz w:val="20"/>
          <w:szCs w:val="20"/>
        </w:rPr>
      </w:pPr>
    </w:p>
    <w:p w14:paraId="15526681" w14:textId="77777777" w:rsidR="00E30E2D" w:rsidRDefault="00E30E2D" w:rsidP="000329D3">
      <w:pPr>
        <w:jc w:val="both"/>
        <w:rPr>
          <w:rFonts w:ascii="Times New Roman" w:eastAsia="Times New Roman" w:hAnsi="Times New Roman" w:cs="Times New Roman"/>
          <w:sz w:val="20"/>
          <w:szCs w:val="20"/>
        </w:rPr>
      </w:pPr>
    </w:p>
    <w:p w14:paraId="67DDCBE2" w14:textId="77777777" w:rsidR="00E30E2D" w:rsidRDefault="00E30E2D" w:rsidP="000329D3">
      <w:pPr>
        <w:jc w:val="both"/>
        <w:rPr>
          <w:rFonts w:ascii="Times New Roman" w:eastAsia="Times New Roman" w:hAnsi="Times New Roman" w:cs="Times New Roman"/>
          <w:sz w:val="20"/>
          <w:szCs w:val="20"/>
        </w:rPr>
      </w:pPr>
    </w:p>
    <w:p w14:paraId="2CF79A79" w14:textId="77777777" w:rsidR="00E30E2D" w:rsidRDefault="00E30E2D" w:rsidP="000329D3">
      <w:pPr>
        <w:jc w:val="both"/>
        <w:rPr>
          <w:rFonts w:ascii="Times New Roman" w:eastAsia="Times New Roman" w:hAnsi="Times New Roman" w:cs="Times New Roman"/>
          <w:sz w:val="20"/>
          <w:szCs w:val="20"/>
        </w:rPr>
      </w:pPr>
    </w:p>
    <w:p w14:paraId="0C6743B6" w14:textId="77777777" w:rsidR="00E30E2D" w:rsidRDefault="00E30E2D" w:rsidP="000329D3">
      <w:pPr>
        <w:jc w:val="both"/>
        <w:rPr>
          <w:rFonts w:ascii="Times New Roman" w:eastAsia="Times New Roman" w:hAnsi="Times New Roman" w:cs="Times New Roman"/>
          <w:sz w:val="20"/>
          <w:szCs w:val="20"/>
        </w:rPr>
      </w:pPr>
    </w:p>
    <w:p w14:paraId="6003F38D" w14:textId="77777777" w:rsidR="00E30E2D" w:rsidRDefault="00E30E2D" w:rsidP="000329D3">
      <w:pPr>
        <w:jc w:val="both"/>
        <w:rPr>
          <w:rFonts w:ascii="Times New Roman" w:eastAsia="Times New Roman" w:hAnsi="Times New Roman" w:cs="Times New Roman"/>
          <w:sz w:val="20"/>
          <w:szCs w:val="20"/>
        </w:rPr>
      </w:pPr>
    </w:p>
    <w:p w14:paraId="1DB11FE6" w14:textId="77777777" w:rsidR="00E30E2D" w:rsidRDefault="00E30E2D" w:rsidP="000329D3">
      <w:pPr>
        <w:jc w:val="both"/>
        <w:rPr>
          <w:rFonts w:ascii="Times New Roman" w:eastAsia="Times New Roman" w:hAnsi="Times New Roman" w:cs="Times New Roman"/>
          <w:sz w:val="20"/>
          <w:szCs w:val="20"/>
        </w:rPr>
      </w:pPr>
    </w:p>
    <w:p w14:paraId="32B4A17D" w14:textId="77777777" w:rsidR="00E30E2D" w:rsidRDefault="00E30E2D" w:rsidP="000329D3">
      <w:pPr>
        <w:jc w:val="both"/>
        <w:rPr>
          <w:rFonts w:ascii="Times New Roman" w:eastAsia="Times New Roman" w:hAnsi="Times New Roman" w:cs="Times New Roman"/>
          <w:sz w:val="20"/>
          <w:szCs w:val="20"/>
        </w:rPr>
      </w:pPr>
    </w:p>
    <w:p w14:paraId="70376917" w14:textId="77777777" w:rsidR="00E30E2D" w:rsidRDefault="00E30E2D" w:rsidP="000329D3">
      <w:pPr>
        <w:jc w:val="both"/>
        <w:rPr>
          <w:rFonts w:ascii="Times New Roman" w:eastAsia="Times New Roman" w:hAnsi="Times New Roman" w:cs="Times New Roman"/>
          <w:sz w:val="20"/>
          <w:szCs w:val="20"/>
        </w:rPr>
      </w:pPr>
    </w:p>
    <w:p w14:paraId="3B0B6656" w14:textId="77777777" w:rsidR="00E30E2D" w:rsidRDefault="00E30E2D" w:rsidP="000329D3">
      <w:pPr>
        <w:jc w:val="both"/>
        <w:rPr>
          <w:rFonts w:ascii="Times New Roman" w:eastAsia="Times New Roman" w:hAnsi="Times New Roman" w:cs="Times New Roman"/>
          <w:sz w:val="20"/>
          <w:szCs w:val="20"/>
        </w:rPr>
      </w:pPr>
    </w:p>
    <w:p w14:paraId="24CA2109" w14:textId="77777777" w:rsidR="00E30E2D" w:rsidRDefault="00E30E2D" w:rsidP="000329D3">
      <w:pPr>
        <w:jc w:val="both"/>
        <w:rPr>
          <w:rFonts w:ascii="Times New Roman" w:eastAsia="Times New Roman" w:hAnsi="Times New Roman" w:cs="Times New Roman"/>
          <w:sz w:val="20"/>
          <w:szCs w:val="20"/>
        </w:rPr>
      </w:pPr>
    </w:p>
    <w:p w14:paraId="464F9A2E" w14:textId="77777777" w:rsidR="00E30E2D" w:rsidRDefault="00E30E2D" w:rsidP="000329D3">
      <w:pPr>
        <w:jc w:val="both"/>
        <w:rPr>
          <w:rFonts w:ascii="Times New Roman" w:eastAsia="Times New Roman" w:hAnsi="Times New Roman" w:cs="Times New Roman"/>
          <w:sz w:val="20"/>
          <w:szCs w:val="20"/>
        </w:rPr>
      </w:pPr>
    </w:p>
    <w:p w14:paraId="40299215" w14:textId="77777777" w:rsidR="00E30E2D" w:rsidRDefault="00E30E2D" w:rsidP="000329D3">
      <w:pPr>
        <w:jc w:val="both"/>
        <w:rPr>
          <w:rFonts w:ascii="Times New Roman" w:eastAsia="Times New Roman" w:hAnsi="Times New Roman" w:cs="Times New Roman"/>
          <w:sz w:val="20"/>
          <w:szCs w:val="20"/>
        </w:rPr>
      </w:pPr>
    </w:p>
    <w:p w14:paraId="4F5890B7" w14:textId="77777777" w:rsidR="00E30E2D" w:rsidRDefault="00E30E2D" w:rsidP="000329D3">
      <w:pPr>
        <w:jc w:val="both"/>
        <w:rPr>
          <w:rFonts w:ascii="Times New Roman" w:eastAsia="Times New Roman" w:hAnsi="Times New Roman" w:cs="Times New Roman"/>
          <w:sz w:val="20"/>
          <w:szCs w:val="20"/>
        </w:rPr>
      </w:pPr>
    </w:p>
    <w:p w14:paraId="103CED61" w14:textId="77777777" w:rsidR="00E30E2D" w:rsidRDefault="00E30E2D" w:rsidP="000329D3">
      <w:pPr>
        <w:jc w:val="both"/>
        <w:rPr>
          <w:rFonts w:ascii="Times New Roman" w:eastAsia="Times New Roman" w:hAnsi="Times New Roman" w:cs="Times New Roman"/>
          <w:sz w:val="20"/>
          <w:szCs w:val="20"/>
        </w:rPr>
      </w:pPr>
    </w:p>
    <w:p w14:paraId="0FD1FBFB" w14:textId="77777777" w:rsidR="00E30E2D" w:rsidRDefault="00E30E2D" w:rsidP="000329D3">
      <w:pPr>
        <w:jc w:val="both"/>
        <w:rPr>
          <w:rFonts w:ascii="Times New Roman" w:eastAsia="Times New Roman" w:hAnsi="Times New Roman" w:cs="Times New Roman"/>
          <w:sz w:val="20"/>
          <w:szCs w:val="20"/>
        </w:rPr>
      </w:pPr>
    </w:p>
    <w:p w14:paraId="2A271754" w14:textId="77777777" w:rsidR="00E30E2D" w:rsidRDefault="00E30E2D" w:rsidP="000329D3">
      <w:pPr>
        <w:jc w:val="both"/>
        <w:rPr>
          <w:rFonts w:ascii="Times New Roman" w:eastAsia="Times New Roman" w:hAnsi="Times New Roman" w:cs="Times New Roman"/>
          <w:sz w:val="20"/>
          <w:szCs w:val="20"/>
        </w:rPr>
      </w:pPr>
    </w:p>
    <w:p w14:paraId="55B5C9F9" w14:textId="77777777" w:rsidR="00E30E2D" w:rsidRDefault="00E30E2D" w:rsidP="000329D3">
      <w:pPr>
        <w:jc w:val="both"/>
        <w:rPr>
          <w:rFonts w:ascii="Times New Roman" w:eastAsia="Times New Roman" w:hAnsi="Times New Roman" w:cs="Times New Roman"/>
          <w:sz w:val="20"/>
          <w:szCs w:val="20"/>
        </w:rPr>
      </w:pPr>
    </w:p>
    <w:p w14:paraId="69596980" w14:textId="77777777" w:rsidR="00E30E2D" w:rsidRDefault="00E30E2D" w:rsidP="000329D3">
      <w:pPr>
        <w:jc w:val="both"/>
        <w:rPr>
          <w:rFonts w:ascii="Times New Roman" w:eastAsia="Times New Roman" w:hAnsi="Times New Roman" w:cs="Times New Roman"/>
          <w:sz w:val="20"/>
          <w:szCs w:val="20"/>
        </w:rPr>
      </w:pPr>
    </w:p>
    <w:p w14:paraId="4A121858" w14:textId="77777777" w:rsidR="00E30E2D" w:rsidRDefault="00E30E2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BA7C219" w14:textId="77777777" w:rsidR="00E30E2D" w:rsidRDefault="00E30E2D" w:rsidP="000329D3">
      <w:pPr>
        <w:jc w:val="both"/>
        <w:rPr>
          <w:rFonts w:ascii="Times New Roman" w:eastAsia="Times New Roman" w:hAnsi="Times New Roman" w:cs="Times New Roman"/>
          <w:sz w:val="20"/>
          <w:szCs w:val="20"/>
        </w:rPr>
      </w:pPr>
    </w:p>
    <w:p w14:paraId="54994656" w14:textId="77777777" w:rsidR="00E30E2D" w:rsidRDefault="00E30E2D" w:rsidP="000329D3">
      <w:pPr>
        <w:jc w:val="both"/>
        <w:rPr>
          <w:rFonts w:ascii="Times New Roman" w:eastAsia="Times New Roman" w:hAnsi="Times New Roman" w:cs="Times New Roman"/>
          <w:sz w:val="20"/>
          <w:szCs w:val="20"/>
        </w:rPr>
      </w:pPr>
    </w:p>
    <w:p w14:paraId="2E0BD21C" w14:textId="243186C8" w:rsidR="000329D3" w:rsidRPr="00E30E2D" w:rsidRDefault="00E30E2D" w:rsidP="000329D3">
      <w:pPr>
        <w:jc w:val="both"/>
        <w:rPr>
          <w:rFonts w:ascii="Times New Roman" w:eastAsia="Times New Roman" w:hAnsi="Times New Roman" w:cs="Times New Roman"/>
          <w:b/>
          <w:bCs/>
          <w:sz w:val="28"/>
          <w:szCs w:val="28"/>
        </w:rPr>
      </w:pPr>
      <w:r w:rsidRPr="00E30E2D">
        <w:rPr>
          <w:rFonts w:ascii="Times New Roman" w:eastAsia="Times New Roman" w:hAnsi="Times New Roman" w:cs="Times New Roman"/>
          <w:b/>
          <w:bCs/>
          <w:sz w:val="28"/>
          <w:szCs w:val="28"/>
        </w:rPr>
        <w:t>Appendix D: INED Heterogeneity Index and Bank Misconduct- Linear Construction of Index</w:t>
      </w:r>
    </w:p>
    <w:tbl>
      <w:tblPr>
        <w:tblpPr w:leftFromText="180" w:rightFromText="180" w:vertAnchor="page" w:horzAnchor="margin" w:tblpXSpec="center" w:tblpY="3356"/>
        <w:tblW w:w="10422"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2231"/>
        <w:gridCol w:w="993"/>
        <w:gridCol w:w="1098"/>
        <w:gridCol w:w="977"/>
        <w:gridCol w:w="977"/>
        <w:gridCol w:w="977"/>
        <w:gridCol w:w="977"/>
        <w:gridCol w:w="977"/>
        <w:gridCol w:w="1215"/>
      </w:tblGrid>
      <w:tr w:rsidR="00E30E2D" w:rsidRPr="00A9015F" w14:paraId="1EF9FFAE" w14:textId="77777777" w:rsidTr="00264F85">
        <w:trPr>
          <w:trHeight w:val="201"/>
        </w:trPr>
        <w:tc>
          <w:tcPr>
            <w:tcW w:w="2231" w:type="dxa"/>
            <w:tcBorders>
              <w:top w:val="single" w:sz="4" w:space="0" w:color="auto"/>
            </w:tcBorders>
          </w:tcPr>
          <w:p w14:paraId="649345D3" w14:textId="77777777" w:rsidR="00E30E2D" w:rsidRDefault="00E30E2D" w:rsidP="00264F85">
            <w:pPr>
              <w:jc w:val="both"/>
              <w:rPr>
                <w:rFonts w:ascii="Times New Roman" w:eastAsia="Times New Roman" w:hAnsi="Times New Roman" w:cs="Times New Roman"/>
                <w:sz w:val="20"/>
                <w:szCs w:val="20"/>
              </w:rPr>
            </w:pPr>
          </w:p>
          <w:p w14:paraId="00EA9329"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Borders>
              <w:top w:val="single" w:sz="4" w:space="0" w:color="auto"/>
            </w:tcBorders>
          </w:tcPr>
          <w:p w14:paraId="421C47C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w:t>
            </w:r>
          </w:p>
        </w:tc>
        <w:tc>
          <w:tcPr>
            <w:tcW w:w="1098" w:type="dxa"/>
            <w:tcBorders>
              <w:top w:val="single" w:sz="4" w:space="0" w:color="auto"/>
            </w:tcBorders>
          </w:tcPr>
          <w:p w14:paraId="51F9E2B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(2)</w:t>
            </w:r>
          </w:p>
        </w:tc>
        <w:tc>
          <w:tcPr>
            <w:tcW w:w="977" w:type="dxa"/>
            <w:tcBorders>
              <w:top w:val="single" w:sz="4" w:space="0" w:color="auto"/>
            </w:tcBorders>
          </w:tcPr>
          <w:p w14:paraId="7A7AD0A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(3)</w:t>
            </w:r>
          </w:p>
        </w:tc>
        <w:tc>
          <w:tcPr>
            <w:tcW w:w="977" w:type="dxa"/>
            <w:tcBorders>
              <w:top w:val="single" w:sz="4" w:space="0" w:color="auto"/>
            </w:tcBorders>
          </w:tcPr>
          <w:p w14:paraId="54A4936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(4)</w:t>
            </w:r>
          </w:p>
        </w:tc>
        <w:tc>
          <w:tcPr>
            <w:tcW w:w="977" w:type="dxa"/>
            <w:tcBorders>
              <w:top w:val="single" w:sz="4" w:space="0" w:color="auto"/>
            </w:tcBorders>
          </w:tcPr>
          <w:p w14:paraId="48B6C6E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(5)</w:t>
            </w:r>
          </w:p>
        </w:tc>
        <w:tc>
          <w:tcPr>
            <w:tcW w:w="977" w:type="dxa"/>
            <w:tcBorders>
              <w:top w:val="single" w:sz="4" w:space="0" w:color="auto"/>
            </w:tcBorders>
          </w:tcPr>
          <w:p w14:paraId="26FA785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(6)</w:t>
            </w:r>
          </w:p>
        </w:tc>
        <w:tc>
          <w:tcPr>
            <w:tcW w:w="977" w:type="dxa"/>
            <w:tcBorders>
              <w:top w:val="single" w:sz="4" w:space="0" w:color="auto"/>
            </w:tcBorders>
          </w:tcPr>
          <w:p w14:paraId="71E89B2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(7)</w:t>
            </w:r>
          </w:p>
        </w:tc>
        <w:tc>
          <w:tcPr>
            <w:tcW w:w="1215" w:type="dxa"/>
            <w:tcBorders>
              <w:top w:val="single" w:sz="4" w:space="0" w:color="auto"/>
            </w:tcBorders>
          </w:tcPr>
          <w:p w14:paraId="0395A57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(8)</w:t>
            </w:r>
          </w:p>
        </w:tc>
      </w:tr>
      <w:tr w:rsidR="00E30E2D" w:rsidRPr="00A9015F" w14:paraId="1BA6647C" w14:textId="77777777" w:rsidTr="00264F85">
        <w:trPr>
          <w:trHeight w:val="407"/>
        </w:trPr>
        <w:tc>
          <w:tcPr>
            <w:tcW w:w="2231" w:type="dxa"/>
          </w:tcPr>
          <w:p w14:paraId="77D27F30"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VARIABLES</w:t>
            </w:r>
          </w:p>
        </w:tc>
        <w:tc>
          <w:tcPr>
            <w:tcW w:w="993" w:type="dxa"/>
          </w:tcPr>
          <w:p w14:paraId="6166517E"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1098" w:type="dxa"/>
          </w:tcPr>
          <w:p w14:paraId="2D512EC2"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977" w:type="dxa"/>
          </w:tcPr>
          <w:p w14:paraId="1E7B961B"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977" w:type="dxa"/>
          </w:tcPr>
          <w:p w14:paraId="063A442E"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977" w:type="dxa"/>
          </w:tcPr>
          <w:p w14:paraId="04565F4C"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977" w:type="dxa"/>
          </w:tcPr>
          <w:p w14:paraId="00929E23"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977" w:type="dxa"/>
          </w:tcPr>
          <w:p w14:paraId="13C948AF"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c>
          <w:tcPr>
            <w:tcW w:w="1215" w:type="dxa"/>
          </w:tcPr>
          <w:p w14:paraId="2BF61C3F" w14:textId="77777777" w:rsidR="00E30E2D" w:rsidRPr="00A9015F" w:rsidRDefault="00E30E2D" w:rsidP="00264F85">
            <w:pPr>
              <w:jc w:val="both"/>
              <w:rPr>
                <w:rFonts w:ascii="Times New Roman" w:eastAsia="Times New Roman" w:hAnsi="Times New Roman" w:cs="Times New Roman"/>
                <w:b/>
                <w:bCs/>
                <w:sz w:val="20"/>
                <w:szCs w:val="20"/>
              </w:rPr>
            </w:pPr>
            <w:r w:rsidRPr="00A9015F">
              <w:rPr>
                <w:rFonts w:ascii="Times New Roman" w:eastAsia="Times New Roman" w:hAnsi="Times New Roman" w:cs="Times New Roman"/>
                <w:b/>
                <w:bCs/>
                <w:sz w:val="20"/>
                <w:szCs w:val="20"/>
              </w:rPr>
              <w:t>Total Fine</w:t>
            </w:r>
          </w:p>
        </w:tc>
      </w:tr>
      <w:tr w:rsidR="00E30E2D" w:rsidRPr="00A9015F" w14:paraId="6D3644DC" w14:textId="77777777" w:rsidTr="00264F85">
        <w:trPr>
          <w:trHeight w:val="407"/>
        </w:trPr>
        <w:tc>
          <w:tcPr>
            <w:tcW w:w="2231" w:type="dxa"/>
          </w:tcPr>
          <w:p w14:paraId="59699EB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Gender Heterogeneity (More)</w:t>
            </w:r>
          </w:p>
        </w:tc>
        <w:tc>
          <w:tcPr>
            <w:tcW w:w="993" w:type="dxa"/>
          </w:tcPr>
          <w:p w14:paraId="43FB5E8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-0.136*</w:t>
            </w:r>
          </w:p>
          <w:p w14:paraId="1D6693D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(0.0806)</w:t>
            </w:r>
          </w:p>
        </w:tc>
        <w:tc>
          <w:tcPr>
            <w:tcW w:w="1098" w:type="dxa"/>
          </w:tcPr>
          <w:p w14:paraId="0341C845"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0DAC9E8A"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24AD2B4"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7B820134"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45752279"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9B85C17"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70B1B9EA"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7F4428F3" w14:textId="77777777" w:rsidTr="00264F85">
        <w:trPr>
          <w:trHeight w:val="407"/>
        </w:trPr>
        <w:tc>
          <w:tcPr>
            <w:tcW w:w="2231" w:type="dxa"/>
          </w:tcPr>
          <w:p w14:paraId="55FC99B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Expert Heterogeneity (More)</w:t>
            </w:r>
          </w:p>
        </w:tc>
        <w:tc>
          <w:tcPr>
            <w:tcW w:w="993" w:type="dxa"/>
          </w:tcPr>
          <w:p w14:paraId="56A0F92F"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788470C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-0.127*</w:t>
            </w:r>
          </w:p>
          <w:p w14:paraId="0BE6F03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(0.0668)</w:t>
            </w:r>
          </w:p>
        </w:tc>
        <w:tc>
          <w:tcPr>
            <w:tcW w:w="977" w:type="dxa"/>
          </w:tcPr>
          <w:p w14:paraId="359B1054"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18CE3AE3"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AB5DE2C"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E19114D"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2B9B693"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399E0C21"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0768472D" w14:textId="77777777" w:rsidTr="00264F85">
        <w:trPr>
          <w:trHeight w:val="454"/>
        </w:trPr>
        <w:tc>
          <w:tcPr>
            <w:tcW w:w="2231" w:type="dxa"/>
          </w:tcPr>
          <w:p w14:paraId="74E3DFB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Tenure Heterogeneity (More)</w:t>
            </w:r>
          </w:p>
        </w:tc>
        <w:tc>
          <w:tcPr>
            <w:tcW w:w="993" w:type="dxa"/>
          </w:tcPr>
          <w:p w14:paraId="650B8AC3"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06D735BB"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0935071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0.0892*</w:t>
            </w:r>
          </w:p>
          <w:p w14:paraId="525D29F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(0.0466)</w:t>
            </w:r>
          </w:p>
        </w:tc>
        <w:tc>
          <w:tcPr>
            <w:tcW w:w="977" w:type="dxa"/>
          </w:tcPr>
          <w:p w14:paraId="5B1F95D6"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5C419EB"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F232AC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732D0F66"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22B4A69B"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1C2FF1FF" w14:textId="77777777" w:rsidTr="00264F85">
        <w:trPr>
          <w:trHeight w:val="448"/>
        </w:trPr>
        <w:tc>
          <w:tcPr>
            <w:tcW w:w="2231" w:type="dxa"/>
          </w:tcPr>
          <w:p w14:paraId="467F4C0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Gender Heterogeneity (Low)</w:t>
            </w:r>
          </w:p>
        </w:tc>
        <w:tc>
          <w:tcPr>
            <w:tcW w:w="993" w:type="dxa"/>
          </w:tcPr>
          <w:p w14:paraId="1C94C213"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11E60D59"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419ADCE2"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D18A3D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0.0886</w:t>
            </w:r>
          </w:p>
          <w:p w14:paraId="6553465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(0.0681)</w:t>
            </w:r>
          </w:p>
        </w:tc>
        <w:tc>
          <w:tcPr>
            <w:tcW w:w="977" w:type="dxa"/>
          </w:tcPr>
          <w:p w14:paraId="46BEC84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01646FA"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11ADAFFA"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4F44C46A"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4982FDFE" w14:textId="77777777" w:rsidTr="00264F85">
        <w:trPr>
          <w:trHeight w:val="438"/>
        </w:trPr>
        <w:tc>
          <w:tcPr>
            <w:tcW w:w="2231" w:type="dxa"/>
          </w:tcPr>
          <w:p w14:paraId="7663952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Expert Heterogeneity (Low)</w:t>
            </w:r>
          </w:p>
        </w:tc>
        <w:tc>
          <w:tcPr>
            <w:tcW w:w="993" w:type="dxa"/>
          </w:tcPr>
          <w:p w14:paraId="655E1158"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64CC59DF"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0EA0B85A"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46CCFD3B"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411BA48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0.0821</w:t>
            </w:r>
          </w:p>
          <w:p w14:paraId="5C840F6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(0.0662)</w:t>
            </w:r>
          </w:p>
        </w:tc>
        <w:tc>
          <w:tcPr>
            <w:tcW w:w="977" w:type="dxa"/>
          </w:tcPr>
          <w:p w14:paraId="514F06DB"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FC6DABF"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6AC2AD65"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449F6C23" w14:textId="77777777" w:rsidTr="00264F85">
        <w:trPr>
          <w:trHeight w:val="448"/>
        </w:trPr>
        <w:tc>
          <w:tcPr>
            <w:tcW w:w="2231" w:type="dxa"/>
          </w:tcPr>
          <w:p w14:paraId="4156CE3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Tenure Heterogeneity (Low)</w:t>
            </w:r>
          </w:p>
        </w:tc>
        <w:tc>
          <w:tcPr>
            <w:tcW w:w="993" w:type="dxa"/>
          </w:tcPr>
          <w:p w14:paraId="3A32F99D"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509ED4C0"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7854A5FC"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270A563"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1685B616"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2A72BC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-0.0892*</w:t>
            </w:r>
          </w:p>
          <w:p w14:paraId="02475D9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(0.0466)</w:t>
            </w:r>
          </w:p>
        </w:tc>
        <w:tc>
          <w:tcPr>
            <w:tcW w:w="977" w:type="dxa"/>
          </w:tcPr>
          <w:p w14:paraId="06DD4937"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724E65AC"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4DC6DBC0" w14:textId="77777777" w:rsidTr="00264F85">
        <w:trPr>
          <w:trHeight w:val="201"/>
        </w:trPr>
        <w:tc>
          <w:tcPr>
            <w:tcW w:w="2231" w:type="dxa"/>
          </w:tcPr>
          <w:p w14:paraId="3304649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Heterogeneity Index1</w:t>
            </w:r>
          </w:p>
        </w:tc>
        <w:tc>
          <w:tcPr>
            <w:tcW w:w="993" w:type="dxa"/>
          </w:tcPr>
          <w:p w14:paraId="4A93C195"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21764AF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226DDC4"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816819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2767271"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5114B2B"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37D7C9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-0.101***</w:t>
            </w:r>
          </w:p>
        </w:tc>
        <w:tc>
          <w:tcPr>
            <w:tcW w:w="1215" w:type="dxa"/>
          </w:tcPr>
          <w:p w14:paraId="2021DA77"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03ED95B9" w14:textId="77777777" w:rsidTr="00264F85">
        <w:trPr>
          <w:trHeight w:val="201"/>
        </w:trPr>
        <w:tc>
          <w:tcPr>
            <w:tcW w:w="2231" w:type="dxa"/>
          </w:tcPr>
          <w:p w14:paraId="60E92A64"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6C0C2FC4"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2A91728F"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8E49145"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3A5DC2E"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CFCC1ED"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7A88C8C"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8249C9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(0.0333)</w:t>
            </w:r>
          </w:p>
        </w:tc>
        <w:tc>
          <w:tcPr>
            <w:tcW w:w="1215" w:type="dxa"/>
          </w:tcPr>
          <w:p w14:paraId="0F99375D" w14:textId="77777777" w:rsidR="00E30E2D" w:rsidRPr="00A9015F" w:rsidRDefault="00E30E2D" w:rsidP="00264F85">
            <w:pPr>
              <w:jc w:val="both"/>
              <w:rPr>
                <w:rFonts w:ascii="Times New Roman" w:eastAsia="Times New Roman" w:hAnsi="Times New Roman" w:cs="Times New Roman"/>
                <w:sz w:val="20"/>
                <w:szCs w:val="20"/>
              </w:rPr>
            </w:pPr>
          </w:p>
        </w:tc>
      </w:tr>
      <w:tr w:rsidR="00E30E2D" w:rsidRPr="00A9015F" w14:paraId="4ACCDE45" w14:textId="77777777" w:rsidTr="00264F85">
        <w:trPr>
          <w:trHeight w:val="201"/>
        </w:trPr>
        <w:tc>
          <w:tcPr>
            <w:tcW w:w="2231" w:type="dxa"/>
          </w:tcPr>
          <w:p w14:paraId="4C9590C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Heterogeneity Index2</w:t>
            </w:r>
          </w:p>
        </w:tc>
        <w:tc>
          <w:tcPr>
            <w:tcW w:w="993" w:type="dxa"/>
          </w:tcPr>
          <w:p w14:paraId="20DF1EF2"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2AB2F3CC"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E3F9055"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5790E1B2"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C2F5B2E"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6FC9D4AA"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CF07FC3"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2162150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-0.0106</w:t>
            </w:r>
          </w:p>
        </w:tc>
      </w:tr>
      <w:tr w:rsidR="00E30E2D" w:rsidRPr="00A9015F" w14:paraId="3A69243B" w14:textId="77777777" w:rsidTr="00264F85">
        <w:trPr>
          <w:trHeight w:val="201"/>
        </w:trPr>
        <w:tc>
          <w:tcPr>
            <w:tcW w:w="2231" w:type="dxa"/>
          </w:tcPr>
          <w:p w14:paraId="3077D02A"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7F799F97" w14:textId="77777777" w:rsidR="00E30E2D" w:rsidRPr="00A9015F" w:rsidRDefault="00E30E2D" w:rsidP="00264F85">
            <w:pPr>
              <w:jc w:val="both"/>
              <w:rPr>
                <w:rFonts w:ascii="Times New Roman" w:eastAsia="Times New Roman" w:hAnsi="Times New Roman" w:cs="Times New Roman"/>
                <w:sz w:val="20"/>
                <w:szCs w:val="20"/>
              </w:rPr>
            </w:pPr>
          </w:p>
        </w:tc>
        <w:tc>
          <w:tcPr>
            <w:tcW w:w="1098" w:type="dxa"/>
          </w:tcPr>
          <w:p w14:paraId="77EC56DE"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40CD7BF5"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261942D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32260DF8"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78F2B117" w14:textId="77777777" w:rsidR="00E30E2D" w:rsidRPr="00A9015F" w:rsidRDefault="00E30E2D" w:rsidP="00264F85">
            <w:pPr>
              <w:jc w:val="both"/>
              <w:rPr>
                <w:rFonts w:ascii="Times New Roman" w:eastAsia="Times New Roman" w:hAnsi="Times New Roman" w:cs="Times New Roman"/>
                <w:sz w:val="20"/>
                <w:szCs w:val="20"/>
              </w:rPr>
            </w:pPr>
          </w:p>
        </w:tc>
        <w:tc>
          <w:tcPr>
            <w:tcW w:w="977" w:type="dxa"/>
          </w:tcPr>
          <w:p w14:paraId="1180C2EF" w14:textId="77777777" w:rsidR="00E30E2D" w:rsidRPr="00A9015F" w:rsidRDefault="00E30E2D" w:rsidP="00264F85">
            <w:pPr>
              <w:jc w:val="both"/>
              <w:rPr>
                <w:rFonts w:ascii="Times New Roman" w:eastAsia="Times New Roman" w:hAnsi="Times New Roman" w:cs="Times New Roman"/>
                <w:sz w:val="20"/>
                <w:szCs w:val="20"/>
              </w:rPr>
            </w:pPr>
          </w:p>
        </w:tc>
        <w:tc>
          <w:tcPr>
            <w:tcW w:w="1215" w:type="dxa"/>
          </w:tcPr>
          <w:p w14:paraId="13C2FCC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(0.0356)</w:t>
            </w:r>
          </w:p>
        </w:tc>
      </w:tr>
      <w:tr w:rsidR="00E30E2D" w:rsidRPr="00A9015F" w14:paraId="34843D49" w14:textId="77777777" w:rsidTr="00264F85">
        <w:trPr>
          <w:trHeight w:val="201"/>
        </w:trPr>
        <w:tc>
          <w:tcPr>
            <w:tcW w:w="2231" w:type="dxa"/>
          </w:tcPr>
          <w:p w14:paraId="6E9FCA8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Board Size</w:t>
            </w:r>
          </w:p>
        </w:tc>
        <w:tc>
          <w:tcPr>
            <w:tcW w:w="993" w:type="dxa"/>
          </w:tcPr>
          <w:p w14:paraId="0329170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c>
          <w:tcPr>
            <w:tcW w:w="1098" w:type="dxa"/>
          </w:tcPr>
          <w:p w14:paraId="5A66132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-0.118**</w:t>
            </w:r>
          </w:p>
        </w:tc>
        <w:tc>
          <w:tcPr>
            <w:tcW w:w="977" w:type="dxa"/>
          </w:tcPr>
          <w:p w14:paraId="18FAB42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-0.124**</w:t>
            </w:r>
          </w:p>
        </w:tc>
        <w:tc>
          <w:tcPr>
            <w:tcW w:w="977" w:type="dxa"/>
          </w:tcPr>
          <w:p w14:paraId="64DE81A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-0.136***</w:t>
            </w:r>
          </w:p>
        </w:tc>
        <w:tc>
          <w:tcPr>
            <w:tcW w:w="977" w:type="dxa"/>
          </w:tcPr>
          <w:p w14:paraId="4721C28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-0.120**</w:t>
            </w:r>
          </w:p>
        </w:tc>
        <w:tc>
          <w:tcPr>
            <w:tcW w:w="977" w:type="dxa"/>
          </w:tcPr>
          <w:p w14:paraId="7531B35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-0.124**</w:t>
            </w:r>
          </w:p>
        </w:tc>
        <w:tc>
          <w:tcPr>
            <w:tcW w:w="977" w:type="dxa"/>
          </w:tcPr>
          <w:p w14:paraId="0EB96D0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-0.113**</w:t>
            </w:r>
          </w:p>
        </w:tc>
        <w:tc>
          <w:tcPr>
            <w:tcW w:w="1215" w:type="dxa"/>
          </w:tcPr>
          <w:p w14:paraId="7A9801A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r>
      <w:tr w:rsidR="00E30E2D" w:rsidRPr="00A9015F" w14:paraId="6AD8E023" w14:textId="77777777" w:rsidTr="00264F85">
        <w:trPr>
          <w:trHeight w:val="192"/>
        </w:trPr>
        <w:tc>
          <w:tcPr>
            <w:tcW w:w="2231" w:type="dxa"/>
          </w:tcPr>
          <w:p w14:paraId="502FD649"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563C944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(0.0507)</w:t>
            </w:r>
          </w:p>
        </w:tc>
        <w:tc>
          <w:tcPr>
            <w:tcW w:w="1098" w:type="dxa"/>
          </w:tcPr>
          <w:p w14:paraId="6D110E8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(0.0512)</w:t>
            </w:r>
          </w:p>
        </w:tc>
        <w:tc>
          <w:tcPr>
            <w:tcW w:w="977" w:type="dxa"/>
          </w:tcPr>
          <w:p w14:paraId="42674DB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(0.0508)</w:t>
            </w:r>
          </w:p>
        </w:tc>
        <w:tc>
          <w:tcPr>
            <w:tcW w:w="977" w:type="dxa"/>
          </w:tcPr>
          <w:p w14:paraId="101D95A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(0.0508)</w:t>
            </w:r>
          </w:p>
        </w:tc>
        <w:tc>
          <w:tcPr>
            <w:tcW w:w="977" w:type="dxa"/>
          </w:tcPr>
          <w:p w14:paraId="5A02697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(0.0515)</w:t>
            </w:r>
          </w:p>
        </w:tc>
        <w:tc>
          <w:tcPr>
            <w:tcW w:w="977" w:type="dxa"/>
          </w:tcPr>
          <w:p w14:paraId="2995504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(0.0508)</w:t>
            </w:r>
          </w:p>
        </w:tc>
        <w:tc>
          <w:tcPr>
            <w:tcW w:w="977" w:type="dxa"/>
          </w:tcPr>
          <w:p w14:paraId="603671C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(0.0509)</w:t>
            </w:r>
          </w:p>
        </w:tc>
        <w:tc>
          <w:tcPr>
            <w:tcW w:w="1215" w:type="dxa"/>
          </w:tcPr>
          <w:p w14:paraId="23B827B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(0.0508)</w:t>
            </w:r>
          </w:p>
        </w:tc>
      </w:tr>
      <w:tr w:rsidR="00E30E2D" w:rsidRPr="00A9015F" w14:paraId="1BAEB95A" w14:textId="77777777" w:rsidTr="00264F85">
        <w:trPr>
          <w:trHeight w:val="201"/>
        </w:trPr>
        <w:tc>
          <w:tcPr>
            <w:tcW w:w="2231" w:type="dxa"/>
          </w:tcPr>
          <w:p w14:paraId="1D1B893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Growth</w:t>
            </w:r>
          </w:p>
        </w:tc>
        <w:tc>
          <w:tcPr>
            <w:tcW w:w="993" w:type="dxa"/>
          </w:tcPr>
          <w:p w14:paraId="446AD49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0.0435</w:t>
            </w:r>
          </w:p>
        </w:tc>
        <w:tc>
          <w:tcPr>
            <w:tcW w:w="1098" w:type="dxa"/>
          </w:tcPr>
          <w:p w14:paraId="516BBDF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0.0323</w:t>
            </w:r>
          </w:p>
        </w:tc>
        <w:tc>
          <w:tcPr>
            <w:tcW w:w="977" w:type="dxa"/>
          </w:tcPr>
          <w:p w14:paraId="2D637D4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0.0430</w:t>
            </w:r>
          </w:p>
        </w:tc>
        <w:tc>
          <w:tcPr>
            <w:tcW w:w="977" w:type="dxa"/>
          </w:tcPr>
          <w:p w14:paraId="5CC9F0B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0.0410</w:t>
            </w:r>
          </w:p>
        </w:tc>
        <w:tc>
          <w:tcPr>
            <w:tcW w:w="977" w:type="dxa"/>
          </w:tcPr>
          <w:p w14:paraId="4A25B51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0.0337</w:t>
            </w:r>
          </w:p>
        </w:tc>
        <w:tc>
          <w:tcPr>
            <w:tcW w:w="977" w:type="dxa"/>
          </w:tcPr>
          <w:p w14:paraId="23A0135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0.0430</w:t>
            </w:r>
          </w:p>
        </w:tc>
        <w:tc>
          <w:tcPr>
            <w:tcW w:w="977" w:type="dxa"/>
          </w:tcPr>
          <w:p w14:paraId="4F11982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0.0453</w:t>
            </w:r>
          </w:p>
        </w:tc>
        <w:tc>
          <w:tcPr>
            <w:tcW w:w="1215" w:type="dxa"/>
          </w:tcPr>
          <w:p w14:paraId="710659C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0.0362</w:t>
            </w:r>
          </w:p>
        </w:tc>
      </w:tr>
      <w:tr w:rsidR="00E30E2D" w:rsidRPr="00A9015F" w14:paraId="7FD3BCCE" w14:textId="77777777" w:rsidTr="00264F85">
        <w:trPr>
          <w:trHeight w:val="201"/>
        </w:trPr>
        <w:tc>
          <w:tcPr>
            <w:tcW w:w="2231" w:type="dxa"/>
          </w:tcPr>
          <w:p w14:paraId="190982FF"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1CF3273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(0.0335)</w:t>
            </w:r>
          </w:p>
        </w:tc>
        <w:tc>
          <w:tcPr>
            <w:tcW w:w="1098" w:type="dxa"/>
          </w:tcPr>
          <w:p w14:paraId="373318E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(0.0333)</w:t>
            </w:r>
          </w:p>
        </w:tc>
        <w:tc>
          <w:tcPr>
            <w:tcW w:w="977" w:type="dxa"/>
          </w:tcPr>
          <w:p w14:paraId="3E4F462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c>
          <w:tcPr>
            <w:tcW w:w="977" w:type="dxa"/>
          </w:tcPr>
          <w:p w14:paraId="0243707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c>
          <w:tcPr>
            <w:tcW w:w="977" w:type="dxa"/>
          </w:tcPr>
          <w:p w14:paraId="703EF38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c>
          <w:tcPr>
            <w:tcW w:w="977" w:type="dxa"/>
          </w:tcPr>
          <w:p w14:paraId="3A10670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c>
          <w:tcPr>
            <w:tcW w:w="977" w:type="dxa"/>
          </w:tcPr>
          <w:p w14:paraId="224CFC6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(0.0332)</w:t>
            </w:r>
          </w:p>
        </w:tc>
        <w:tc>
          <w:tcPr>
            <w:tcW w:w="1215" w:type="dxa"/>
          </w:tcPr>
          <w:p w14:paraId="7E7C40E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(0.0334)</w:t>
            </w:r>
          </w:p>
        </w:tc>
      </w:tr>
      <w:tr w:rsidR="00E30E2D" w:rsidRPr="00A9015F" w14:paraId="261BEEE5" w14:textId="77777777" w:rsidTr="00264F85">
        <w:trPr>
          <w:trHeight w:val="201"/>
        </w:trPr>
        <w:tc>
          <w:tcPr>
            <w:tcW w:w="2231" w:type="dxa"/>
          </w:tcPr>
          <w:p w14:paraId="78FF1CA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Bank Size</w:t>
            </w:r>
          </w:p>
        </w:tc>
        <w:tc>
          <w:tcPr>
            <w:tcW w:w="993" w:type="dxa"/>
          </w:tcPr>
          <w:p w14:paraId="6DFB093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0.201</w:t>
            </w:r>
          </w:p>
        </w:tc>
        <w:tc>
          <w:tcPr>
            <w:tcW w:w="1098" w:type="dxa"/>
          </w:tcPr>
          <w:p w14:paraId="529D2EA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0.0984</w:t>
            </w:r>
          </w:p>
        </w:tc>
        <w:tc>
          <w:tcPr>
            <w:tcW w:w="977" w:type="dxa"/>
          </w:tcPr>
          <w:p w14:paraId="731405B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0.173</w:t>
            </w:r>
          </w:p>
        </w:tc>
        <w:tc>
          <w:tcPr>
            <w:tcW w:w="977" w:type="dxa"/>
          </w:tcPr>
          <w:p w14:paraId="622B8AF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0.203</w:t>
            </w:r>
          </w:p>
        </w:tc>
        <w:tc>
          <w:tcPr>
            <w:tcW w:w="977" w:type="dxa"/>
          </w:tcPr>
          <w:p w14:paraId="3B7F88D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0.117</w:t>
            </w:r>
          </w:p>
        </w:tc>
        <w:tc>
          <w:tcPr>
            <w:tcW w:w="977" w:type="dxa"/>
          </w:tcPr>
          <w:p w14:paraId="26B168C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0.173</w:t>
            </w:r>
          </w:p>
        </w:tc>
        <w:tc>
          <w:tcPr>
            <w:tcW w:w="977" w:type="dxa"/>
          </w:tcPr>
          <w:p w14:paraId="7F0DC83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0.176</w:t>
            </w:r>
          </w:p>
        </w:tc>
        <w:tc>
          <w:tcPr>
            <w:tcW w:w="1215" w:type="dxa"/>
          </w:tcPr>
          <w:p w14:paraId="4EC63CE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0.145</w:t>
            </w:r>
          </w:p>
        </w:tc>
      </w:tr>
      <w:tr w:rsidR="00E30E2D" w:rsidRPr="00A9015F" w14:paraId="06715570" w14:textId="77777777" w:rsidTr="00264F85">
        <w:trPr>
          <w:trHeight w:val="201"/>
        </w:trPr>
        <w:tc>
          <w:tcPr>
            <w:tcW w:w="2231" w:type="dxa"/>
          </w:tcPr>
          <w:p w14:paraId="18A893C5"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1639B87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(0.135)</w:t>
            </w:r>
          </w:p>
        </w:tc>
        <w:tc>
          <w:tcPr>
            <w:tcW w:w="1098" w:type="dxa"/>
          </w:tcPr>
          <w:p w14:paraId="3F66AD8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(0.134)</w:t>
            </w:r>
          </w:p>
        </w:tc>
        <w:tc>
          <w:tcPr>
            <w:tcW w:w="977" w:type="dxa"/>
          </w:tcPr>
          <w:p w14:paraId="611B2CD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c>
          <w:tcPr>
            <w:tcW w:w="977" w:type="dxa"/>
          </w:tcPr>
          <w:p w14:paraId="6A9515E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(0.138)</w:t>
            </w:r>
          </w:p>
        </w:tc>
        <w:tc>
          <w:tcPr>
            <w:tcW w:w="977" w:type="dxa"/>
          </w:tcPr>
          <w:p w14:paraId="7476A6F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(0.134)</w:t>
            </w:r>
          </w:p>
        </w:tc>
        <w:tc>
          <w:tcPr>
            <w:tcW w:w="977" w:type="dxa"/>
          </w:tcPr>
          <w:p w14:paraId="06F066B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c>
          <w:tcPr>
            <w:tcW w:w="977" w:type="dxa"/>
          </w:tcPr>
          <w:p w14:paraId="4FA04BA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(0.131)</w:t>
            </w:r>
          </w:p>
        </w:tc>
        <w:tc>
          <w:tcPr>
            <w:tcW w:w="1215" w:type="dxa"/>
          </w:tcPr>
          <w:p w14:paraId="5383E83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(0.132)</w:t>
            </w:r>
          </w:p>
        </w:tc>
      </w:tr>
      <w:tr w:rsidR="00E30E2D" w:rsidRPr="00A9015F" w14:paraId="1806206A" w14:textId="77777777" w:rsidTr="00264F85">
        <w:trPr>
          <w:trHeight w:val="201"/>
        </w:trPr>
        <w:tc>
          <w:tcPr>
            <w:tcW w:w="2231" w:type="dxa"/>
          </w:tcPr>
          <w:p w14:paraId="44E7650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Charter Value</w:t>
            </w:r>
          </w:p>
        </w:tc>
        <w:tc>
          <w:tcPr>
            <w:tcW w:w="993" w:type="dxa"/>
          </w:tcPr>
          <w:p w14:paraId="7C1BB85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-0.401**</w:t>
            </w:r>
          </w:p>
        </w:tc>
        <w:tc>
          <w:tcPr>
            <w:tcW w:w="1098" w:type="dxa"/>
          </w:tcPr>
          <w:p w14:paraId="4E7C235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-0.369*</w:t>
            </w:r>
          </w:p>
        </w:tc>
        <w:tc>
          <w:tcPr>
            <w:tcW w:w="977" w:type="dxa"/>
          </w:tcPr>
          <w:p w14:paraId="0B65C2D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-0.368*</w:t>
            </w:r>
          </w:p>
        </w:tc>
        <w:tc>
          <w:tcPr>
            <w:tcW w:w="977" w:type="dxa"/>
          </w:tcPr>
          <w:p w14:paraId="59F1597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-0.382**</w:t>
            </w:r>
          </w:p>
        </w:tc>
        <w:tc>
          <w:tcPr>
            <w:tcW w:w="977" w:type="dxa"/>
          </w:tcPr>
          <w:p w14:paraId="1B0251D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-0.367*</w:t>
            </w:r>
          </w:p>
        </w:tc>
        <w:tc>
          <w:tcPr>
            <w:tcW w:w="977" w:type="dxa"/>
          </w:tcPr>
          <w:p w14:paraId="430AB1F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-0.368*</w:t>
            </w:r>
          </w:p>
        </w:tc>
        <w:tc>
          <w:tcPr>
            <w:tcW w:w="977" w:type="dxa"/>
          </w:tcPr>
          <w:p w14:paraId="0C5A638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-0.361*</w:t>
            </w:r>
          </w:p>
        </w:tc>
        <w:tc>
          <w:tcPr>
            <w:tcW w:w="1215" w:type="dxa"/>
          </w:tcPr>
          <w:p w14:paraId="02A8926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-0.389**</w:t>
            </w:r>
          </w:p>
        </w:tc>
      </w:tr>
      <w:tr w:rsidR="00E30E2D" w:rsidRPr="00A9015F" w14:paraId="0E610A9C" w14:textId="77777777" w:rsidTr="00264F85">
        <w:trPr>
          <w:trHeight w:val="201"/>
        </w:trPr>
        <w:tc>
          <w:tcPr>
            <w:tcW w:w="2231" w:type="dxa"/>
          </w:tcPr>
          <w:p w14:paraId="3E163A8F"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75D1455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1098" w:type="dxa"/>
          </w:tcPr>
          <w:p w14:paraId="785DAF5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977" w:type="dxa"/>
          </w:tcPr>
          <w:p w14:paraId="3D1D426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977" w:type="dxa"/>
          </w:tcPr>
          <w:p w14:paraId="2689252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977" w:type="dxa"/>
          </w:tcPr>
          <w:p w14:paraId="766280A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(0.190)</w:t>
            </w:r>
          </w:p>
        </w:tc>
        <w:tc>
          <w:tcPr>
            <w:tcW w:w="977" w:type="dxa"/>
          </w:tcPr>
          <w:p w14:paraId="3BEDCDA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c>
          <w:tcPr>
            <w:tcW w:w="977" w:type="dxa"/>
          </w:tcPr>
          <w:p w14:paraId="2CF72A7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(0.188)</w:t>
            </w:r>
          </w:p>
        </w:tc>
        <w:tc>
          <w:tcPr>
            <w:tcW w:w="1215" w:type="dxa"/>
          </w:tcPr>
          <w:p w14:paraId="2124731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(0.189)</w:t>
            </w:r>
          </w:p>
        </w:tc>
      </w:tr>
      <w:tr w:rsidR="00E30E2D" w:rsidRPr="00A9015F" w14:paraId="39FF3695" w14:textId="77777777" w:rsidTr="00264F85">
        <w:trPr>
          <w:trHeight w:val="201"/>
        </w:trPr>
        <w:tc>
          <w:tcPr>
            <w:tcW w:w="2231" w:type="dxa"/>
          </w:tcPr>
          <w:p w14:paraId="3BE0CBC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Capital</w:t>
            </w:r>
          </w:p>
        </w:tc>
        <w:tc>
          <w:tcPr>
            <w:tcW w:w="993" w:type="dxa"/>
          </w:tcPr>
          <w:p w14:paraId="39F75C1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0.145*</w:t>
            </w:r>
          </w:p>
        </w:tc>
        <w:tc>
          <w:tcPr>
            <w:tcW w:w="1098" w:type="dxa"/>
          </w:tcPr>
          <w:p w14:paraId="6195291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0.140*</w:t>
            </w:r>
          </w:p>
        </w:tc>
        <w:tc>
          <w:tcPr>
            <w:tcW w:w="977" w:type="dxa"/>
          </w:tcPr>
          <w:p w14:paraId="325704F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0.120</w:t>
            </w:r>
          </w:p>
        </w:tc>
        <w:tc>
          <w:tcPr>
            <w:tcW w:w="977" w:type="dxa"/>
          </w:tcPr>
          <w:p w14:paraId="4F656F5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0.134*</w:t>
            </w:r>
          </w:p>
        </w:tc>
        <w:tc>
          <w:tcPr>
            <w:tcW w:w="977" w:type="dxa"/>
          </w:tcPr>
          <w:p w14:paraId="016E062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0.137*</w:t>
            </w:r>
          </w:p>
        </w:tc>
        <w:tc>
          <w:tcPr>
            <w:tcW w:w="977" w:type="dxa"/>
          </w:tcPr>
          <w:p w14:paraId="74EE9E9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0.120</w:t>
            </w:r>
          </w:p>
        </w:tc>
        <w:tc>
          <w:tcPr>
            <w:tcW w:w="977" w:type="dxa"/>
          </w:tcPr>
          <w:p w14:paraId="01470F4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0.130*</w:t>
            </w:r>
          </w:p>
        </w:tc>
        <w:tc>
          <w:tcPr>
            <w:tcW w:w="1215" w:type="dxa"/>
          </w:tcPr>
          <w:p w14:paraId="1E22D98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0.138*</w:t>
            </w:r>
          </w:p>
        </w:tc>
      </w:tr>
      <w:tr w:rsidR="00E30E2D" w:rsidRPr="00A9015F" w14:paraId="5B4A4CB5" w14:textId="77777777" w:rsidTr="00264F85">
        <w:trPr>
          <w:trHeight w:val="201"/>
        </w:trPr>
        <w:tc>
          <w:tcPr>
            <w:tcW w:w="2231" w:type="dxa"/>
          </w:tcPr>
          <w:p w14:paraId="0EDDB5C1"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6A92712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(0.0758)</w:t>
            </w:r>
          </w:p>
        </w:tc>
        <w:tc>
          <w:tcPr>
            <w:tcW w:w="1098" w:type="dxa"/>
          </w:tcPr>
          <w:p w14:paraId="0F0B95F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(0.0756)</w:t>
            </w:r>
          </w:p>
        </w:tc>
        <w:tc>
          <w:tcPr>
            <w:tcW w:w="977" w:type="dxa"/>
          </w:tcPr>
          <w:p w14:paraId="4A84484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(0.0759)</w:t>
            </w:r>
          </w:p>
        </w:tc>
        <w:tc>
          <w:tcPr>
            <w:tcW w:w="977" w:type="dxa"/>
          </w:tcPr>
          <w:p w14:paraId="4FD5535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(0.0756)</w:t>
            </w:r>
          </w:p>
        </w:tc>
        <w:tc>
          <w:tcPr>
            <w:tcW w:w="977" w:type="dxa"/>
          </w:tcPr>
          <w:p w14:paraId="45EBD78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(0.0757)</w:t>
            </w:r>
          </w:p>
        </w:tc>
        <w:tc>
          <w:tcPr>
            <w:tcW w:w="977" w:type="dxa"/>
          </w:tcPr>
          <w:p w14:paraId="03B8072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(0.0759)</w:t>
            </w:r>
          </w:p>
        </w:tc>
        <w:tc>
          <w:tcPr>
            <w:tcW w:w="977" w:type="dxa"/>
          </w:tcPr>
          <w:p w14:paraId="45F6092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(0.0753)</w:t>
            </w:r>
          </w:p>
        </w:tc>
        <w:tc>
          <w:tcPr>
            <w:tcW w:w="1215" w:type="dxa"/>
          </w:tcPr>
          <w:p w14:paraId="0AC8FAC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(0.0763)</w:t>
            </w:r>
          </w:p>
        </w:tc>
      </w:tr>
      <w:tr w:rsidR="00E30E2D" w:rsidRPr="00A9015F" w14:paraId="638EE502" w14:textId="77777777" w:rsidTr="00264F85">
        <w:trPr>
          <w:trHeight w:val="201"/>
        </w:trPr>
        <w:tc>
          <w:tcPr>
            <w:tcW w:w="2231" w:type="dxa"/>
          </w:tcPr>
          <w:p w14:paraId="4C6DAB7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ROA</w:t>
            </w:r>
          </w:p>
        </w:tc>
        <w:tc>
          <w:tcPr>
            <w:tcW w:w="993" w:type="dxa"/>
          </w:tcPr>
          <w:p w14:paraId="2658142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-0.181*</w:t>
            </w:r>
          </w:p>
        </w:tc>
        <w:tc>
          <w:tcPr>
            <w:tcW w:w="1098" w:type="dxa"/>
          </w:tcPr>
          <w:p w14:paraId="1C09014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-0.187*</w:t>
            </w:r>
          </w:p>
        </w:tc>
        <w:tc>
          <w:tcPr>
            <w:tcW w:w="977" w:type="dxa"/>
          </w:tcPr>
          <w:p w14:paraId="208362C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-0.168*</w:t>
            </w:r>
          </w:p>
        </w:tc>
        <w:tc>
          <w:tcPr>
            <w:tcW w:w="977" w:type="dxa"/>
          </w:tcPr>
          <w:p w14:paraId="6B713F8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-0.167*</w:t>
            </w:r>
          </w:p>
        </w:tc>
        <w:tc>
          <w:tcPr>
            <w:tcW w:w="977" w:type="dxa"/>
          </w:tcPr>
          <w:p w14:paraId="729F636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-0.183*</w:t>
            </w:r>
          </w:p>
        </w:tc>
        <w:tc>
          <w:tcPr>
            <w:tcW w:w="977" w:type="dxa"/>
          </w:tcPr>
          <w:p w14:paraId="67B5515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-0.168*</w:t>
            </w:r>
          </w:p>
        </w:tc>
        <w:tc>
          <w:tcPr>
            <w:tcW w:w="977" w:type="dxa"/>
          </w:tcPr>
          <w:p w14:paraId="31FE583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-0.174*</w:t>
            </w:r>
          </w:p>
        </w:tc>
        <w:tc>
          <w:tcPr>
            <w:tcW w:w="1215" w:type="dxa"/>
          </w:tcPr>
          <w:p w14:paraId="058BE9A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-0.181*</w:t>
            </w:r>
          </w:p>
        </w:tc>
      </w:tr>
      <w:tr w:rsidR="00E30E2D" w:rsidRPr="00A9015F" w14:paraId="305367FD" w14:textId="77777777" w:rsidTr="00264F85">
        <w:trPr>
          <w:trHeight w:val="201"/>
        </w:trPr>
        <w:tc>
          <w:tcPr>
            <w:tcW w:w="2231" w:type="dxa"/>
          </w:tcPr>
          <w:p w14:paraId="7BF472E9"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6BE9582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(0.0989)</w:t>
            </w:r>
          </w:p>
        </w:tc>
        <w:tc>
          <w:tcPr>
            <w:tcW w:w="1098" w:type="dxa"/>
          </w:tcPr>
          <w:p w14:paraId="71E754E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(0.0989)</w:t>
            </w:r>
          </w:p>
        </w:tc>
        <w:tc>
          <w:tcPr>
            <w:tcW w:w="977" w:type="dxa"/>
          </w:tcPr>
          <w:p w14:paraId="52B0736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(0.0990)</w:t>
            </w:r>
          </w:p>
        </w:tc>
        <w:tc>
          <w:tcPr>
            <w:tcW w:w="977" w:type="dxa"/>
          </w:tcPr>
          <w:p w14:paraId="56477E9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(0.0994)</w:t>
            </w:r>
          </w:p>
        </w:tc>
        <w:tc>
          <w:tcPr>
            <w:tcW w:w="977" w:type="dxa"/>
          </w:tcPr>
          <w:p w14:paraId="0FD0811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(0.0990)</w:t>
            </w:r>
          </w:p>
        </w:tc>
        <w:tc>
          <w:tcPr>
            <w:tcW w:w="977" w:type="dxa"/>
          </w:tcPr>
          <w:p w14:paraId="4CF3EF3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(0.0990)</w:t>
            </w:r>
          </w:p>
        </w:tc>
        <w:tc>
          <w:tcPr>
            <w:tcW w:w="977" w:type="dxa"/>
          </w:tcPr>
          <w:p w14:paraId="452E12B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(0.0985)</w:t>
            </w:r>
          </w:p>
        </w:tc>
        <w:tc>
          <w:tcPr>
            <w:tcW w:w="1215" w:type="dxa"/>
          </w:tcPr>
          <w:p w14:paraId="1390AD4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(0.0993)</w:t>
            </w:r>
          </w:p>
        </w:tc>
      </w:tr>
      <w:tr w:rsidR="00E30E2D" w:rsidRPr="00A9015F" w14:paraId="45D03CB8" w14:textId="77777777" w:rsidTr="00264F85">
        <w:trPr>
          <w:trHeight w:val="192"/>
        </w:trPr>
        <w:tc>
          <w:tcPr>
            <w:tcW w:w="2231" w:type="dxa"/>
          </w:tcPr>
          <w:p w14:paraId="0AC9126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CEO Tenure</w:t>
            </w:r>
          </w:p>
        </w:tc>
        <w:tc>
          <w:tcPr>
            <w:tcW w:w="993" w:type="dxa"/>
          </w:tcPr>
          <w:p w14:paraId="5ED4BE4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-0.0494</w:t>
            </w:r>
          </w:p>
        </w:tc>
        <w:tc>
          <w:tcPr>
            <w:tcW w:w="1098" w:type="dxa"/>
          </w:tcPr>
          <w:p w14:paraId="2295A6F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-0.0520</w:t>
            </w:r>
          </w:p>
        </w:tc>
        <w:tc>
          <w:tcPr>
            <w:tcW w:w="977" w:type="dxa"/>
          </w:tcPr>
          <w:p w14:paraId="6232B8B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-0.0543</w:t>
            </w:r>
          </w:p>
        </w:tc>
        <w:tc>
          <w:tcPr>
            <w:tcW w:w="977" w:type="dxa"/>
          </w:tcPr>
          <w:p w14:paraId="4EE4B7F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-0.0473</w:t>
            </w:r>
          </w:p>
        </w:tc>
        <w:tc>
          <w:tcPr>
            <w:tcW w:w="977" w:type="dxa"/>
          </w:tcPr>
          <w:p w14:paraId="3772721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-0.0515</w:t>
            </w:r>
          </w:p>
        </w:tc>
        <w:tc>
          <w:tcPr>
            <w:tcW w:w="977" w:type="dxa"/>
          </w:tcPr>
          <w:p w14:paraId="3C90DE9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-0.0543</w:t>
            </w:r>
          </w:p>
        </w:tc>
        <w:tc>
          <w:tcPr>
            <w:tcW w:w="977" w:type="dxa"/>
          </w:tcPr>
          <w:p w14:paraId="1CB8EE3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-0.0529</w:t>
            </w:r>
          </w:p>
        </w:tc>
        <w:tc>
          <w:tcPr>
            <w:tcW w:w="1215" w:type="dxa"/>
          </w:tcPr>
          <w:p w14:paraId="7D97DB9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-0.0514</w:t>
            </w:r>
          </w:p>
        </w:tc>
      </w:tr>
      <w:tr w:rsidR="00E30E2D" w:rsidRPr="00A9015F" w14:paraId="3F730007" w14:textId="77777777" w:rsidTr="00264F85">
        <w:trPr>
          <w:trHeight w:val="201"/>
        </w:trPr>
        <w:tc>
          <w:tcPr>
            <w:tcW w:w="2231" w:type="dxa"/>
          </w:tcPr>
          <w:p w14:paraId="60B64B43"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4C72432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(0.0370)</w:t>
            </w:r>
          </w:p>
        </w:tc>
        <w:tc>
          <w:tcPr>
            <w:tcW w:w="1098" w:type="dxa"/>
          </w:tcPr>
          <w:p w14:paraId="5687D62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(0.0369)</w:t>
            </w:r>
          </w:p>
        </w:tc>
        <w:tc>
          <w:tcPr>
            <w:tcW w:w="977" w:type="dxa"/>
          </w:tcPr>
          <w:p w14:paraId="342FC14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(0.0370)</w:t>
            </w:r>
          </w:p>
        </w:tc>
        <w:tc>
          <w:tcPr>
            <w:tcW w:w="977" w:type="dxa"/>
          </w:tcPr>
          <w:p w14:paraId="2717A21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(0.0371)</w:t>
            </w:r>
          </w:p>
        </w:tc>
        <w:tc>
          <w:tcPr>
            <w:tcW w:w="977" w:type="dxa"/>
          </w:tcPr>
          <w:p w14:paraId="50B1C3D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(0.0370)</w:t>
            </w:r>
          </w:p>
        </w:tc>
        <w:tc>
          <w:tcPr>
            <w:tcW w:w="977" w:type="dxa"/>
          </w:tcPr>
          <w:p w14:paraId="4EB1E7A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(0.0370)</w:t>
            </w:r>
          </w:p>
        </w:tc>
        <w:tc>
          <w:tcPr>
            <w:tcW w:w="977" w:type="dxa"/>
          </w:tcPr>
          <w:p w14:paraId="1A1059B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(0.0368)</w:t>
            </w:r>
          </w:p>
        </w:tc>
        <w:tc>
          <w:tcPr>
            <w:tcW w:w="1215" w:type="dxa"/>
          </w:tcPr>
          <w:p w14:paraId="004DB05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(0.0370)</w:t>
            </w:r>
          </w:p>
        </w:tc>
      </w:tr>
      <w:tr w:rsidR="00E30E2D" w:rsidRPr="00A9015F" w14:paraId="4D257282" w14:textId="77777777" w:rsidTr="00264F85">
        <w:trPr>
          <w:trHeight w:val="201"/>
        </w:trPr>
        <w:tc>
          <w:tcPr>
            <w:tcW w:w="2231" w:type="dxa"/>
          </w:tcPr>
          <w:p w14:paraId="39D4E12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Risk</w:t>
            </w:r>
          </w:p>
        </w:tc>
        <w:tc>
          <w:tcPr>
            <w:tcW w:w="993" w:type="dxa"/>
          </w:tcPr>
          <w:p w14:paraId="36CDE6B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-0.0647**</w:t>
            </w:r>
          </w:p>
        </w:tc>
        <w:tc>
          <w:tcPr>
            <w:tcW w:w="1098" w:type="dxa"/>
          </w:tcPr>
          <w:p w14:paraId="1418BCA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-0.0561**</w:t>
            </w:r>
          </w:p>
        </w:tc>
        <w:tc>
          <w:tcPr>
            <w:tcW w:w="977" w:type="dxa"/>
          </w:tcPr>
          <w:p w14:paraId="1409C85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-0.0632**</w:t>
            </w:r>
          </w:p>
        </w:tc>
        <w:tc>
          <w:tcPr>
            <w:tcW w:w="977" w:type="dxa"/>
          </w:tcPr>
          <w:p w14:paraId="565715C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-0.0603**</w:t>
            </w:r>
          </w:p>
        </w:tc>
        <w:tc>
          <w:tcPr>
            <w:tcW w:w="977" w:type="dxa"/>
          </w:tcPr>
          <w:p w14:paraId="65EC712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-0.0552*</w:t>
            </w:r>
          </w:p>
        </w:tc>
        <w:tc>
          <w:tcPr>
            <w:tcW w:w="977" w:type="dxa"/>
          </w:tcPr>
          <w:p w14:paraId="3ABCCB0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-0.0632**</w:t>
            </w:r>
          </w:p>
        </w:tc>
        <w:tc>
          <w:tcPr>
            <w:tcW w:w="977" w:type="dxa"/>
          </w:tcPr>
          <w:p w14:paraId="77C6267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-0.0680**</w:t>
            </w:r>
          </w:p>
        </w:tc>
        <w:tc>
          <w:tcPr>
            <w:tcW w:w="1215" w:type="dxa"/>
          </w:tcPr>
          <w:p w14:paraId="07BF337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-0.0573**</w:t>
            </w:r>
          </w:p>
        </w:tc>
      </w:tr>
      <w:tr w:rsidR="00E30E2D" w:rsidRPr="00A9015F" w14:paraId="5E375F18" w14:textId="77777777" w:rsidTr="00264F85">
        <w:trPr>
          <w:trHeight w:val="201"/>
        </w:trPr>
        <w:tc>
          <w:tcPr>
            <w:tcW w:w="2231" w:type="dxa"/>
          </w:tcPr>
          <w:p w14:paraId="30A6B3C1"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064AB46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(0.0283)</w:t>
            </w:r>
          </w:p>
        </w:tc>
        <w:tc>
          <w:tcPr>
            <w:tcW w:w="1098" w:type="dxa"/>
          </w:tcPr>
          <w:p w14:paraId="7AF6A8B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(0.0280)</w:t>
            </w:r>
          </w:p>
        </w:tc>
        <w:tc>
          <w:tcPr>
            <w:tcW w:w="977" w:type="dxa"/>
          </w:tcPr>
          <w:p w14:paraId="63B3F05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(0.0282)</w:t>
            </w:r>
          </w:p>
        </w:tc>
        <w:tc>
          <w:tcPr>
            <w:tcW w:w="977" w:type="dxa"/>
          </w:tcPr>
          <w:p w14:paraId="091719F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(0.0281)</w:t>
            </w:r>
          </w:p>
        </w:tc>
        <w:tc>
          <w:tcPr>
            <w:tcW w:w="977" w:type="dxa"/>
          </w:tcPr>
          <w:p w14:paraId="564ABCB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(0.0281)</w:t>
            </w:r>
          </w:p>
        </w:tc>
        <w:tc>
          <w:tcPr>
            <w:tcW w:w="977" w:type="dxa"/>
          </w:tcPr>
          <w:p w14:paraId="0C37937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(0.0282)</w:t>
            </w:r>
          </w:p>
        </w:tc>
        <w:tc>
          <w:tcPr>
            <w:tcW w:w="977" w:type="dxa"/>
          </w:tcPr>
          <w:p w14:paraId="4B21699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(0.0281)</w:t>
            </w:r>
          </w:p>
        </w:tc>
        <w:tc>
          <w:tcPr>
            <w:tcW w:w="1215" w:type="dxa"/>
          </w:tcPr>
          <w:p w14:paraId="5BDD920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(0.0281)</w:t>
            </w:r>
          </w:p>
        </w:tc>
      </w:tr>
      <w:tr w:rsidR="00E30E2D" w:rsidRPr="00A9015F" w14:paraId="7906C21F" w14:textId="77777777" w:rsidTr="00264F85">
        <w:trPr>
          <w:trHeight w:val="201"/>
        </w:trPr>
        <w:tc>
          <w:tcPr>
            <w:tcW w:w="2231" w:type="dxa"/>
          </w:tcPr>
          <w:p w14:paraId="0D480C0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Leverage</w:t>
            </w:r>
          </w:p>
        </w:tc>
        <w:tc>
          <w:tcPr>
            <w:tcW w:w="993" w:type="dxa"/>
          </w:tcPr>
          <w:p w14:paraId="200299D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-1.204*</w:t>
            </w:r>
          </w:p>
        </w:tc>
        <w:tc>
          <w:tcPr>
            <w:tcW w:w="1098" w:type="dxa"/>
          </w:tcPr>
          <w:p w14:paraId="1ED4045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-1.215*</w:t>
            </w:r>
          </w:p>
        </w:tc>
        <w:tc>
          <w:tcPr>
            <w:tcW w:w="977" w:type="dxa"/>
          </w:tcPr>
          <w:p w14:paraId="46B7BC3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-1.252*</w:t>
            </w:r>
          </w:p>
        </w:tc>
        <w:tc>
          <w:tcPr>
            <w:tcW w:w="977" w:type="dxa"/>
          </w:tcPr>
          <w:p w14:paraId="11BCB42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-1.246*</w:t>
            </w:r>
          </w:p>
        </w:tc>
        <w:tc>
          <w:tcPr>
            <w:tcW w:w="977" w:type="dxa"/>
          </w:tcPr>
          <w:p w14:paraId="0F57B65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-1.221*</w:t>
            </w:r>
          </w:p>
        </w:tc>
        <w:tc>
          <w:tcPr>
            <w:tcW w:w="977" w:type="dxa"/>
          </w:tcPr>
          <w:p w14:paraId="32FA618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-1.252*</w:t>
            </w:r>
          </w:p>
        </w:tc>
        <w:tc>
          <w:tcPr>
            <w:tcW w:w="977" w:type="dxa"/>
          </w:tcPr>
          <w:p w14:paraId="4A7D181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-1.244*</w:t>
            </w:r>
          </w:p>
        </w:tc>
        <w:tc>
          <w:tcPr>
            <w:tcW w:w="1215" w:type="dxa"/>
          </w:tcPr>
          <w:p w14:paraId="3C1126B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-1.212*</w:t>
            </w:r>
          </w:p>
        </w:tc>
      </w:tr>
      <w:tr w:rsidR="00E30E2D" w:rsidRPr="00A9015F" w14:paraId="4349F0F7" w14:textId="77777777" w:rsidTr="00264F85">
        <w:trPr>
          <w:trHeight w:val="201"/>
        </w:trPr>
        <w:tc>
          <w:tcPr>
            <w:tcW w:w="2231" w:type="dxa"/>
          </w:tcPr>
          <w:p w14:paraId="13520D56"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Pr>
          <w:p w14:paraId="4DD6494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(0.691)</w:t>
            </w:r>
          </w:p>
        </w:tc>
        <w:tc>
          <w:tcPr>
            <w:tcW w:w="1098" w:type="dxa"/>
          </w:tcPr>
          <w:p w14:paraId="30C5E2A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(0.691)</w:t>
            </w:r>
          </w:p>
        </w:tc>
        <w:tc>
          <w:tcPr>
            <w:tcW w:w="977" w:type="dxa"/>
          </w:tcPr>
          <w:p w14:paraId="329469B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(0.691)</w:t>
            </w:r>
          </w:p>
        </w:tc>
        <w:tc>
          <w:tcPr>
            <w:tcW w:w="977" w:type="dxa"/>
          </w:tcPr>
          <w:p w14:paraId="02A998C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(0.692)</w:t>
            </w:r>
          </w:p>
        </w:tc>
        <w:tc>
          <w:tcPr>
            <w:tcW w:w="977" w:type="dxa"/>
          </w:tcPr>
          <w:p w14:paraId="3F56122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(0.692)</w:t>
            </w:r>
          </w:p>
        </w:tc>
        <w:tc>
          <w:tcPr>
            <w:tcW w:w="977" w:type="dxa"/>
          </w:tcPr>
          <w:p w14:paraId="6404686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(0.691)</w:t>
            </w:r>
          </w:p>
        </w:tc>
        <w:tc>
          <w:tcPr>
            <w:tcW w:w="977" w:type="dxa"/>
          </w:tcPr>
          <w:p w14:paraId="1825DAF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(0.689)</w:t>
            </w:r>
          </w:p>
        </w:tc>
        <w:tc>
          <w:tcPr>
            <w:tcW w:w="1215" w:type="dxa"/>
          </w:tcPr>
          <w:p w14:paraId="7F4CE06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(0.692)</w:t>
            </w:r>
          </w:p>
        </w:tc>
      </w:tr>
      <w:tr w:rsidR="00E30E2D" w:rsidRPr="00A9015F" w14:paraId="2047EF28" w14:textId="77777777" w:rsidTr="00264F85">
        <w:trPr>
          <w:trHeight w:val="201"/>
        </w:trPr>
        <w:tc>
          <w:tcPr>
            <w:tcW w:w="2231" w:type="dxa"/>
          </w:tcPr>
          <w:p w14:paraId="06ADFEE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Total Fine</w:t>
            </w:r>
          </w:p>
        </w:tc>
        <w:tc>
          <w:tcPr>
            <w:tcW w:w="993" w:type="dxa"/>
          </w:tcPr>
          <w:p w14:paraId="5C18050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0.0320</w:t>
            </w:r>
          </w:p>
        </w:tc>
        <w:tc>
          <w:tcPr>
            <w:tcW w:w="1098" w:type="dxa"/>
          </w:tcPr>
          <w:p w14:paraId="2086EBF0"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0.0314</w:t>
            </w:r>
          </w:p>
        </w:tc>
        <w:tc>
          <w:tcPr>
            <w:tcW w:w="977" w:type="dxa"/>
          </w:tcPr>
          <w:p w14:paraId="731627B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0.0279</w:t>
            </w:r>
          </w:p>
        </w:tc>
        <w:tc>
          <w:tcPr>
            <w:tcW w:w="977" w:type="dxa"/>
          </w:tcPr>
          <w:p w14:paraId="33FE3C9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0.0336</w:t>
            </w:r>
          </w:p>
        </w:tc>
        <w:tc>
          <w:tcPr>
            <w:tcW w:w="977" w:type="dxa"/>
          </w:tcPr>
          <w:p w14:paraId="3B66839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0.0326</w:t>
            </w:r>
          </w:p>
        </w:tc>
        <w:tc>
          <w:tcPr>
            <w:tcW w:w="977" w:type="dxa"/>
          </w:tcPr>
          <w:p w14:paraId="66D2BD1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0.0279</w:t>
            </w:r>
          </w:p>
        </w:tc>
        <w:tc>
          <w:tcPr>
            <w:tcW w:w="977" w:type="dxa"/>
          </w:tcPr>
          <w:p w14:paraId="3DAD5D5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0.0243</w:t>
            </w:r>
          </w:p>
        </w:tc>
        <w:tc>
          <w:tcPr>
            <w:tcW w:w="1215" w:type="dxa"/>
          </w:tcPr>
          <w:p w14:paraId="3EE2DD1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r>
      <w:tr w:rsidR="00E30E2D" w:rsidRPr="00A9015F" w14:paraId="63328FB1" w14:textId="77777777" w:rsidTr="00264F85">
        <w:trPr>
          <w:trHeight w:val="201"/>
        </w:trPr>
        <w:tc>
          <w:tcPr>
            <w:tcW w:w="2231" w:type="dxa"/>
            <w:tcBorders>
              <w:bottom w:val="nil"/>
            </w:tcBorders>
          </w:tcPr>
          <w:p w14:paraId="02AE8F6D"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Borders>
              <w:bottom w:val="nil"/>
            </w:tcBorders>
          </w:tcPr>
          <w:p w14:paraId="7DC0FD6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1098" w:type="dxa"/>
            <w:tcBorders>
              <w:bottom w:val="nil"/>
            </w:tcBorders>
          </w:tcPr>
          <w:p w14:paraId="6FC6F43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977" w:type="dxa"/>
            <w:tcBorders>
              <w:bottom w:val="nil"/>
            </w:tcBorders>
          </w:tcPr>
          <w:p w14:paraId="3E9507E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(0.0340)</w:t>
            </w:r>
          </w:p>
        </w:tc>
        <w:tc>
          <w:tcPr>
            <w:tcW w:w="977" w:type="dxa"/>
            <w:tcBorders>
              <w:bottom w:val="nil"/>
            </w:tcBorders>
          </w:tcPr>
          <w:p w14:paraId="765CFBD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977" w:type="dxa"/>
            <w:tcBorders>
              <w:bottom w:val="nil"/>
            </w:tcBorders>
          </w:tcPr>
          <w:p w14:paraId="68372A0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977" w:type="dxa"/>
            <w:tcBorders>
              <w:bottom w:val="nil"/>
            </w:tcBorders>
          </w:tcPr>
          <w:p w14:paraId="2754E36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(0.0340)</w:t>
            </w:r>
          </w:p>
        </w:tc>
        <w:tc>
          <w:tcPr>
            <w:tcW w:w="977" w:type="dxa"/>
            <w:tcBorders>
              <w:bottom w:val="nil"/>
            </w:tcBorders>
          </w:tcPr>
          <w:p w14:paraId="7EA4C67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c>
          <w:tcPr>
            <w:tcW w:w="1215" w:type="dxa"/>
            <w:tcBorders>
              <w:bottom w:val="nil"/>
            </w:tcBorders>
          </w:tcPr>
          <w:p w14:paraId="125F0AE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(0.0339)</w:t>
            </w:r>
          </w:p>
        </w:tc>
      </w:tr>
      <w:tr w:rsidR="00E30E2D" w:rsidRPr="00A9015F" w14:paraId="19884114" w14:textId="77777777" w:rsidTr="00264F85">
        <w:trPr>
          <w:trHeight w:val="201"/>
        </w:trPr>
        <w:tc>
          <w:tcPr>
            <w:tcW w:w="2231" w:type="dxa"/>
            <w:tcBorders>
              <w:top w:val="nil"/>
              <w:bottom w:val="nil"/>
            </w:tcBorders>
          </w:tcPr>
          <w:p w14:paraId="25BF6D9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Constant</w:t>
            </w:r>
          </w:p>
        </w:tc>
        <w:tc>
          <w:tcPr>
            <w:tcW w:w="993" w:type="dxa"/>
            <w:tcBorders>
              <w:top w:val="nil"/>
              <w:bottom w:val="nil"/>
            </w:tcBorders>
          </w:tcPr>
          <w:p w14:paraId="3BDC101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-0.776**</w:t>
            </w:r>
          </w:p>
        </w:tc>
        <w:tc>
          <w:tcPr>
            <w:tcW w:w="1098" w:type="dxa"/>
            <w:tcBorders>
              <w:top w:val="nil"/>
              <w:bottom w:val="nil"/>
            </w:tcBorders>
          </w:tcPr>
          <w:p w14:paraId="04626B8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-0.823**</w:t>
            </w:r>
          </w:p>
        </w:tc>
        <w:tc>
          <w:tcPr>
            <w:tcW w:w="977" w:type="dxa"/>
            <w:tcBorders>
              <w:top w:val="nil"/>
              <w:bottom w:val="nil"/>
            </w:tcBorders>
          </w:tcPr>
          <w:p w14:paraId="4EC492E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-0.927***</w:t>
            </w:r>
          </w:p>
        </w:tc>
        <w:tc>
          <w:tcPr>
            <w:tcW w:w="977" w:type="dxa"/>
            <w:tcBorders>
              <w:top w:val="nil"/>
              <w:bottom w:val="nil"/>
            </w:tcBorders>
          </w:tcPr>
          <w:p w14:paraId="6643A45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-0.937***</w:t>
            </w:r>
          </w:p>
        </w:tc>
        <w:tc>
          <w:tcPr>
            <w:tcW w:w="977" w:type="dxa"/>
            <w:tcBorders>
              <w:top w:val="nil"/>
              <w:bottom w:val="nil"/>
            </w:tcBorders>
          </w:tcPr>
          <w:p w14:paraId="4C049F4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-0.930***</w:t>
            </w:r>
          </w:p>
        </w:tc>
        <w:tc>
          <w:tcPr>
            <w:tcW w:w="977" w:type="dxa"/>
            <w:tcBorders>
              <w:top w:val="nil"/>
              <w:bottom w:val="nil"/>
            </w:tcBorders>
          </w:tcPr>
          <w:p w14:paraId="68605D4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-0.838**</w:t>
            </w:r>
          </w:p>
        </w:tc>
        <w:tc>
          <w:tcPr>
            <w:tcW w:w="977" w:type="dxa"/>
            <w:tcBorders>
              <w:top w:val="nil"/>
              <w:bottom w:val="nil"/>
            </w:tcBorders>
          </w:tcPr>
          <w:p w14:paraId="53E78D3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-0.704**</w:t>
            </w:r>
          </w:p>
        </w:tc>
        <w:tc>
          <w:tcPr>
            <w:tcW w:w="1215" w:type="dxa"/>
            <w:tcBorders>
              <w:top w:val="nil"/>
              <w:bottom w:val="nil"/>
            </w:tcBorders>
          </w:tcPr>
          <w:p w14:paraId="75214CB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-0.865***</w:t>
            </w:r>
          </w:p>
        </w:tc>
      </w:tr>
      <w:tr w:rsidR="00E30E2D" w:rsidRPr="00A9015F" w14:paraId="42B416C0" w14:textId="77777777" w:rsidTr="00264F85">
        <w:trPr>
          <w:trHeight w:val="201"/>
        </w:trPr>
        <w:tc>
          <w:tcPr>
            <w:tcW w:w="2231" w:type="dxa"/>
            <w:tcBorders>
              <w:top w:val="nil"/>
              <w:bottom w:val="single" w:sz="4" w:space="0" w:color="auto"/>
            </w:tcBorders>
          </w:tcPr>
          <w:p w14:paraId="1B354BD9" w14:textId="77777777" w:rsidR="00E30E2D" w:rsidRPr="00A9015F" w:rsidRDefault="00E30E2D" w:rsidP="00264F85">
            <w:pPr>
              <w:jc w:val="both"/>
              <w:rPr>
                <w:rFonts w:ascii="Times New Roman" w:eastAsia="Times New Roman" w:hAnsi="Times New Roman" w:cs="Times New Roman"/>
                <w:sz w:val="20"/>
                <w:szCs w:val="20"/>
              </w:rPr>
            </w:pPr>
          </w:p>
        </w:tc>
        <w:tc>
          <w:tcPr>
            <w:tcW w:w="993" w:type="dxa"/>
            <w:tcBorders>
              <w:top w:val="nil"/>
              <w:bottom w:val="single" w:sz="4" w:space="0" w:color="auto"/>
            </w:tcBorders>
          </w:tcPr>
          <w:p w14:paraId="66AB846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(0.334)</w:t>
            </w:r>
          </w:p>
        </w:tc>
        <w:tc>
          <w:tcPr>
            <w:tcW w:w="1098" w:type="dxa"/>
            <w:tcBorders>
              <w:top w:val="nil"/>
              <w:bottom w:val="single" w:sz="4" w:space="0" w:color="auto"/>
            </w:tcBorders>
          </w:tcPr>
          <w:p w14:paraId="5D03ECBD"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(0.329)</w:t>
            </w:r>
          </w:p>
        </w:tc>
        <w:tc>
          <w:tcPr>
            <w:tcW w:w="977" w:type="dxa"/>
            <w:tcBorders>
              <w:top w:val="nil"/>
              <w:bottom w:val="single" w:sz="4" w:space="0" w:color="auto"/>
            </w:tcBorders>
          </w:tcPr>
          <w:p w14:paraId="7A9DEFC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(0.329)</w:t>
            </w:r>
          </w:p>
        </w:tc>
        <w:tc>
          <w:tcPr>
            <w:tcW w:w="977" w:type="dxa"/>
            <w:tcBorders>
              <w:top w:val="nil"/>
              <w:bottom w:val="single" w:sz="4" w:space="0" w:color="auto"/>
            </w:tcBorders>
          </w:tcPr>
          <w:p w14:paraId="18041BA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(0.331)</w:t>
            </w:r>
          </w:p>
        </w:tc>
        <w:tc>
          <w:tcPr>
            <w:tcW w:w="977" w:type="dxa"/>
            <w:tcBorders>
              <w:top w:val="nil"/>
              <w:bottom w:val="single" w:sz="4" w:space="0" w:color="auto"/>
            </w:tcBorders>
          </w:tcPr>
          <w:p w14:paraId="70A4B8D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(0.330)</w:t>
            </w:r>
          </w:p>
        </w:tc>
        <w:tc>
          <w:tcPr>
            <w:tcW w:w="977" w:type="dxa"/>
            <w:tcBorders>
              <w:top w:val="nil"/>
              <w:bottom w:val="single" w:sz="4" w:space="0" w:color="auto"/>
            </w:tcBorders>
          </w:tcPr>
          <w:p w14:paraId="7A5409A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(0.329)</w:t>
            </w:r>
          </w:p>
        </w:tc>
        <w:tc>
          <w:tcPr>
            <w:tcW w:w="977" w:type="dxa"/>
            <w:tcBorders>
              <w:top w:val="nil"/>
              <w:bottom w:val="single" w:sz="4" w:space="0" w:color="auto"/>
            </w:tcBorders>
          </w:tcPr>
          <w:p w14:paraId="0502A40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(0.332)</w:t>
            </w:r>
          </w:p>
        </w:tc>
        <w:tc>
          <w:tcPr>
            <w:tcW w:w="1215" w:type="dxa"/>
            <w:tcBorders>
              <w:top w:val="nil"/>
              <w:bottom w:val="single" w:sz="4" w:space="0" w:color="auto"/>
            </w:tcBorders>
          </w:tcPr>
          <w:p w14:paraId="515B9D7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(0.334)</w:t>
            </w:r>
          </w:p>
        </w:tc>
      </w:tr>
      <w:tr w:rsidR="00E30E2D" w:rsidRPr="00A9015F" w14:paraId="3D5451FF" w14:textId="77777777" w:rsidTr="00264F85">
        <w:trPr>
          <w:trHeight w:val="192"/>
        </w:trPr>
        <w:tc>
          <w:tcPr>
            <w:tcW w:w="2231" w:type="dxa"/>
            <w:tcBorders>
              <w:top w:val="single" w:sz="4" w:space="0" w:color="auto"/>
            </w:tcBorders>
          </w:tcPr>
          <w:p w14:paraId="11D992A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Observations</w:t>
            </w:r>
          </w:p>
        </w:tc>
        <w:tc>
          <w:tcPr>
            <w:tcW w:w="993" w:type="dxa"/>
            <w:tcBorders>
              <w:top w:val="single" w:sz="4" w:space="0" w:color="auto"/>
            </w:tcBorders>
          </w:tcPr>
          <w:p w14:paraId="62DBCE68"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098" w:type="dxa"/>
            <w:tcBorders>
              <w:top w:val="single" w:sz="4" w:space="0" w:color="auto"/>
            </w:tcBorders>
          </w:tcPr>
          <w:p w14:paraId="258A5F6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977" w:type="dxa"/>
            <w:tcBorders>
              <w:top w:val="single" w:sz="4" w:space="0" w:color="auto"/>
            </w:tcBorders>
          </w:tcPr>
          <w:p w14:paraId="487A89F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977" w:type="dxa"/>
            <w:tcBorders>
              <w:top w:val="single" w:sz="4" w:space="0" w:color="auto"/>
            </w:tcBorders>
          </w:tcPr>
          <w:p w14:paraId="200AE41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977" w:type="dxa"/>
            <w:tcBorders>
              <w:top w:val="single" w:sz="4" w:space="0" w:color="auto"/>
            </w:tcBorders>
          </w:tcPr>
          <w:p w14:paraId="5CDD9575"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977" w:type="dxa"/>
            <w:tcBorders>
              <w:top w:val="single" w:sz="4" w:space="0" w:color="auto"/>
            </w:tcBorders>
          </w:tcPr>
          <w:p w14:paraId="3BBB8571"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977" w:type="dxa"/>
            <w:tcBorders>
              <w:top w:val="single" w:sz="4" w:space="0" w:color="auto"/>
            </w:tcBorders>
          </w:tcPr>
          <w:p w14:paraId="23FB1506"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c>
          <w:tcPr>
            <w:tcW w:w="1215" w:type="dxa"/>
            <w:tcBorders>
              <w:top w:val="single" w:sz="4" w:space="0" w:color="auto"/>
            </w:tcBorders>
          </w:tcPr>
          <w:p w14:paraId="726239E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955</w:t>
            </w:r>
          </w:p>
        </w:tc>
      </w:tr>
      <w:tr w:rsidR="00E30E2D" w:rsidRPr="00A9015F" w14:paraId="46859876" w14:textId="77777777" w:rsidTr="00264F85">
        <w:trPr>
          <w:trHeight w:val="201"/>
        </w:trPr>
        <w:tc>
          <w:tcPr>
            <w:tcW w:w="2231" w:type="dxa"/>
          </w:tcPr>
          <w:p w14:paraId="66DA7FD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R-squared</w:t>
            </w:r>
          </w:p>
        </w:tc>
        <w:tc>
          <w:tcPr>
            <w:tcW w:w="993" w:type="dxa"/>
          </w:tcPr>
          <w:p w14:paraId="67687ED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0.039</w:t>
            </w:r>
          </w:p>
        </w:tc>
        <w:tc>
          <w:tcPr>
            <w:tcW w:w="1098" w:type="dxa"/>
          </w:tcPr>
          <w:p w14:paraId="2ED7602A"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0.040</w:t>
            </w:r>
          </w:p>
        </w:tc>
        <w:tc>
          <w:tcPr>
            <w:tcW w:w="977" w:type="dxa"/>
          </w:tcPr>
          <w:p w14:paraId="17910579"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0.040</w:t>
            </w:r>
          </w:p>
        </w:tc>
        <w:tc>
          <w:tcPr>
            <w:tcW w:w="977" w:type="dxa"/>
          </w:tcPr>
          <w:p w14:paraId="318BC11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0.038</w:t>
            </w:r>
          </w:p>
        </w:tc>
        <w:tc>
          <w:tcPr>
            <w:tcW w:w="977" w:type="dxa"/>
          </w:tcPr>
          <w:p w14:paraId="597C13F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0.038</w:t>
            </w:r>
          </w:p>
        </w:tc>
        <w:tc>
          <w:tcPr>
            <w:tcW w:w="977" w:type="dxa"/>
          </w:tcPr>
          <w:p w14:paraId="08166E1B"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0.040</w:t>
            </w:r>
          </w:p>
        </w:tc>
        <w:tc>
          <w:tcPr>
            <w:tcW w:w="977" w:type="dxa"/>
          </w:tcPr>
          <w:p w14:paraId="5F8ABBF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0.046</w:t>
            </w:r>
          </w:p>
        </w:tc>
        <w:tc>
          <w:tcPr>
            <w:tcW w:w="1215" w:type="dxa"/>
          </w:tcPr>
          <w:p w14:paraId="685957AE"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0.036</w:t>
            </w:r>
          </w:p>
        </w:tc>
      </w:tr>
      <w:tr w:rsidR="00E30E2D" w:rsidRPr="00A9015F" w14:paraId="25319384" w14:textId="77777777" w:rsidTr="00264F85">
        <w:trPr>
          <w:trHeight w:val="201"/>
        </w:trPr>
        <w:tc>
          <w:tcPr>
            <w:tcW w:w="2231" w:type="dxa"/>
            <w:tcBorders>
              <w:bottom w:val="single" w:sz="4" w:space="0" w:color="auto"/>
            </w:tcBorders>
          </w:tcPr>
          <w:p w14:paraId="0E36B01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Year and Bank FE</w:t>
            </w:r>
          </w:p>
        </w:tc>
        <w:tc>
          <w:tcPr>
            <w:tcW w:w="993" w:type="dxa"/>
            <w:tcBorders>
              <w:bottom w:val="single" w:sz="4" w:space="0" w:color="auto"/>
            </w:tcBorders>
          </w:tcPr>
          <w:p w14:paraId="630D8E2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098" w:type="dxa"/>
            <w:tcBorders>
              <w:bottom w:val="single" w:sz="4" w:space="0" w:color="auto"/>
            </w:tcBorders>
          </w:tcPr>
          <w:p w14:paraId="1A12A84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977" w:type="dxa"/>
            <w:tcBorders>
              <w:bottom w:val="single" w:sz="4" w:space="0" w:color="auto"/>
            </w:tcBorders>
          </w:tcPr>
          <w:p w14:paraId="58CDDA1F"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977" w:type="dxa"/>
            <w:tcBorders>
              <w:bottom w:val="single" w:sz="4" w:space="0" w:color="auto"/>
            </w:tcBorders>
          </w:tcPr>
          <w:p w14:paraId="6C35B18C"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977" w:type="dxa"/>
            <w:tcBorders>
              <w:bottom w:val="single" w:sz="4" w:space="0" w:color="auto"/>
            </w:tcBorders>
          </w:tcPr>
          <w:p w14:paraId="62E94357"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977" w:type="dxa"/>
            <w:tcBorders>
              <w:bottom w:val="single" w:sz="4" w:space="0" w:color="auto"/>
            </w:tcBorders>
          </w:tcPr>
          <w:p w14:paraId="29C947A2"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977" w:type="dxa"/>
            <w:tcBorders>
              <w:bottom w:val="single" w:sz="4" w:space="0" w:color="auto"/>
            </w:tcBorders>
          </w:tcPr>
          <w:p w14:paraId="29CDE254"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c>
          <w:tcPr>
            <w:tcW w:w="1215" w:type="dxa"/>
            <w:tcBorders>
              <w:bottom w:val="single" w:sz="4" w:space="0" w:color="auto"/>
            </w:tcBorders>
          </w:tcPr>
          <w:p w14:paraId="5A706723" w14:textId="77777777" w:rsidR="00E30E2D" w:rsidRPr="00A9015F" w:rsidRDefault="00E30E2D" w:rsidP="00264F85">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Yes</w:t>
            </w:r>
          </w:p>
        </w:tc>
      </w:tr>
    </w:tbl>
    <w:p w14:paraId="5A30C5FD" w14:textId="77777777" w:rsidR="00E30E2D" w:rsidRDefault="00E30E2D" w:rsidP="000329D3">
      <w:pPr>
        <w:jc w:val="both"/>
        <w:rPr>
          <w:rFonts w:ascii="Times New Roman" w:eastAsia="Times New Roman" w:hAnsi="Times New Roman" w:cs="Times New Roman"/>
          <w:sz w:val="20"/>
          <w:szCs w:val="20"/>
        </w:rPr>
      </w:pPr>
    </w:p>
    <w:p w14:paraId="2EFC8C51" w14:textId="091F55F4" w:rsidR="00E30E2D" w:rsidRDefault="00E30E2D" w:rsidP="00E30E2D">
      <w:pPr>
        <w:jc w:val="both"/>
        <w:rPr>
          <w:rFonts w:ascii="Times New Roman" w:eastAsia="Times New Roman" w:hAnsi="Times New Roman" w:cs="Times New Roman"/>
          <w:sz w:val="20"/>
          <w:szCs w:val="20"/>
        </w:rPr>
      </w:pPr>
      <w:r w:rsidRPr="00A9015F">
        <w:rPr>
          <w:rFonts w:ascii="Times New Roman" w:eastAsia="Times New Roman" w:hAnsi="Times New Roman" w:cs="Times New Roman"/>
          <w:sz w:val="20"/>
          <w:szCs w:val="20"/>
        </w:rPr>
        <w:t xml:space="preserve">The table reports the results of the effects of independent directors' heterogeneity on bank misconduct risk measured by Total Fine in a year (t) with the use of thresholds for the independent director's heterogeneity, where suffixes More and Low indicate a </w:t>
      </w:r>
      <w:r>
        <w:rPr>
          <w:rFonts w:ascii="Times New Roman" w:eastAsia="Times New Roman" w:hAnsi="Times New Roman" w:cs="Times New Roman"/>
          <w:sz w:val="20"/>
          <w:szCs w:val="20"/>
        </w:rPr>
        <w:t>variable board</w:t>
      </w:r>
      <w:r w:rsidRPr="00A9015F">
        <w:rPr>
          <w:rFonts w:ascii="Times New Roman" w:eastAsia="Times New Roman" w:hAnsi="Times New Roman" w:cs="Times New Roman"/>
          <w:sz w:val="20"/>
          <w:szCs w:val="20"/>
        </w:rPr>
        <w:t xml:space="preserve"> value above and below median level, respectively. Model (7) shows the significant Heterogeneity index adding more gender diversity, more financial expert heterogeneity, and low Tenure heterogeneity. Model (8) shows index formed from more gender heterogeneity, </w:t>
      </w:r>
      <w:r>
        <w:rPr>
          <w:rFonts w:ascii="Times New Roman" w:eastAsia="Times New Roman" w:hAnsi="Times New Roman" w:cs="Times New Roman"/>
          <w:sz w:val="20"/>
          <w:szCs w:val="20"/>
        </w:rPr>
        <w:t>financial expert heterogeneity, and</w:t>
      </w:r>
      <w:r w:rsidRPr="00A9015F">
        <w:rPr>
          <w:rFonts w:ascii="Times New Roman" w:eastAsia="Times New Roman" w:hAnsi="Times New Roman" w:cs="Times New Roman"/>
          <w:sz w:val="20"/>
          <w:szCs w:val="20"/>
        </w:rPr>
        <w:t xml:space="preserve"> tenure heterogeneity. Bank-specific characteristics are winsorized at 99% of the bank-year distribution. All independent variables are lagged by one period. The standard errors clustered at the bank level are reported in parentheses. Definitions of the variables</w:t>
      </w:r>
    </w:p>
    <w:p w14:paraId="521CFD5C" w14:textId="77777777" w:rsidR="00E30E2D" w:rsidRDefault="00E30E2D" w:rsidP="000329D3">
      <w:pPr>
        <w:jc w:val="both"/>
        <w:rPr>
          <w:rFonts w:ascii="Times New Roman" w:eastAsia="Times New Roman" w:hAnsi="Times New Roman" w:cs="Times New Roman"/>
          <w:sz w:val="20"/>
          <w:szCs w:val="20"/>
        </w:rPr>
      </w:pPr>
    </w:p>
    <w:p w14:paraId="0DF43050" w14:textId="77777777" w:rsidR="00E30E2D" w:rsidRDefault="00E30E2D" w:rsidP="000329D3">
      <w:pPr>
        <w:jc w:val="both"/>
        <w:rPr>
          <w:rFonts w:ascii="Times New Roman" w:eastAsia="Times New Roman" w:hAnsi="Times New Roman" w:cs="Times New Roman"/>
          <w:sz w:val="20"/>
          <w:szCs w:val="20"/>
        </w:rPr>
      </w:pPr>
    </w:p>
    <w:p w14:paraId="29717F29" w14:textId="77777777" w:rsidR="00E30E2D" w:rsidRDefault="00E30E2D" w:rsidP="000329D3">
      <w:pPr>
        <w:jc w:val="both"/>
        <w:rPr>
          <w:rFonts w:ascii="Times New Roman" w:eastAsia="Times New Roman" w:hAnsi="Times New Roman" w:cs="Times New Roman"/>
          <w:sz w:val="20"/>
          <w:szCs w:val="20"/>
        </w:rPr>
      </w:pPr>
    </w:p>
    <w:p w14:paraId="557E1F2E" w14:textId="77777777" w:rsidR="00E30E2D" w:rsidRDefault="00E30E2D" w:rsidP="000329D3">
      <w:pPr>
        <w:jc w:val="both"/>
        <w:rPr>
          <w:rFonts w:ascii="Times New Roman" w:eastAsia="Times New Roman" w:hAnsi="Times New Roman" w:cs="Times New Roman"/>
          <w:sz w:val="20"/>
          <w:szCs w:val="20"/>
        </w:rPr>
      </w:pPr>
    </w:p>
    <w:p w14:paraId="3D6E4AC2" w14:textId="77777777" w:rsidR="00E30E2D" w:rsidRDefault="00E30E2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BFF8D9C" w14:textId="77777777" w:rsidR="00E30E2D" w:rsidRDefault="00E30E2D" w:rsidP="000329D3">
      <w:pPr>
        <w:jc w:val="both"/>
        <w:rPr>
          <w:rFonts w:ascii="Times New Roman" w:eastAsia="Times New Roman" w:hAnsi="Times New Roman" w:cs="Times New Roman"/>
          <w:sz w:val="20"/>
          <w:szCs w:val="20"/>
        </w:rPr>
      </w:pPr>
    </w:p>
    <w:p w14:paraId="17F5302B" w14:textId="27EE0B8B" w:rsidR="004925BF" w:rsidRDefault="004925BF" w:rsidP="00071AF6">
      <w:pPr>
        <w:jc w:val="both"/>
        <w:rPr>
          <w:rFonts w:ascii="Times New Roman" w:eastAsia="Times New Roman" w:hAnsi="Times New Roman" w:cs="Times New Roman"/>
          <w:sz w:val="20"/>
          <w:szCs w:val="20"/>
        </w:rPr>
      </w:pPr>
    </w:p>
    <w:p w14:paraId="723DA757" w14:textId="4E636B80" w:rsidR="004925BF" w:rsidRDefault="004925BF" w:rsidP="00071AF6">
      <w:pPr>
        <w:jc w:val="both"/>
        <w:rPr>
          <w:rFonts w:ascii="Times New Roman" w:eastAsia="Times New Roman" w:hAnsi="Times New Roman" w:cs="Times New Roman"/>
          <w:sz w:val="20"/>
          <w:szCs w:val="20"/>
        </w:rPr>
      </w:pPr>
    </w:p>
    <w:p w14:paraId="571FE7DD" w14:textId="66AEE015" w:rsidR="004925BF" w:rsidRPr="00071AF6" w:rsidRDefault="004925BF" w:rsidP="00071AF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925A6BF" w14:textId="77777777" w:rsidR="009E69CE" w:rsidRDefault="009E69CE" w:rsidP="00C11008">
      <w:pPr>
        <w:jc w:val="center"/>
        <w:rPr>
          <w:rFonts w:ascii="Times New Roman" w:eastAsia="Times New Roman" w:hAnsi="Times New Roman" w:cs="Times New Roman"/>
        </w:rPr>
      </w:pPr>
    </w:p>
    <w:p w14:paraId="7F9C1D25" w14:textId="77777777" w:rsidR="009E69CE" w:rsidRDefault="009E69CE" w:rsidP="00C11008">
      <w:pPr>
        <w:jc w:val="center"/>
        <w:rPr>
          <w:rFonts w:ascii="Times New Roman" w:eastAsia="Times New Roman" w:hAnsi="Times New Roman" w:cs="Times New Roman"/>
        </w:rPr>
      </w:pPr>
    </w:p>
    <w:p w14:paraId="39285342" w14:textId="77777777" w:rsidR="009E69CE" w:rsidRDefault="009E69CE" w:rsidP="00C11008">
      <w:pPr>
        <w:jc w:val="center"/>
        <w:rPr>
          <w:rFonts w:ascii="Times New Roman" w:eastAsia="Times New Roman" w:hAnsi="Times New Roman" w:cs="Times New Roman"/>
        </w:rPr>
      </w:pPr>
    </w:p>
    <w:p w14:paraId="2E330C1C" w14:textId="77777777" w:rsidR="009E69CE" w:rsidRDefault="009E69CE" w:rsidP="00C11008">
      <w:pPr>
        <w:jc w:val="center"/>
        <w:rPr>
          <w:rFonts w:ascii="Times New Roman" w:eastAsia="Times New Roman" w:hAnsi="Times New Roman" w:cs="Times New Roman"/>
        </w:rPr>
      </w:pPr>
    </w:p>
    <w:p w14:paraId="6275C293" w14:textId="77777777" w:rsidR="009E69CE" w:rsidRDefault="009E69CE" w:rsidP="00C11008">
      <w:pPr>
        <w:jc w:val="center"/>
        <w:rPr>
          <w:rFonts w:ascii="Times New Roman" w:eastAsia="Times New Roman" w:hAnsi="Times New Roman" w:cs="Times New Roman"/>
        </w:rPr>
      </w:pPr>
    </w:p>
    <w:p w14:paraId="429E9309" w14:textId="77777777" w:rsidR="009E69CE" w:rsidRDefault="009E69CE" w:rsidP="00C11008">
      <w:pPr>
        <w:jc w:val="center"/>
        <w:rPr>
          <w:rFonts w:ascii="Times New Roman" w:eastAsia="Times New Roman" w:hAnsi="Times New Roman" w:cs="Times New Roman"/>
        </w:rPr>
      </w:pPr>
    </w:p>
    <w:p w14:paraId="16E1B51F" w14:textId="77777777" w:rsidR="009E69CE" w:rsidRDefault="009E69CE" w:rsidP="00C11008">
      <w:pPr>
        <w:jc w:val="center"/>
        <w:rPr>
          <w:rFonts w:ascii="Times New Roman" w:eastAsia="Times New Roman" w:hAnsi="Times New Roman" w:cs="Times New Roman"/>
        </w:rPr>
      </w:pPr>
    </w:p>
    <w:p w14:paraId="05CDBF77" w14:textId="77777777" w:rsidR="009E69CE" w:rsidRDefault="009E69CE" w:rsidP="00C11008">
      <w:pPr>
        <w:jc w:val="center"/>
        <w:rPr>
          <w:rFonts w:ascii="Times New Roman" w:eastAsia="Times New Roman" w:hAnsi="Times New Roman" w:cs="Times New Roman"/>
        </w:rPr>
      </w:pPr>
    </w:p>
    <w:p w14:paraId="40853A5B" w14:textId="7C9B1460" w:rsidR="00C11008" w:rsidRPr="009E69CE" w:rsidRDefault="00C11008" w:rsidP="00C11008">
      <w:pPr>
        <w:jc w:val="center"/>
        <w:rPr>
          <w:rFonts w:ascii="Times New Roman" w:eastAsia="Times New Roman" w:hAnsi="Times New Roman" w:cs="Times New Roman"/>
          <w:b/>
          <w:bCs/>
          <w:i/>
          <w:iCs/>
          <w:caps/>
          <w:sz w:val="44"/>
          <w:szCs w:val="44"/>
          <w:u w:val="single"/>
          <w:lang w:eastAsia="en-GB"/>
        </w:rPr>
      </w:pPr>
      <w:r w:rsidRPr="009E69CE">
        <w:rPr>
          <w:rFonts w:ascii="Times New Roman" w:eastAsia="Times New Roman" w:hAnsi="Times New Roman" w:cs="Times New Roman"/>
          <w:b/>
          <w:bCs/>
          <w:i/>
          <w:iCs/>
          <w:caps/>
          <w:sz w:val="44"/>
          <w:szCs w:val="44"/>
          <w:u w:val="single"/>
          <w:lang w:eastAsia="en-GB"/>
        </w:rPr>
        <w:t xml:space="preserve">Chapter 6 </w:t>
      </w:r>
    </w:p>
    <w:p w14:paraId="521C9CE9" w14:textId="77777777" w:rsidR="00C11008" w:rsidRPr="00C11008" w:rsidRDefault="00C11008" w:rsidP="00C11008">
      <w:pPr>
        <w:jc w:val="center"/>
        <w:rPr>
          <w:rFonts w:ascii="Times New Roman" w:eastAsia="Times New Roman" w:hAnsi="Times New Roman" w:cs="Times New Roman"/>
          <w:b/>
          <w:bCs/>
          <w:lang w:eastAsia="en-GB"/>
        </w:rPr>
      </w:pPr>
    </w:p>
    <w:p w14:paraId="2EBC670B" w14:textId="77777777" w:rsidR="00C11008" w:rsidRPr="00C11008" w:rsidRDefault="00C11008" w:rsidP="00C11008">
      <w:pPr>
        <w:jc w:val="center"/>
        <w:rPr>
          <w:rFonts w:ascii="Times New Roman" w:eastAsia="Times New Roman" w:hAnsi="Times New Roman" w:cs="Times New Roman"/>
          <w:b/>
          <w:bCs/>
          <w:lang w:eastAsia="en-GB"/>
        </w:rPr>
      </w:pPr>
    </w:p>
    <w:p w14:paraId="0CC9E704" w14:textId="77777777" w:rsidR="00C11008" w:rsidRPr="00C11008" w:rsidRDefault="00C11008" w:rsidP="00C11008">
      <w:pPr>
        <w:jc w:val="center"/>
        <w:rPr>
          <w:rFonts w:ascii="Times New Roman" w:eastAsia="Times New Roman" w:hAnsi="Times New Roman" w:cs="Times New Roman"/>
          <w:b/>
          <w:bCs/>
          <w:lang w:eastAsia="en-GB"/>
        </w:rPr>
      </w:pPr>
    </w:p>
    <w:p w14:paraId="38B04C03" w14:textId="77777777" w:rsidR="00C11008" w:rsidRPr="00C11008" w:rsidRDefault="00C11008" w:rsidP="00C11008">
      <w:pPr>
        <w:jc w:val="center"/>
        <w:rPr>
          <w:rFonts w:ascii="Times New Roman" w:eastAsia="Times New Roman" w:hAnsi="Times New Roman" w:cs="Times New Roman"/>
          <w:b/>
          <w:bCs/>
          <w:lang w:eastAsia="en-GB"/>
        </w:rPr>
      </w:pPr>
    </w:p>
    <w:p w14:paraId="5E60D479" w14:textId="77777777" w:rsidR="00C11008" w:rsidRPr="00C11008" w:rsidRDefault="00C11008" w:rsidP="00C11008">
      <w:pPr>
        <w:jc w:val="center"/>
        <w:rPr>
          <w:rFonts w:ascii="Times New Roman" w:eastAsia="Times New Roman" w:hAnsi="Times New Roman" w:cs="Times New Roman"/>
          <w:b/>
          <w:bCs/>
          <w:lang w:eastAsia="en-GB"/>
        </w:rPr>
      </w:pPr>
    </w:p>
    <w:p w14:paraId="43C40770" w14:textId="77777777" w:rsidR="00C11008" w:rsidRPr="00C11008" w:rsidRDefault="00C11008" w:rsidP="00C11008">
      <w:pPr>
        <w:jc w:val="center"/>
        <w:rPr>
          <w:rFonts w:ascii="Times New Roman" w:eastAsia="Times New Roman" w:hAnsi="Times New Roman" w:cs="Times New Roman"/>
          <w:b/>
          <w:bCs/>
          <w:lang w:eastAsia="en-GB"/>
        </w:rPr>
      </w:pPr>
    </w:p>
    <w:p w14:paraId="525E3997" w14:textId="77777777" w:rsidR="00C11008" w:rsidRPr="00C11008" w:rsidRDefault="00C11008" w:rsidP="00C11008">
      <w:pPr>
        <w:jc w:val="center"/>
        <w:rPr>
          <w:rFonts w:ascii="Times New Roman" w:eastAsia="Times New Roman" w:hAnsi="Times New Roman" w:cs="Times New Roman"/>
          <w:b/>
          <w:bCs/>
          <w:lang w:eastAsia="en-GB"/>
        </w:rPr>
      </w:pPr>
    </w:p>
    <w:p w14:paraId="44A17B70" w14:textId="47408EE5" w:rsidR="00C11008" w:rsidRDefault="00C11008" w:rsidP="00C11008">
      <w:pPr>
        <w:rPr>
          <w:rFonts w:ascii="Times New Roman" w:eastAsia="Times New Roman" w:hAnsi="Times New Roman" w:cs="Times New Roman"/>
          <w:b/>
          <w:bCs/>
          <w:lang w:eastAsia="en-GB"/>
        </w:rPr>
      </w:pPr>
      <w:r w:rsidRPr="00C11008">
        <w:rPr>
          <w:rFonts w:ascii="Times New Roman" w:eastAsia="Times New Roman" w:hAnsi="Times New Roman" w:cs="Times New Roman"/>
          <w:b/>
          <w:bCs/>
          <w:lang w:eastAsia="en-GB"/>
        </w:rPr>
        <w:br w:type="page"/>
      </w:r>
    </w:p>
    <w:p w14:paraId="6A8A78BD" w14:textId="088DC84A" w:rsidR="00C11008" w:rsidRPr="002E025C" w:rsidRDefault="00C11008" w:rsidP="002E025C">
      <w:pPr>
        <w:pStyle w:val="Heading1"/>
        <w:numPr>
          <w:ilvl w:val="1"/>
          <w:numId w:val="30"/>
        </w:numPr>
        <w:rPr>
          <w:sz w:val="36"/>
          <w:szCs w:val="36"/>
          <w:lang w:eastAsia="en-GB"/>
        </w:rPr>
      </w:pPr>
      <w:bookmarkStart w:id="175" w:name="_Toc145616227"/>
      <w:r w:rsidRPr="002E025C">
        <w:rPr>
          <w:sz w:val="36"/>
          <w:szCs w:val="36"/>
          <w:lang w:eastAsia="en-GB"/>
        </w:rPr>
        <w:t>Conclusion</w:t>
      </w:r>
      <w:bookmarkEnd w:id="175"/>
    </w:p>
    <w:p w14:paraId="362D7B13" w14:textId="77777777" w:rsidR="00C11008" w:rsidRDefault="00C11008" w:rsidP="00C11008">
      <w:pPr>
        <w:rPr>
          <w:rFonts w:ascii="Times New Roman" w:eastAsia="Times New Roman" w:hAnsi="Times New Roman" w:cs="Times New Roman"/>
          <w:b/>
          <w:bCs/>
          <w:lang w:eastAsia="en-GB"/>
        </w:rPr>
      </w:pPr>
    </w:p>
    <w:p w14:paraId="2C30472E" w14:textId="77777777" w:rsidR="00C11008" w:rsidRDefault="00C11008" w:rsidP="00C11008">
      <w:pPr>
        <w:rPr>
          <w:rFonts w:ascii="Times New Roman" w:eastAsia="Times New Roman" w:hAnsi="Times New Roman" w:cs="Times New Roman"/>
          <w:b/>
          <w:bCs/>
          <w:lang w:eastAsia="en-GB"/>
        </w:rPr>
      </w:pPr>
    </w:p>
    <w:p w14:paraId="03D430E6" w14:textId="046EDD66" w:rsidR="00C11008" w:rsidRPr="00C11008" w:rsidRDefault="00C11008" w:rsidP="002E025C">
      <w:pPr>
        <w:pStyle w:val="Heading2"/>
        <w:rPr>
          <w:lang w:eastAsia="en-GB"/>
        </w:rPr>
      </w:pPr>
      <w:bookmarkStart w:id="176" w:name="_Toc145616228"/>
      <w:r w:rsidRPr="00C11008">
        <w:rPr>
          <w:lang w:eastAsia="en-GB"/>
        </w:rPr>
        <w:t>6.1 Summary of the main findings</w:t>
      </w:r>
      <w:bookmarkEnd w:id="176"/>
    </w:p>
    <w:p w14:paraId="7E648F43" w14:textId="77777777" w:rsidR="00C11008" w:rsidRPr="00C11008" w:rsidRDefault="00C11008" w:rsidP="00C11008">
      <w:pPr>
        <w:jc w:val="both"/>
        <w:rPr>
          <w:rFonts w:ascii="Times New Roman" w:eastAsia="Times New Roman" w:hAnsi="Times New Roman" w:cs="Times New Roman"/>
          <w:b/>
          <w:bCs/>
          <w:sz w:val="24"/>
          <w:szCs w:val="24"/>
          <w:lang w:eastAsia="en-GB"/>
        </w:rPr>
      </w:pPr>
    </w:p>
    <w:p w14:paraId="72D907E1" w14:textId="77777777" w:rsidR="00C11008" w:rsidRPr="00C11008" w:rsidRDefault="00C11008" w:rsidP="00C11008">
      <w:pPr>
        <w:spacing w:line="480" w:lineRule="auto"/>
        <w:jc w:val="both"/>
        <w:rPr>
          <w:rFonts w:ascii="Times New Roman" w:eastAsia="Times New Roman" w:hAnsi="Times New Roman" w:cs="Times New Roman"/>
          <w:sz w:val="24"/>
          <w:szCs w:val="24"/>
          <w:lang w:eastAsia="en-GB"/>
        </w:rPr>
      </w:pPr>
      <w:r w:rsidRPr="00C11008">
        <w:rPr>
          <w:rFonts w:ascii="Times New Roman" w:eastAsia="Times New Roman" w:hAnsi="Times New Roman" w:cs="Times New Roman"/>
          <w:sz w:val="24"/>
          <w:szCs w:val="24"/>
          <w:lang w:eastAsia="en-GB"/>
        </w:rPr>
        <w:t xml:space="preserve">This thesis is motivated by the post-2007-2009 regulatory reforms, focusing on risk governance for the banking industry. We argue that banks differ from non-banking firms as they are highly leveraged and get protection from regulators through implicit and explicit guarantees (Mehran et al., 2011; John et al., 2016; Srivastav et al., 2016). These features make risk management more challenging and mostly favour shareholders in the form of high levels of risk (Srivastav et al., 2016). This thesis differs from prior risk management work in banks. We support the current debate that bank governance should not be limited to addressing shareholders but should also account for the interest of creditors and taxpayers. We focus our research on three broad themes of post-2007-2009 regulatory response on risk governance: the importance of chief risk officer in bank risk management function, the effectiveness of bank risk culture and the relevance of board structures (board diversity) on bank risk. The common theme in all three essays highlights the central role of the board in establishing an effective risk governance system. Our emphasis throughout the thesis is on the monitoring and advising role of the board. </w:t>
      </w:r>
    </w:p>
    <w:p w14:paraId="0B103D66" w14:textId="77777777" w:rsidR="00C11008" w:rsidRPr="00C11008" w:rsidRDefault="00C11008" w:rsidP="00C11008">
      <w:pPr>
        <w:spacing w:line="480" w:lineRule="auto"/>
        <w:jc w:val="both"/>
        <w:rPr>
          <w:rFonts w:ascii="Times New Roman" w:eastAsia="Times New Roman" w:hAnsi="Times New Roman" w:cs="Times New Roman"/>
          <w:sz w:val="24"/>
          <w:szCs w:val="24"/>
          <w:lang w:eastAsia="en-GB"/>
        </w:rPr>
      </w:pPr>
      <w:r w:rsidRPr="00F9371C">
        <w:rPr>
          <w:rFonts w:ascii="Times New Roman" w:eastAsia="Times New Roman" w:hAnsi="Times New Roman" w:cs="Times New Roman"/>
          <w:b/>
          <w:bCs/>
          <w:i/>
          <w:iCs/>
          <w:sz w:val="24"/>
          <w:szCs w:val="24"/>
          <w:lang w:eastAsia="en-GB"/>
        </w:rPr>
        <w:t>Chapter 3</w:t>
      </w:r>
      <w:r w:rsidRPr="00C11008">
        <w:rPr>
          <w:rFonts w:ascii="Times New Roman" w:eastAsia="Times New Roman" w:hAnsi="Times New Roman" w:cs="Times New Roman"/>
          <w:sz w:val="24"/>
          <w:szCs w:val="24"/>
          <w:lang w:eastAsia="en-GB"/>
        </w:rPr>
        <w:t xml:space="preserve"> investigates the relationship between female chief risk officers (CRO) and bank risk. We begin our hypothesis with the rationale that the board is responsible for setting the optimal risk level. However, the board requires accurate risk assessment and timely communication of risk-related information to determine the appropriate risk level. To achieve these objectives, the role of CRO is very crucial. We further link the importance of CRO from risk management literature, highlighting the presence of CRO as a criterion for an effective risk management function. We find a gap in the literature, with no study to the best of our knowledge exploring the gender impact of CRO on bank risk. Using a unique dataset of 120 US banks for 2004-2018, we find that female CROs have a significant positive relation with bank risk. The finding supports the literature associating females at top executive positions serving shareholder incentives through higher risk-taking activities. The result supports the literature by suggesting that </w:t>
      </w:r>
      <w:r w:rsidRPr="00C11008">
        <w:rPr>
          <w:rFonts w:ascii="Times New Roman" w:eastAsia="Calibri" w:hAnsi="Times New Roman" w:cs="Times New Roman"/>
          <w:sz w:val="24"/>
          <w:szCs w:val="24"/>
        </w:rPr>
        <w:t xml:space="preserve">females who enter a finance career have the same risk preferences as their male colleagues. We argue that </w:t>
      </w:r>
      <w:r w:rsidRPr="00C11008">
        <w:rPr>
          <w:rFonts w:ascii="Times New Roman" w:eastAsia="Times New Roman" w:hAnsi="Times New Roman" w:cs="Times New Roman"/>
          <w:sz w:val="24"/>
          <w:szCs w:val="24"/>
        </w:rPr>
        <w:t xml:space="preserve">despite the efforts done </w:t>
      </w:r>
      <w:r w:rsidRPr="00C11008">
        <w:rPr>
          <w:rFonts w:ascii="Times New Roman" w:eastAsia="Calibri" w:hAnsi="Times New Roman" w:cs="Times New Roman"/>
          <w:sz w:val="24"/>
          <w:szCs w:val="24"/>
        </w:rPr>
        <w:t>by institutional investors and regulators to improve female representation in corporations, females still face a glass ceiling, especially in specific sectors of the economy, such as banking, where a strong masculine culture constrains them from advancing their careers. Thus, this could be one reason female risk officers in banks prefer a higher level of risk, maintaining their competitiveness and improving their career prospects.</w:t>
      </w:r>
    </w:p>
    <w:p w14:paraId="091032DF"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The existing research further builds the argument that like any other executive female CROs do not work in isolation, and their working environment can influence their decision-making. Using managerial discretion theory, we develop the hypotheses, considering the circumstances under which female CROs' risk preferences can change. According to the literature, female managers' decisions are influenced by their relationship with other executives and board members, who can either improve or constrain female managers' impact on corporate outcomes. We find that female presence on the board and risk committee can moderate the risk behaviour of the female CRO and consequently lead to less risky activities. The findings support gender socialization theory that suggests that males and females learn different behaviours, and females are generally more caring, compassionate, and attentive to others' needs. These soft skills (trustworthy, caring, and friendly) create a comfortable environment where executives feel comfortable sharing information. Our results also confirm economic base theories presenting a “business case” for women on board, i.e., gender-diverse boards improve board monitoring and hence their ability to reduce bank risk. Our results also support the agency theory indicating that independent board committees increase the board's effectiveness by advising, monitoring, and disciplining the executives. </w:t>
      </w:r>
    </w:p>
    <w:p w14:paraId="4D7C4D0F"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Furthermore, we find that the CRO reporting line to the board plays a significant role in moderating the risk-taking behaviour of female CROs. The results highlight CRO's significance as part of the risk management function in communicating risk-related information to the board in a timely manner. Our result provides empirical evidence of how information filtering (resulting in agency problems) can be reduced by improving the organizational hierarchy, i.e., allowing CROs to report related matters directly to the board. </w:t>
      </w:r>
    </w:p>
    <w:p w14:paraId="3AF7FB59" w14:textId="0E79891C"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We conduct endogeneity and robustness tests to confirm our model validity. We estimate an instrumental variable (IV) regression using two-stage least squares (2SLS) to address endogeneity concerns. We then employ propensity score matching (PSM) to improve possible sample selection bias. We further investigate the impact of regulations on bank risk. We use the Dodd-Frank </w:t>
      </w:r>
      <w:r w:rsidR="00CB534C" w:rsidRPr="00C11008">
        <w:rPr>
          <w:rFonts w:ascii="Times New Roman" w:eastAsia="Calibri" w:hAnsi="Times New Roman" w:cs="Times New Roman"/>
          <w:sz w:val="24"/>
          <w:szCs w:val="24"/>
        </w:rPr>
        <w:t>Act</w:t>
      </w:r>
      <w:r w:rsidR="00CB534C">
        <w:rPr>
          <w:rFonts w:ascii="Times New Roman" w:eastAsia="Calibri" w:hAnsi="Times New Roman" w:cs="Times New Roman"/>
          <w:sz w:val="24"/>
          <w:szCs w:val="24"/>
        </w:rPr>
        <w:t xml:space="preserve"> (</w:t>
      </w:r>
      <w:r w:rsidR="00F9371C">
        <w:rPr>
          <w:rFonts w:ascii="Times New Roman" w:eastAsia="Calibri" w:hAnsi="Times New Roman" w:cs="Times New Roman"/>
          <w:sz w:val="24"/>
          <w:szCs w:val="24"/>
        </w:rPr>
        <w:t>2010)</w:t>
      </w:r>
      <w:r w:rsidRPr="00C11008">
        <w:rPr>
          <w:rFonts w:ascii="Times New Roman" w:eastAsia="Calibri" w:hAnsi="Times New Roman" w:cs="Times New Roman"/>
          <w:sz w:val="24"/>
          <w:szCs w:val="24"/>
        </w:rPr>
        <w:t xml:space="preserve"> as </w:t>
      </w:r>
      <w:r w:rsidR="005B1257">
        <w:rPr>
          <w:rFonts w:ascii="Times New Roman" w:eastAsia="Calibri" w:hAnsi="Times New Roman" w:cs="Times New Roman"/>
          <w:sz w:val="24"/>
          <w:szCs w:val="24"/>
        </w:rPr>
        <w:t>a criteria</w:t>
      </w:r>
      <w:r w:rsidRPr="00C11008">
        <w:rPr>
          <w:rFonts w:ascii="Times New Roman" w:eastAsia="Calibri" w:hAnsi="Times New Roman" w:cs="Times New Roman"/>
          <w:sz w:val="24"/>
          <w:szCs w:val="24"/>
        </w:rPr>
        <w:t xml:space="preserve"> </w:t>
      </w:r>
      <w:r w:rsidR="00CB534C">
        <w:rPr>
          <w:rFonts w:ascii="Times New Roman" w:eastAsia="Calibri" w:hAnsi="Times New Roman" w:cs="Times New Roman"/>
          <w:sz w:val="24"/>
          <w:szCs w:val="24"/>
        </w:rPr>
        <w:t xml:space="preserve">to represent regulatory impact </w:t>
      </w:r>
      <w:r w:rsidRPr="00C11008">
        <w:rPr>
          <w:rFonts w:ascii="Times New Roman" w:eastAsia="Calibri" w:hAnsi="Times New Roman" w:cs="Times New Roman"/>
          <w:sz w:val="24"/>
          <w:szCs w:val="24"/>
        </w:rPr>
        <w:t>because it compelled banks of a certain size to appoint CROs and adopt separate risk committees. Our results provide useful insight and reveal that the presence of females in CRO positions significantly reduces bank risk due to regulatory efforts post-</w:t>
      </w:r>
      <w:r w:rsidR="00CB534C">
        <w:rPr>
          <w:rFonts w:ascii="Times New Roman" w:eastAsia="Calibri" w:hAnsi="Times New Roman" w:cs="Times New Roman"/>
          <w:sz w:val="24"/>
          <w:szCs w:val="24"/>
        </w:rPr>
        <w:t>2009</w:t>
      </w:r>
      <w:r w:rsidRPr="00C11008">
        <w:rPr>
          <w:rFonts w:ascii="Times New Roman" w:eastAsia="Calibri" w:hAnsi="Times New Roman" w:cs="Times New Roman"/>
          <w:sz w:val="24"/>
          <w:szCs w:val="24"/>
        </w:rPr>
        <w:t>. We test the robustness and consistency of our findings using an alternative proxy for bank risk and applying panel fixed effects. Our baseline regression results, i.e., a positive relationship between CRO gender and bank risk, remain statistically significant even after addressing these econometric concerns.</w:t>
      </w:r>
    </w:p>
    <w:p w14:paraId="56726A69"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In </w:t>
      </w:r>
      <w:r w:rsidRPr="00F9371C">
        <w:rPr>
          <w:rFonts w:ascii="Times New Roman" w:eastAsia="Calibri" w:hAnsi="Times New Roman" w:cs="Times New Roman"/>
          <w:b/>
          <w:bCs/>
          <w:i/>
          <w:iCs/>
          <w:sz w:val="24"/>
          <w:szCs w:val="24"/>
        </w:rPr>
        <w:t>Chapter 4</w:t>
      </w:r>
      <w:r w:rsidRPr="00C11008">
        <w:rPr>
          <w:rFonts w:ascii="Times New Roman" w:eastAsia="Calibri" w:hAnsi="Times New Roman" w:cs="Times New Roman"/>
          <w:i/>
          <w:iCs/>
          <w:sz w:val="24"/>
          <w:szCs w:val="24"/>
        </w:rPr>
        <w:t xml:space="preserve">, </w:t>
      </w:r>
      <w:r w:rsidRPr="00C11008">
        <w:rPr>
          <w:rFonts w:ascii="Times New Roman" w:eastAsia="Calibri" w:hAnsi="Times New Roman" w:cs="Times New Roman"/>
          <w:sz w:val="24"/>
          <w:szCs w:val="24"/>
        </w:rPr>
        <w:t>we present the case of the importance of risk culture for effective risk management. We build on the recent banking literature acknowledging the relationship between corporate culture and risk management practices with a dominant view that banks with high-risk cultures are engaged in more risk-taking. We add to the emerging literature on risk culture and bank risk by suggesting the moderating impact of board gender diversity on bank risk culture and risk relationships.</w:t>
      </w:r>
      <w:r w:rsidRPr="00C11008">
        <w:rPr>
          <w:rFonts w:ascii="Times New Roman" w:eastAsia="DengXian" w:hAnsi="Times New Roman" w:cs="Times New Roman"/>
          <w:color w:val="000000"/>
          <w:sz w:val="24"/>
          <w:szCs w:val="24"/>
          <w:lang w:eastAsia="zh-CN"/>
        </w:rPr>
        <w:t xml:space="preserve"> Using a sample of 120 U.S. banks and bank holding companies (BHC) for 2004-2018, we employ a panel setting to explain the relationship between bank risk, risk culture and board gender diversity. We find a negative relationship between bank risk and risk culture in the presence of a gender-diverse board. Our results provide empirical evidence for social role theory, suggesting that women are more ethical, risk-averse, better at monitoring and have a different impact on corporate outcomes than their male counterparts due to gender stereotypes. Thus, ethicality is the mechanism through which gender-diverse boards improve the corporate outcome (risk) by enhancing the organisation's culture. Our findings also support the economic-based theories suggesting that women bring unique experiences, skills, and ethics, which results in better monitoring by the board through improved outcomes.</w:t>
      </w:r>
    </w:p>
    <w:p w14:paraId="7E691941"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Further, this study shows that boards with three or more females substantially impact risk culture more than those with two or fewer females, confirming the critical mass theory. Our analysis also highlights the environment female board members provide for effective decision-making. In this regard, we explore the impact of female leaders (CEO/Chairwoman) on risk culture and bank risk relationships. We find that female leaders do not impact the risk culture and the bank risk. However, we show that a female on board provides a conducive environment that significantly encourages the female leader to influence corporate culture and bank risk. We support our finding with the argument that despite the regulatory, public and social movements to increase female representation in firms, female representation at senior executive positions (CEO/Chair) has been very low in the U.S. In comparison to this, regulatory and social efforts have resulted in an increase in female representation at the board level. Thus, female on the board has a more dominant role than female CEO/chair in banks.</w:t>
      </w:r>
    </w:p>
    <w:p w14:paraId="20FACE06"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Calibri" w:hAnsi="Times New Roman" w:cs="Times New Roman"/>
          <w:color w:val="000000"/>
          <w:sz w:val="24"/>
          <w:szCs w:val="24"/>
        </w:rPr>
        <w:t>We further extend our argument by the impact of regulation on bank risk. We debate that regulators have made a considerable effort after the financial crisis of 2007-2009 by highlighting culture as deserving more attention to prevent the reoccurrence of such situations. We complement the regulatory steps towards improving risk culture with recent trends of increased women representation on the board. We test whether the shift towards enhanced risk culture and women's representation on board impacts bank risk-taking after the financial crisis of 2007-2009. We find a significant negative coefficient on the interaction term, i.e. risk culture, female on board and post-2009. The result indicates that increased emphasis by regulators on risk culture has not resulted in banks improving their culture, as risk culture has a positive relationship with bank risk post-2009. Our findings support the literature claiming that banks are rigid about their culture and do not learn from past mistakes. We find that the presence of female on board post-2009 has been influential in improving the bank culture and are the reason behind the lower level of risk in banks post-200. The results are consistent with our baseline hypothesis,</w:t>
      </w:r>
      <w:r w:rsidRPr="00C11008">
        <w:rPr>
          <w:rFonts w:ascii="Times New Roman" w:eastAsia="Calibri" w:hAnsi="Times New Roman" w:cs="Times New Roman"/>
          <w:i/>
          <w:iCs/>
          <w:color w:val="000000"/>
          <w:sz w:val="24"/>
          <w:szCs w:val="24"/>
        </w:rPr>
        <w:t xml:space="preserve"> </w:t>
      </w:r>
      <w:r w:rsidRPr="00C11008">
        <w:rPr>
          <w:rFonts w:ascii="Times New Roman" w:eastAsia="Calibri" w:hAnsi="Times New Roman" w:cs="Times New Roman"/>
          <w:color w:val="000000"/>
          <w:sz w:val="24"/>
          <w:szCs w:val="24"/>
        </w:rPr>
        <w:t>confirming that board gender diversity moderates the relationship between risk culture and bank risk-taking.</w:t>
      </w:r>
    </w:p>
    <w:p w14:paraId="50BE75F3" w14:textId="77CE596A"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 xml:space="preserve">To test the validity and reliability of our study, we conduct a set of endogeneity and robustness tests. We report our baseline model using alternative measures for our key variables of interest in various robustness checks by using an alternative proxy for bank risk, risk culture, and female presence on board. We also introduce bank size effects to address the concern that our baseline result might be affected by large banks (i.e., banks susceptible to more risk-taking and perceived as too big-to-fail). We categorize the banks into quartiles based on the total value of assets and estimate our baseline model excluding the banks in the top quartile. Interestingly, we find a significant moderating role of female board representation in small banks' risk culture and risk-taking behaviour. Our finding has an important implication, i.e. while </w:t>
      </w:r>
      <w:r w:rsidR="00B25DE3">
        <w:rPr>
          <w:rFonts w:ascii="Times New Roman" w:eastAsia="DengXian" w:hAnsi="Times New Roman" w:cs="Times New Roman"/>
          <w:color w:val="000000"/>
          <w:sz w:val="24"/>
          <w:szCs w:val="24"/>
          <w:lang w:eastAsia="zh-CN"/>
        </w:rPr>
        <w:t xml:space="preserve">recent reforms promote the appointment of more females on the board of larger banks, our results highlight the benefits of gender-diverse boards for small and medium-sized banks. Although small and medium-sized banks are not as relevant as larger banks for financial stability; however they do play an important role is building trust and confidence in the overall financial system. </w:t>
      </w:r>
      <w:r w:rsidRPr="00C11008">
        <w:rPr>
          <w:rFonts w:ascii="Times New Roman" w:eastAsia="DengXian" w:hAnsi="Times New Roman" w:cs="Times New Roman"/>
          <w:color w:val="000000"/>
          <w:sz w:val="24"/>
          <w:szCs w:val="24"/>
          <w:lang w:eastAsia="zh-CN"/>
        </w:rPr>
        <w:t>The estimations' results confirm the robustness of our baseline model, i.e. females on the board moderate the relationship between risk culture and bank risk-taking.</w:t>
      </w:r>
    </w:p>
    <w:p w14:paraId="35BFC6D7" w14:textId="7D2CDE5D" w:rsidR="00C11008" w:rsidRPr="00C11008" w:rsidRDefault="00C11008" w:rsidP="00C11008">
      <w:pPr>
        <w:spacing w:after="0"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 xml:space="preserve">We address endogeneity concerns by first handling the issue of reverse causality by taking the lag of independent variables. Further, to improve possible selection bias, we employ propensity score matching (PSM) to control for observable characteristics between banks with risky cultures and banks with less risky cultures. All our endogeneity tests support our baseline model. </w:t>
      </w:r>
    </w:p>
    <w:p w14:paraId="193BFE99" w14:textId="77777777" w:rsidR="00C11008" w:rsidRPr="00C11008" w:rsidRDefault="00C11008" w:rsidP="00C11008">
      <w:pPr>
        <w:spacing w:after="0" w:line="480" w:lineRule="auto"/>
        <w:jc w:val="both"/>
        <w:rPr>
          <w:rFonts w:ascii="Times New Roman" w:eastAsia="DengXian" w:hAnsi="Times New Roman" w:cs="Times New Roman"/>
          <w:color w:val="000000"/>
          <w:sz w:val="24"/>
          <w:szCs w:val="24"/>
          <w:lang w:eastAsia="zh-CN"/>
        </w:rPr>
      </w:pPr>
    </w:p>
    <w:p w14:paraId="2DA2FAEA" w14:textId="56B18A35"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3F17CC">
        <w:rPr>
          <w:rFonts w:ascii="Times New Roman" w:eastAsia="DengXian" w:hAnsi="Times New Roman" w:cs="Times New Roman"/>
          <w:b/>
          <w:bCs/>
          <w:i/>
          <w:iCs/>
          <w:color w:val="000000"/>
          <w:sz w:val="24"/>
          <w:szCs w:val="24"/>
          <w:lang w:eastAsia="zh-CN"/>
        </w:rPr>
        <w:t>Chapter 5</w:t>
      </w:r>
      <w:r w:rsidRPr="00C11008">
        <w:rPr>
          <w:rFonts w:ascii="Times New Roman" w:eastAsia="DengXian" w:hAnsi="Times New Roman" w:cs="Times New Roman"/>
          <w:color w:val="000000"/>
          <w:sz w:val="24"/>
          <w:szCs w:val="24"/>
          <w:lang w:eastAsia="zh-CN"/>
        </w:rPr>
        <w:t xml:space="preserve"> focuses on board structure, mainly on diversity among independent directors’ attributes. </w:t>
      </w:r>
      <w:r w:rsidRPr="00C11008">
        <w:rPr>
          <w:rFonts w:ascii="Times New Roman" w:eastAsia="Calibri" w:hAnsi="Times New Roman" w:cs="Times New Roman"/>
          <w:sz w:val="24"/>
          <w:szCs w:val="24"/>
        </w:rPr>
        <w:t xml:space="preserve">This chapter examines the impact of independent director attributes on corporate misconduct. Using the Violation Tracker database, we collect misconduct data for </w:t>
      </w:r>
      <w:r w:rsidR="003F17CC">
        <w:rPr>
          <w:rFonts w:ascii="Times New Roman" w:eastAsia="Calibri" w:hAnsi="Times New Roman" w:cs="Times New Roman"/>
          <w:sz w:val="24"/>
          <w:szCs w:val="24"/>
        </w:rPr>
        <w:t xml:space="preserve">69 </w:t>
      </w:r>
      <w:r w:rsidRPr="00C11008">
        <w:rPr>
          <w:rFonts w:ascii="Times New Roman" w:eastAsia="Calibri" w:hAnsi="Times New Roman" w:cs="Times New Roman"/>
          <w:sz w:val="24"/>
          <w:szCs w:val="24"/>
        </w:rPr>
        <w:t xml:space="preserve">U.S. banks and bank holding companies for 2004-2020. We measure the quality of independent directors by looking at heterogeneity in independent directors' attributes. We construct a heterogeneity index based on gender, financial experience, and tenure heterogeneity among independent directors. We begin our analysis by first showing the </w:t>
      </w:r>
      <w:r w:rsidR="00B25DE3" w:rsidRPr="00C11008">
        <w:rPr>
          <w:rFonts w:ascii="Times New Roman" w:eastAsia="Calibri" w:hAnsi="Times New Roman" w:cs="Times New Roman"/>
          <w:sz w:val="24"/>
          <w:szCs w:val="24"/>
        </w:rPr>
        <w:t>association</w:t>
      </w:r>
      <w:r w:rsidRPr="00C11008">
        <w:rPr>
          <w:rFonts w:ascii="Times New Roman" w:eastAsia="Calibri" w:hAnsi="Times New Roman" w:cs="Times New Roman"/>
          <w:sz w:val="24"/>
          <w:szCs w:val="24"/>
        </w:rPr>
        <w:t xml:space="preserve"> </w:t>
      </w:r>
      <w:r w:rsidR="00B25DE3" w:rsidRPr="00C11008">
        <w:rPr>
          <w:rFonts w:ascii="Times New Roman" w:eastAsia="Calibri" w:hAnsi="Times New Roman" w:cs="Times New Roman"/>
          <w:sz w:val="24"/>
          <w:szCs w:val="24"/>
        </w:rPr>
        <w:t>among</w:t>
      </w:r>
      <w:r w:rsidRPr="00C11008">
        <w:rPr>
          <w:rFonts w:ascii="Times New Roman" w:eastAsia="Calibri" w:hAnsi="Times New Roman" w:cs="Times New Roman"/>
          <w:sz w:val="24"/>
          <w:szCs w:val="24"/>
        </w:rPr>
        <w:t xml:space="preserve"> </w:t>
      </w:r>
      <w:r w:rsidR="00B25DE3">
        <w:rPr>
          <w:rFonts w:ascii="Times New Roman" w:eastAsia="Calibri" w:hAnsi="Times New Roman" w:cs="Times New Roman"/>
          <w:sz w:val="24"/>
          <w:szCs w:val="24"/>
        </w:rPr>
        <w:t xml:space="preserve">INED </w:t>
      </w:r>
      <w:r w:rsidRPr="00C11008">
        <w:rPr>
          <w:rFonts w:ascii="Times New Roman" w:eastAsia="Calibri" w:hAnsi="Times New Roman" w:cs="Times New Roman"/>
          <w:sz w:val="24"/>
          <w:szCs w:val="24"/>
        </w:rPr>
        <w:t xml:space="preserve">heterogeneity in </w:t>
      </w:r>
      <w:r w:rsidR="00B25DE3">
        <w:rPr>
          <w:rFonts w:ascii="Times New Roman" w:eastAsia="Calibri" w:hAnsi="Times New Roman" w:cs="Times New Roman"/>
          <w:sz w:val="24"/>
          <w:szCs w:val="24"/>
        </w:rPr>
        <w:t>gender, financial expertise, and tenure with bank misconduct</w:t>
      </w:r>
      <w:r w:rsidRPr="00C11008">
        <w:rPr>
          <w:rFonts w:ascii="Times New Roman" w:eastAsia="Calibri" w:hAnsi="Times New Roman" w:cs="Times New Roman"/>
          <w:sz w:val="24"/>
          <w:szCs w:val="24"/>
        </w:rPr>
        <w:t xml:space="preserve">. We find that INED gender heterogeneity reduces bank misconduct. This finding aligns with gender socialization and the social role theory, which imply that women are more ethical than men, risk-averse and prefer security. Next, we show that the INED financial experience heterogeneity significantly reduces bank misconduct. We support our result by giving the view that financial </w:t>
      </w:r>
      <w:r w:rsidR="00B25DE3">
        <w:rPr>
          <w:rFonts w:ascii="Times New Roman" w:eastAsia="Calibri" w:hAnsi="Times New Roman" w:cs="Times New Roman"/>
          <w:sz w:val="24"/>
          <w:szCs w:val="24"/>
        </w:rPr>
        <w:t xml:space="preserve">expertise enables the directors to understand complicated bank models better. The director’s financial expertise also benefits the bank by cost-effectively acquiring and understanding financial transactions and related risks. </w:t>
      </w:r>
      <w:r w:rsidRPr="00C11008">
        <w:rPr>
          <w:rFonts w:ascii="Times New Roman" w:eastAsia="Calibri" w:hAnsi="Times New Roman" w:cs="Times New Roman"/>
          <w:sz w:val="24"/>
          <w:szCs w:val="24"/>
        </w:rPr>
        <w:t xml:space="preserve">Our result also supports the view that a higher degree of specialized knowledge is crucial for independent directors to be more effective monitors (resulting in lower risk-taking). Our results for tenure heterogeneity also show a significant negative relationship with bank misconduct, </w:t>
      </w:r>
      <w:r w:rsidR="00B25DE3">
        <w:rPr>
          <w:rFonts w:ascii="Times New Roman" w:eastAsia="Calibri" w:hAnsi="Times New Roman" w:cs="Times New Roman"/>
          <w:sz w:val="24"/>
          <w:szCs w:val="24"/>
        </w:rPr>
        <w:t xml:space="preserve">showing that the higher the INED tenure heterogeneity, the fewer the bank penalties. </w:t>
      </w:r>
      <w:r w:rsidRPr="00C11008">
        <w:rPr>
          <w:rFonts w:ascii="Times New Roman" w:eastAsia="Calibri" w:hAnsi="Times New Roman" w:cs="Times New Roman"/>
          <w:sz w:val="24"/>
          <w:szCs w:val="24"/>
        </w:rPr>
        <w:t>The result also highlights that having independent directors on the board with different tenures improves knowledge continuity, decreases the probability of group cohesiveness and decreases social integration and mutual attraction. Finally, we show that heterogeneity in independent directors' attributes (measured as the heterogeneity index) helps mitigate bank misconduct. Our rationale for building an index is based on the argument that combining heterogeneity among various directors' attributes is an adequate criterion for evaluating independent director effectiveness on bank risk.</w:t>
      </w:r>
    </w:p>
    <w:p w14:paraId="6080B9D9"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Next, we investigate whether heterogeneity in independent director attributes has significantly reduced bank misconduct after the financial crisis of 2007-2009. We first show that independent directors' heterogeneity increased after the financial crisis, and we then examine the impact of independent directors' heterogeneity after the financial crisis. The results indicate that independent director heterogeneity has significantly changed independent directors' behaviour towards bank misconduct during post-2009. The results also reveal that regulatory enforcement of improving board structures after the financial crisis has substantially helped reduce bank misconduct and enhanced director monitoring.</w:t>
      </w:r>
    </w:p>
    <w:p w14:paraId="4566A7AD" w14:textId="784774EA"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We further examine our proposition of whether independent director heterogeneity leads to lower misconduct- in the presence of high information asymmetry. </w:t>
      </w:r>
      <w:r w:rsidR="00B25DE3">
        <w:rPr>
          <w:rFonts w:ascii="Times New Roman" w:eastAsia="Times New Roman" w:hAnsi="Times New Roman" w:cs="Times New Roman"/>
          <w:sz w:val="24"/>
          <w:szCs w:val="24"/>
        </w:rPr>
        <w:t xml:space="preserve">We approach this issue by first analysing the direct relationship between the INED heterogeneity index and </w:t>
      </w:r>
      <w:r w:rsidR="00B25DE3" w:rsidRPr="00A9015F">
        <w:rPr>
          <w:rFonts w:ascii="Times New Roman" w:eastAsia="Times New Roman" w:hAnsi="Times New Roman" w:cs="Times New Roman"/>
          <w:sz w:val="24"/>
          <w:szCs w:val="24"/>
        </w:rPr>
        <w:t>information asymmetry</w:t>
      </w:r>
      <w:r w:rsidR="00B25DE3">
        <w:rPr>
          <w:rFonts w:ascii="Times New Roman" w:eastAsia="Times New Roman" w:hAnsi="Times New Roman" w:cs="Times New Roman"/>
          <w:sz w:val="24"/>
          <w:szCs w:val="24"/>
        </w:rPr>
        <w:t xml:space="preserve">. As a </w:t>
      </w:r>
      <w:r w:rsidR="00B25DE3" w:rsidRPr="00A9015F">
        <w:rPr>
          <w:rFonts w:ascii="Times New Roman" w:eastAsia="Times New Roman" w:hAnsi="Times New Roman" w:cs="Times New Roman"/>
          <w:sz w:val="24"/>
          <w:szCs w:val="24"/>
        </w:rPr>
        <w:t>second</w:t>
      </w:r>
      <w:r w:rsidR="00B25DE3">
        <w:rPr>
          <w:rFonts w:ascii="Times New Roman" w:eastAsia="Times New Roman" w:hAnsi="Times New Roman" w:cs="Times New Roman"/>
          <w:sz w:val="24"/>
          <w:szCs w:val="24"/>
        </w:rPr>
        <w:t xml:space="preserve"> step</w:t>
      </w:r>
      <w:r w:rsidR="00B25DE3" w:rsidRPr="00A9015F">
        <w:rPr>
          <w:rFonts w:ascii="Times New Roman" w:eastAsia="Times New Roman" w:hAnsi="Times New Roman" w:cs="Times New Roman"/>
          <w:sz w:val="24"/>
          <w:szCs w:val="24"/>
        </w:rPr>
        <w:t xml:space="preserve">, we re-examine the </w:t>
      </w:r>
      <w:r w:rsidR="00B25DE3">
        <w:rPr>
          <w:rFonts w:ascii="Times New Roman" w:eastAsia="Times New Roman" w:hAnsi="Times New Roman" w:cs="Times New Roman"/>
          <w:sz w:val="24"/>
          <w:szCs w:val="24"/>
        </w:rPr>
        <w:t xml:space="preserve">relationship between the INED heterogeneity index and </w:t>
      </w:r>
      <w:r w:rsidR="00B25DE3" w:rsidRPr="00A9015F">
        <w:rPr>
          <w:rFonts w:ascii="Times New Roman" w:eastAsia="Times New Roman" w:hAnsi="Times New Roman" w:cs="Times New Roman"/>
          <w:sz w:val="24"/>
          <w:szCs w:val="24"/>
        </w:rPr>
        <w:t xml:space="preserve">bank misconduct based on </w:t>
      </w:r>
      <w:r w:rsidR="00B25DE3">
        <w:rPr>
          <w:rFonts w:ascii="Times New Roman" w:eastAsia="Times New Roman" w:hAnsi="Times New Roman" w:cs="Times New Roman"/>
          <w:sz w:val="24"/>
          <w:szCs w:val="24"/>
        </w:rPr>
        <w:t xml:space="preserve">high/low </w:t>
      </w:r>
      <w:r w:rsidR="00B25DE3" w:rsidRPr="00A9015F">
        <w:rPr>
          <w:rFonts w:ascii="Times New Roman" w:eastAsia="Times New Roman" w:hAnsi="Times New Roman" w:cs="Times New Roman"/>
          <w:sz w:val="24"/>
          <w:szCs w:val="24"/>
        </w:rPr>
        <w:t xml:space="preserve">information asymmetry. </w:t>
      </w:r>
      <w:r w:rsidRPr="00C11008">
        <w:rPr>
          <w:rFonts w:ascii="Times New Roman" w:eastAsia="Calibri" w:hAnsi="Times New Roman" w:cs="Times New Roman"/>
          <w:sz w:val="24"/>
          <w:szCs w:val="24"/>
        </w:rPr>
        <w:t xml:space="preserve">We measure information asymmetry as the difference between the bid and ask spread and the dispersion of analysts' forecasts. </w:t>
      </w:r>
      <w:r w:rsidR="00B25DE3">
        <w:rPr>
          <w:rFonts w:ascii="Times New Roman" w:eastAsia="Calibri" w:hAnsi="Times New Roman" w:cs="Times New Roman"/>
          <w:sz w:val="24"/>
          <w:szCs w:val="24"/>
        </w:rPr>
        <w:t xml:space="preserve">Our results show </w:t>
      </w:r>
      <w:r w:rsidRPr="00C11008">
        <w:rPr>
          <w:rFonts w:ascii="Times New Roman" w:eastAsia="Calibri" w:hAnsi="Times New Roman" w:cs="Times New Roman"/>
          <w:sz w:val="24"/>
          <w:szCs w:val="24"/>
        </w:rPr>
        <w:t xml:space="preserve">a significant negative </w:t>
      </w:r>
      <w:r w:rsidR="00B25DE3" w:rsidRPr="00C11008">
        <w:rPr>
          <w:rFonts w:ascii="Times New Roman" w:eastAsia="Calibri" w:hAnsi="Times New Roman" w:cs="Times New Roman"/>
          <w:sz w:val="24"/>
          <w:szCs w:val="24"/>
        </w:rPr>
        <w:t>association</w:t>
      </w:r>
      <w:r w:rsidRPr="00C11008">
        <w:rPr>
          <w:rFonts w:ascii="Times New Roman" w:eastAsia="Calibri" w:hAnsi="Times New Roman" w:cs="Times New Roman"/>
          <w:sz w:val="24"/>
          <w:szCs w:val="24"/>
        </w:rPr>
        <w:t xml:space="preserve"> between the INED heterogeneity index and information asymmetry. We further find that INED heterogeneity results in lower bank misconduct for banks with high information asymmetry. Overall, </w:t>
      </w:r>
      <w:r w:rsidR="00B25DE3">
        <w:rPr>
          <w:rFonts w:ascii="Times New Roman" w:eastAsia="Calibri" w:hAnsi="Times New Roman" w:cs="Times New Roman"/>
          <w:sz w:val="24"/>
          <w:szCs w:val="24"/>
        </w:rPr>
        <w:t xml:space="preserve">our findings show that </w:t>
      </w:r>
      <w:r w:rsidRPr="00C11008">
        <w:rPr>
          <w:rFonts w:ascii="Times New Roman" w:eastAsia="Calibri" w:hAnsi="Times New Roman" w:cs="Times New Roman"/>
          <w:sz w:val="24"/>
          <w:szCs w:val="24"/>
        </w:rPr>
        <w:t>the risk-averse behaviour of INEDs is channelled through the mitigation of information asymmetry.</w:t>
      </w:r>
    </w:p>
    <w:p w14:paraId="0E3B7CA1" w14:textId="5614A56E"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We confirm the validity and reliability of our model by conducting endogeneity and robustness tests. First, we use an IV  model using 2SLS regression to solve the issue of reverse causality. Our instrument selection is motivated by the role of the local labour market in supplying directors to a bank. We use the log of the city's population where the bank's headquarters is located as the instrument. The instrumental variable approach's result aligns with our baseline model that INED heterogeneity reduces bank misconduct. Thus, we </w:t>
      </w:r>
      <w:r w:rsidR="00B25DE3">
        <w:rPr>
          <w:rFonts w:ascii="Times New Roman" w:eastAsia="Calibri" w:hAnsi="Times New Roman" w:cs="Times New Roman"/>
          <w:sz w:val="24"/>
          <w:szCs w:val="24"/>
        </w:rPr>
        <w:t xml:space="preserve">can say that our baseline model, i.e. a </w:t>
      </w:r>
      <w:r w:rsidRPr="00C11008">
        <w:rPr>
          <w:rFonts w:ascii="Times New Roman" w:eastAsia="Calibri" w:hAnsi="Times New Roman" w:cs="Times New Roman"/>
          <w:sz w:val="24"/>
          <w:szCs w:val="24"/>
        </w:rPr>
        <w:t>negative relationship between INED heterogeneity</w:t>
      </w:r>
      <w:r w:rsidR="003F17CC">
        <w:rPr>
          <w:rFonts w:ascii="Times New Roman" w:eastAsia="Calibri" w:hAnsi="Times New Roman" w:cs="Times New Roman"/>
          <w:sz w:val="24"/>
          <w:szCs w:val="24"/>
        </w:rPr>
        <w:t xml:space="preserve"> index</w:t>
      </w:r>
      <w:r w:rsidRPr="00C11008">
        <w:rPr>
          <w:rFonts w:ascii="Times New Roman" w:eastAsia="Calibri" w:hAnsi="Times New Roman" w:cs="Times New Roman"/>
          <w:sz w:val="24"/>
          <w:szCs w:val="24"/>
        </w:rPr>
        <w:t xml:space="preserve"> and bank misconduct</w:t>
      </w:r>
      <w:r w:rsidR="00B25DE3">
        <w:rPr>
          <w:rFonts w:ascii="Times New Roman" w:eastAsia="Calibri" w:hAnsi="Times New Roman" w:cs="Times New Roman"/>
          <w:sz w:val="24"/>
          <w:szCs w:val="24"/>
        </w:rPr>
        <w:t>,</w:t>
      </w:r>
      <w:r w:rsidRPr="00C11008">
        <w:rPr>
          <w:rFonts w:ascii="Times New Roman" w:eastAsia="Calibri" w:hAnsi="Times New Roman" w:cs="Times New Roman"/>
          <w:sz w:val="24"/>
          <w:szCs w:val="24"/>
        </w:rPr>
        <w:t xml:space="preserve"> is </w:t>
      </w:r>
      <w:r w:rsidR="00B25DE3">
        <w:rPr>
          <w:rFonts w:ascii="Times New Roman" w:eastAsia="Calibri" w:hAnsi="Times New Roman" w:cs="Times New Roman"/>
          <w:sz w:val="24"/>
          <w:szCs w:val="24"/>
        </w:rPr>
        <w:t>free from</w:t>
      </w:r>
      <w:r w:rsidRPr="00C11008">
        <w:rPr>
          <w:rFonts w:ascii="Times New Roman" w:eastAsia="Calibri" w:hAnsi="Times New Roman" w:cs="Times New Roman"/>
          <w:sz w:val="24"/>
          <w:szCs w:val="24"/>
        </w:rPr>
        <w:t xml:space="preserve"> endogeneity </w:t>
      </w:r>
      <w:r w:rsidR="00B25DE3">
        <w:rPr>
          <w:rFonts w:ascii="Times New Roman" w:eastAsia="Calibri" w:hAnsi="Times New Roman" w:cs="Times New Roman"/>
          <w:sz w:val="24"/>
          <w:szCs w:val="24"/>
        </w:rPr>
        <w:t>and the cause of lower misconducts is primarily because of</w:t>
      </w:r>
      <w:r w:rsidRPr="00C11008">
        <w:rPr>
          <w:rFonts w:ascii="Times New Roman" w:eastAsia="Calibri" w:hAnsi="Times New Roman" w:cs="Times New Roman"/>
          <w:sz w:val="24"/>
          <w:szCs w:val="24"/>
        </w:rPr>
        <w:t xml:space="preserve"> heterogeneity in the INEDs' attributes.</w:t>
      </w:r>
    </w:p>
    <w:p w14:paraId="6569E072" w14:textId="75F352DF" w:rsidR="00B25DE3" w:rsidRPr="00B25DE3" w:rsidRDefault="00B25DE3" w:rsidP="00C11008">
      <w:pPr>
        <w:spacing w:line="480" w:lineRule="auto"/>
        <w:jc w:val="both"/>
        <w:rPr>
          <w:rFonts w:ascii="Times New Roman" w:eastAsia="Times New Roman" w:hAnsi="Times New Roman" w:cs="Times New Roman"/>
          <w:sz w:val="24"/>
          <w:szCs w:val="24"/>
        </w:rPr>
      </w:pPr>
      <w:r w:rsidRPr="00A9015F">
        <w:rPr>
          <w:rFonts w:ascii="Times New Roman" w:eastAsia="Times New Roman" w:hAnsi="Times New Roman" w:cs="Times New Roman"/>
          <w:sz w:val="24"/>
          <w:szCs w:val="24"/>
        </w:rPr>
        <w:t xml:space="preserve">To address </w:t>
      </w:r>
      <w:r>
        <w:rPr>
          <w:rFonts w:ascii="Times New Roman" w:eastAsia="Times New Roman" w:hAnsi="Times New Roman" w:cs="Times New Roman"/>
          <w:sz w:val="24"/>
          <w:szCs w:val="24"/>
        </w:rPr>
        <w:t>selection bias due to</w:t>
      </w:r>
      <w:r w:rsidRPr="00A9015F">
        <w:rPr>
          <w:rFonts w:ascii="Times New Roman" w:eastAsia="Times New Roman" w:hAnsi="Times New Roman" w:cs="Times New Roman"/>
          <w:sz w:val="24"/>
          <w:szCs w:val="24"/>
        </w:rPr>
        <w:t xml:space="preserve"> firm-related characteristics or functional misspecification, we use propensity score matching (PSM) (Zaman et al., 2021; Armstrong et al., 2010; Rosenbaum and Rubin, 1983). To ensure that our treated and control firms are comparable, we match treatment and control firms using propensity score matching. We define our treatment group as the banks that had faced penalties</w:t>
      </w:r>
      <w:r>
        <w:rPr>
          <w:rFonts w:ascii="Times New Roman" w:eastAsia="Times New Roman" w:hAnsi="Times New Roman" w:cs="Times New Roman"/>
          <w:sz w:val="24"/>
          <w:szCs w:val="24"/>
        </w:rPr>
        <w:t>. In contrast,</w:t>
      </w:r>
      <w:r w:rsidRPr="00A9015F">
        <w:rPr>
          <w:rFonts w:ascii="Times New Roman" w:eastAsia="Times New Roman" w:hAnsi="Times New Roman" w:cs="Times New Roman"/>
          <w:sz w:val="24"/>
          <w:szCs w:val="24"/>
        </w:rPr>
        <w:t xml:space="preserve"> the control group comprises </w:t>
      </w:r>
      <w:r>
        <w:rPr>
          <w:rFonts w:ascii="Times New Roman" w:eastAsia="Times New Roman" w:hAnsi="Times New Roman" w:cs="Times New Roman"/>
          <w:sz w:val="24"/>
          <w:szCs w:val="24"/>
        </w:rPr>
        <w:t>banks that did not face</w:t>
      </w:r>
      <w:r w:rsidRPr="00A9015F">
        <w:rPr>
          <w:rFonts w:ascii="Times New Roman" w:eastAsia="Times New Roman" w:hAnsi="Times New Roman" w:cs="Times New Roman"/>
          <w:sz w:val="24"/>
          <w:szCs w:val="24"/>
        </w:rPr>
        <w:t xml:space="preserve"> any fine</w:t>
      </w:r>
      <w:r>
        <w:rPr>
          <w:rFonts w:ascii="Times New Roman" w:eastAsia="Times New Roman" w:hAnsi="Times New Roman" w:cs="Times New Roman"/>
          <w:sz w:val="24"/>
          <w:szCs w:val="24"/>
        </w:rPr>
        <w:t>s</w:t>
      </w:r>
      <w:r w:rsidRPr="00A9015F">
        <w:rPr>
          <w:rFonts w:ascii="Times New Roman" w:eastAsia="Times New Roman" w:hAnsi="Times New Roman" w:cs="Times New Roman"/>
          <w:sz w:val="24"/>
          <w:szCs w:val="24"/>
        </w:rPr>
        <w:t xml:space="preserve"> at any point in time. </w:t>
      </w:r>
      <w:r>
        <w:rPr>
          <w:rFonts w:ascii="Times New Roman" w:eastAsia="Times New Roman" w:hAnsi="Times New Roman" w:cs="Times New Roman"/>
          <w:sz w:val="24"/>
          <w:szCs w:val="24"/>
        </w:rPr>
        <w:t xml:space="preserve">Our control group are comparable to our treatment banks in all other dimensions. We used all right-hand side variables in Equations (1) as matching criteria for PSM. We match the control banks with treatment banks </w:t>
      </w:r>
      <w:r w:rsidRPr="00A9015F">
        <w:rPr>
          <w:rFonts w:ascii="Times New Roman" w:eastAsia="Times New Roman" w:hAnsi="Times New Roman" w:cs="Times New Roman"/>
          <w:sz w:val="24"/>
          <w:szCs w:val="24"/>
        </w:rPr>
        <w:t xml:space="preserve">based on </w:t>
      </w:r>
      <w:r>
        <w:rPr>
          <w:rFonts w:ascii="Times New Roman" w:eastAsia="Times New Roman" w:hAnsi="Times New Roman" w:cs="Times New Roman"/>
          <w:sz w:val="24"/>
          <w:szCs w:val="24"/>
        </w:rPr>
        <w:t xml:space="preserve">matching </w:t>
      </w:r>
      <w:r w:rsidRPr="00A9015F">
        <w:rPr>
          <w:rFonts w:ascii="Times New Roman" w:eastAsia="Times New Roman" w:hAnsi="Times New Roman" w:cs="Times New Roman"/>
          <w:sz w:val="24"/>
          <w:szCs w:val="24"/>
        </w:rPr>
        <w:t xml:space="preserve">criteria measured a year </w:t>
      </w:r>
      <w:r>
        <w:rPr>
          <w:rFonts w:ascii="Times New Roman" w:eastAsia="Times New Roman" w:hAnsi="Times New Roman" w:cs="Times New Roman"/>
          <w:sz w:val="24"/>
          <w:szCs w:val="24"/>
        </w:rPr>
        <w:t>before</w:t>
      </w:r>
      <w:r w:rsidRPr="00A9015F">
        <w:rPr>
          <w:rFonts w:ascii="Times New Roman" w:eastAsia="Times New Roman" w:hAnsi="Times New Roman" w:cs="Times New Roman"/>
          <w:sz w:val="24"/>
          <w:szCs w:val="24"/>
        </w:rPr>
        <w:t xml:space="preserve"> the penalty </w:t>
      </w:r>
      <w:r>
        <w:rPr>
          <w:rFonts w:ascii="Times New Roman" w:eastAsia="Times New Roman" w:hAnsi="Times New Roman" w:cs="Times New Roman"/>
          <w:sz w:val="24"/>
          <w:szCs w:val="24"/>
        </w:rPr>
        <w:t xml:space="preserve">was </w:t>
      </w:r>
      <w:r w:rsidRPr="00A9015F">
        <w:rPr>
          <w:rFonts w:ascii="Times New Roman" w:eastAsia="Times New Roman" w:hAnsi="Times New Roman" w:cs="Times New Roman"/>
          <w:sz w:val="24"/>
          <w:szCs w:val="24"/>
        </w:rPr>
        <w:t xml:space="preserve">imposed </w:t>
      </w:r>
      <w:r>
        <w:rPr>
          <w:rFonts w:ascii="Times New Roman" w:eastAsia="Times New Roman" w:hAnsi="Times New Roman" w:cs="Times New Roman"/>
          <w:sz w:val="24"/>
          <w:szCs w:val="24"/>
        </w:rPr>
        <w:t xml:space="preserve">to avoid any endogeneity issues. </w:t>
      </w:r>
      <w:r w:rsidRPr="00A9015F">
        <w:rPr>
          <w:rFonts w:ascii="Times New Roman" w:eastAsia="Times New Roman" w:hAnsi="Times New Roman" w:cs="Times New Roman"/>
          <w:sz w:val="24"/>
          <w:szCs w:val="24"/>
        </w:rPr>
        <w:t>We then estimate the propensity scores using the nearest neighbour matching with a calliper of 0.01 without replacement</w:t>
      </w:r>
      <w:r>
        <w:rPr>
          <w:rFonts w:ascii="Times New Roman" w:eastAsia="Times New Roman" w:hAnsi="Times New Roman" w:cs="Times New Roman"/>
          <w:sz w:val="24"/>
          <w:szCs w:val="24"/>
        </w:rPr>
        <w:t xml:space="preserve">. </w:t>
      </w:r>
      <w:r w:rsidRPr="00A9015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findings show that treatment and control banks are qualitatively similar based on the matching variables. </w:t>
      </w:r>
      <w:r w:rsidRPr="00C11008">
        <w:rPr>
          <w:rFonts w:ascii="Times New Roman" w:eastAsia="Calibri" w:hAnsi="Times New Roman" w:cs="Times New Roman"/>
          <w:sz w:val="24"/>
          <w:szCs w:val="24"/>
        </w:rPr>
        <w:t>The result of PSM regressions using the matched sample indicates that INED's attribute decreases the amount of bank misconduct</w:t>
      </w:r>
      <w:r>
        <w:rPr>
          <w:rFonts w:ascii="Times New Roman" w:eastAsia="Calibri" w:hAnsi="Times New Roman" w:cs="Times New Roman"/>
          <w:sz w:val="24"/>
          <w:szCs w:val="24"/>
        </w:rPr>
        <w:t>.</w:t>
      </w:r>
      <w:r w:rsidRPr="00A9015F">
        <w:rPr>
          <w:rFonts w:ascii="Times New Roman" w:eastAsia="Times New Roman" w:hAnsi="Times New Roman" w:cs="Times New Roman"/>
          <w:sz w:val="24"/>
          <w:szCs w:val="24"/>
        </w:rPr>
        <w:t xml:space="preserve"> These findings are consistent with our baseline results that INED's attribute heterogeneity leads to lower bank misconduct. </w:t>
      </w:r>
    </w:p>
    <w:p w14:paraId="0BE8241A" w14:textId="3E739B22" w:rsidR="00B25DE3"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We test the robustness of our main results by using alternative measures of bank misconduct, a binomial regression model taking the dependent variable as a dummy variable (bank penalized for conducting misconduct), using an alternative proxy for the heterogeneity index. We use the same control variables as our baseline regression, including the year and bank fixed effects. The results show that the negative relationship between the INED director's attribute heterogeneity remains consistent even after conducting these robustness checks.</w:t>
      </w:r>
    </w:p>
    <w:p w14:paraId="74133CD8" w14:textId="77777777" w:rsidR="00B25DE3" w:rsidRDefault="00B25DE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B7ABB63" w14:textId="77777777" w:rsidR="00C11008" w:rsidRPr="00C11008" w:rsidRDefault="00C11008" w:rsidP="00C11008">
      <w:pPr>
        <w:spacing w:line="480" w:lineRule="auto"/>
        <w:jc w:val="both"/>
        <w:rPr>
          <w:rFonts w:ascii="Times New Roman" w:eastAsia="Calibri" w:hAnsi="Times New Roman" w:cs="Times New Roman"/>
          <w:sz w:val="24"/>
          <w:szCs w:val="24"/>
        </w:rPr>
      </w:pPr>
    </w:p>
    <w:p w14:paraId="63BDB1A4" w14:textId="711B3E1B" w:rsidR="00C11008" w:rsidRDefault="00C11008" w:rsidP="003F17CC">
      <w:pPr>
        <w:pStyle w:val="Heading2"/>
      </w:pPr>
      <w:bookmarkStart w:id="177" w:name="_Toc145616229"/>
      <w:r w:rsidRPr="003F17CC">
        <w:t>6.2. Contribution and Implication</w:t>
      </w:r>
      <w:bookmarkEnd w:id="177"/>
    </w:p>
    <w:p w14:paraId="7B4FB8C5" w14:textId="77777777" w:rsidR="003F17CC" w:rsidRPr="003F17CC" w:rsidRDefault="003F17CC" w:rsidP="003F17CC"/>
    <w:p w14:paraId="7F54C341" w14:textId="3C706590" w:rsidR="00C11008" w:rsidRDefault="00C11008" w:rsidP="003F17CC">
      <w:pPr>
        <w:pStyle w:val="Heading3"/>
        <w:rPr>
          <w:rFonts w:ascii="Times New Roman" w:hAnsi="Times New Roman" w:cs="Times New Roman"/>
          <w:b/>
          <w:bCs/>
          <w:color w:val="000000" w:themeColor="text1"/>
          <w:sz w:val="28"/>
          <w:szCs w:val="28"/>
        </w:rPr>
      </w:pPr>
      <w:bookmarkStart w:id="178" w:name="_Toc145616230"/>
      <w:r w:rsidRPr="003F17CC">
        <w:rPr>
          <w:rFonts w:ascii="Times New Roman" w:hAnsi="Times New Roman" w:cs="Times New Roman"/>
          <w:b/>
          <w:bCs/>
          <w:color w:val="000000" w:themeColor="text1"/>
          <w:sz w:val="28"/>
          <w:szCs w:val="28"/>
        </w:rPr>
        <w:t>6.2.1</w:t>
      </w:r>
      <w:r w:rsidR="003F17CC" w:rsidRPr="003F17CC">
        <w:rPr>
          <w:rFonts w:ascii="Times New Roman" w:hAnsi="Times New Roman" w:cs="Times New Roman"/>
          <w:b/>
          <w:bCs/>
          <w:color w:val="000000" w:themeColor="text1"/>
          <w:sz w:val="28"/>
          <w:szCs w:val="28"/>
        </w:rPr>
        <w:t>.</w:t>
      </w:r>
      <w:r w:rsidRPr="003F17CC">
        <w:rPr>
          <w:rFonts w:ascii="Times New Roman" w:hAnsi="Times New Roman" w:cs="Times New Roman"/>
          <w:b/>
          <w:bCs/>
          <w:color w:val="000000" w:themeColor="text1"/>
          <w:sz w:val="28"/>
          <w:szCs w:val="28"/>
        </w:rPr>
        <w:t xml:space="preserve"> Chapter3</w:t>
      </w:r>
      <w:bookmarkEnd w:id="178"/>
    </w:p>
    <w:p w14:paraId="5F7EFD1F" w14:textId="77777777" w:rsidR="003F17CC" w:rsidRPr="003F17CC" w:rsidRDefault="003F17CC" w:rsidP="003F17CC"/>
    <w:p w14:paraId="71D39D48" w14:textId="5B15EA80"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In this chapter, we contribute to the recent attention given by policymakers, academicians, and the media to the </w:t>
      </w:r>
      <w:r w:rsidR="00B25DE3">
        <w:rPr>
          <w:rFonts w:ascii="Times New Roman" w:eastAsia="Calibri" w:hAnsi="Times New Roman" w:cs="Times New Roman"/>
          <w:sz w:val="24"/>
          <w:szCs w:val="24"/>
        </w:rPr>
        <w:t xml:space="preserve">presence of a female in top management positions, i.e. </w:t>
      </w:r>
      <w:r w:rsidRPr="00C11008">
        <w:rPr>
          <w:rFonts w:ascii="Times New Roman" w:eastAsia="Calibri" w:hAnsi="Times New Roman" w:cs="Times New Roman"/>
          <w:sz w:val="24"/>
          <w:szCs w:val="24"/>
        </w:rPr>
        <w:t>CEOs</w:t>
      </w:r>
      <w:r w:rsidR="00B25DE3">
        <w:rPr>
          <w:rFonts w:ascii="Times New Roman" w:eastAsia="Calibri" w:hAnsi="Times New Roman" w:cs="Times New Roman"/>
          <w:sz w:val="24"/>
          <w:szCs w:val="24"/>
        </w:rPr>
        <w:t>, CFOs</w:t>
      </w:r>
      <w:r w:rsidRPr="00C11008">
        <w:rPr>
          <w:rFonts w:ascii="Times New Roman" w:eastAsia="Calibri" w:hAnsi="Times New Roman" w:cs="Times New Roman"/>
          <w:sz w:val="24"/>
          <w:szCs w:val="24"/>
        </w:rPr>
        <w:t xml:space="preserve"> and board </w:t>
      </w:r>
      <w:r w:rsidR="00B25DE3">
        <w:rPr>
          <w:rFonts w:ascii="Times New Roman" w:eastAsia="Calibri" w:hAnsi="Times New Roman" w:cs="Times New Roman"/>
          <w:sz w:val="24"/>
          <w:szCs w:val="24"/>
        </w:rPr>
        <w:t>of directors</w:t>
      </w:r>
      <w:r w:rsidRPr="00C11008">
        <w:rPr>
          <w:rFonts w:ascii="Times New Roman" w:eastAsia="Calibri" w:hAnsi="Times New Roman" w:cs="Times New Roman"/>
          <w:sz w:val="24"/>
          <w:szCs w:val="24"/>
        </w:rPr>
        <w:t>. However, there is less focus on the impact of gender in other crucial corporate financial decision-making roles, such as CROs. This paper contributes to the literature by analyzing the effect of female CROs on bank risk. Chief Risk Officer is an important designation, as after the financial crisis of 2007-2008, multiple regulations have highlighted the role of a special officer responsible for risk-taking with reporting line directly to the board. To the best of our understanding, this study is the first to provide evidence of the relationship between female CROs and bank risk.</w:t>
      </w:r>
    </w:p>
    <w:p w14:paraId="5E45B8FB"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Secondly, this study contributes to the literature on ERM where the presence of CRO is used as a criterion to represent the bank's seriousness in implementing ERM practices and a step towards better risk management (Beasley et al., 2005; Beasley &amp; Warr, 2007; Pagach &amp; Warr, 2011; Hines &amp; Peters, 2015). We provide novel evidence that even accounting for gender, CROs' presence does not reduce bank risk. This finding reveals that although CRO is an important executive to monitor risk management activities, it is not a sufficient criterion to identify the seriousness of financial institutions in implementing ERM practices, as suggested in the previous literature. Moreover, the finding highlights the agency problem issue and emphasizes the monitoring of managers, who, if left unmonitored, pursue policies for their interests (Abernathy et al., 2014). </w:t>
      </w:r>
    </w:p>
    <w:p w14:paraId="33D66FB1" w14:textId="687A5546" w:rsid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Thirdly, this study contributes to the literature on female representation at the board and committee level (Adams &amp; Ferreira, 2009; Yu et al., 2017; Adams &amp; Raghunathan, 2017; Zalata et al., 2019 Girardone et al., 2021; Malik et al., 2021). We show that female CROs serve the shareholders' interests and participate in high-risk-taking ventures. However, female representation at the board and committee level serves the broader interest of stakeholders by significantly moderating the relationship between female CROs and bank risk. Finally, this study contributes to the ongoing debate on risk governance in banks aftermath of the 2007-09 GFC. </w:t>
      </w:r>
      <w:r w:rsidR="00CB534C">
        <w:rPr>
          <w:rFonts w:ascii="Times New Roman" w:eastAsia="Calibri" w:hAnsi="Times New Roman" w:cs="Times New Roman"/>
          <w:sz w:val="24"/>
          <w:szCs w:val="24"/>
        </w:rPr>
        <w:t>Post_2009</w:t>
      </w:r>
      <w:r w:rsidRPr="00C11008">
        <w:rPr>
          <w:rFonts w:ascii="Times New Roman" w:eastAsia="Calibri" w:hAnsi="Times New Roman" w:cs="Times New Roman"/>
          <w:sz w:val="24"/>
          <w:szCs w:val="24"/>
        </w:rPr>
        <w:t xml:space="preserve"> results show that regulatory efforts after the financial crisis of 2007-2009 in improving the risk management practices by appointing a dedicated risk officer and demanding more female representation, i.e., female CRO, has significantly reduced the bank’s risk.</w:t>
      </w:r>
    </w:p>
    <w:p w14:paraId="4487B277" w14:textId="05E8ADFF" w:rsidR="00C11008" w:rsidRDefault="00C11008" w:rsidP="00CA02AE">
      <w:pPr>
        <w:pStyle w:val="Heading4"/>
        <w:rPr>
          <w:rFonts w:ascii="Times New Roman" w:hAnsi="Times New Roman" w:cs="Times New Roman"/>
          <w:b/>
          <w:bCs/>
          <w:i w:val="0"/>
          <w:iCs w:val="0"/>
          <w:color w:val="000000" w:themeColor="text1"/>
          <w:sz w:val="24"/>
          <w:szCs w:val="24"/>
        </w:rPr>
      </w:pPr>
      <w:r w:rsidRPr="00CA02AE">
        <w:rPr>
          <w:rFonts w:ascii="Times New Roman" w:hAnsi="Times New Roman" w:cs="Times New Roman"/>
          <w:b/>
          <w:bCs/>
          <w:i w:val="0"/>
          <w:iCs w:val="0"/>
          <w:color w:val="000000" w:themeColor="text1"/>
          <w:sz w:val="24"/>
          <w:szCs w:val="24"/>
        </w:rPr>
        <w:t>6.2.</w:t>
      </w:r>
      <w:r w:rsidR="00A05307" w:rsidRPr="00CA02AE">
        <w:rPr>
          <w:rFonts w:ascii="Times New Roman" w:hAnsi="Times New Roman" w:cs="Times New Roman"/>
          <w:b/>
          <w:bCs/>
          <w:i w:val="0"/>
          <w:iCs w:val="0"/>
          <w:color w:val="000000" w:themeColor="text1"/>
          <w:sz w:val="24"/>
          <w:szCs w:val="24"/>
        </w:rPr>
        <w:t>1.1.</w:t>
      </w:r>
      <w:r w:rsidRPr="00CA02AE">
        <w:rPr>
          <w:rFonts w:ascii="Times New Roman" w:hAnsi="Times New Roman" w:cs="Times New Roman"/>
          <w:b/>
          <w:bCs/>
          <w:i w:val="0"/>
          <w:iCs w:val="0"/>
          <w:color w:val="000000" w:themeColor="text1"/>
          <w:sz w:val="24"/>
          <w:szCs w:val="24"/>
        </w:rPr>
        <w:t xml:space="preserve"> Implication</w:t>
      </w:r>
    </w:p>
    <w:p w14:paraId="6643F4A9" w14:textId="77777777" w:rsidR="00CA02AE" w:rsidRPr="00CA02AE" w:rsidRDefault="00CA02AE" w:rsidP="00CA02AE"/>
    <w:p w14:paraId="24D65EEA"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This paper has important policy implications for regulators in different jurisdictions. First, the mere appointment of a risk officer is not a sufficient criterion to determine the success of the risk management function. However, governance arrangements can be essential for any risk management function to succeed. </w:t>
      </w:r>
    </w:p>
    <w:p w14:paraId="4F040F1F"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Our results have important implications for corporate boards of directors, the diversity debate and policy reforms that have gained momentum worldwide. First, we suggest that, like other executives, CRO's preferences are also aligned with shareholders. However, governance arrangements can be vital for monitoring executives and thus protecting stakeholders’ interests. Therefore, paying attention to board composition, i.e., having more gender-diverse boards, can improve risk-taking by executives (CRO). Although our findings confirm that banks with female directors improve risk management, recent legislative efforts regarding gender quotas should extend beyond the board level. We suggest that for more value-adding roles that female directors can contribute inside corporate boardrooms, female representation should be increased, especially on risk committees. Moreover, to improve risk management within banks and to protect stakeholder interests, it is appropriate for corporate boards to have separate risk committees and consider appointing female directors into risk monitoring roles. Moreover, our study suggests that to reduce the bank risk level, regulators should focus on changing the reporting line of CRO to the board as a step toward a better risk management function.</w:t>
      </w:r>
      <w:r w:rsidRPr="00C11008">
        <w:rPr>
          <w:rFonts w:ascii="Times New Roman" w:eastAsia="DengXian" w:hAnsi="Times New Roman" w:cs="Times New Roman"/>
          <w:b/>
          <w:bCs/>
          <w:color w:val="000000"/>
          <w:sz w:val="24"/>
          <w:szCs w:val="24"/>
          <w:lang w:eastAsia="zh-CN"/>
        </w:rPr>
        <w:t xml:space="preserve"> </w:t>
      </w:r>
    </w:p>
    <w:p w14:paraId="69C5097A" w14:textId="3708E681" w:rsidR="00C11008" w:rsidRDefault="00C11008" w:rsidP="00CA02AE">
      <w:pPr>
        <w:pStyle w:val="Heading3"/>
        <w:rPr>
          <w:rFonts w:ascii="Times New Roman" w:hAnsi="Times New Roman" w:cs="Times New Roman"/>
          <w:b/>
          <w:bCs/>
          <w:color w:val="000000" w:themeColor="text1"/>
          <w:sz w:val="28"/>
          <w:szCs w:val="28"/>
          <w:lang w:eastAsia="zh-CN"/>
        </w:rPr>
      </w:pPr>
      <w:bookmarkStart w:id="179" w:name="_Toc145616231"/>
      <w:r w:rsidRPr="00CA02AE">
        <w:rPr>
          <w:rFonts w:ascii="Times New Roman" w:hAnsi="Times New Roman" w:cs="Times New Roman"/>
          <w:b/>
          <w:bCs/>
          <w:color w:val="000000" w:themeColor="text1"/>
          <w:sz w:val="28"/>
          <w:szCs w:val="28"/>
          <w:lang w:eastAsia="zh-CN"/>
        </w:rPr>
        <w:t>6.</w:t>
      </w:r>
      <w:r w:rsidR="00A05307" w:rsidRPr="00CA02AE">
        <w:rPr>
          <w:rFonts w:ascii="Times New Roman" w:hAnsi="Times New Roman" w:cs="Times New Roman"/>
          <w:b/>
          <w:bCs/>
          <w:color w:val="000000" w:themeColor="text1"/>
          <w:sz w:val="28"/>
          <w:szCs w:val="28"/>
          <w:lang w:eastAsia="zh-CN"/>
        </w:rPr>
        <w:t>2</w:t>
      </w:r>
      <w:r w:rsidRPr="00CA02AE">
        <w:rPr>
          <w:rFonts w:ascii="Times New Roman" w:hAnsi="Times New Roman" w:cs="Times New Roman"/>
          <w:b/>
          <w:bCs/>
          <w:color w:val="000000" w:themeColor="text1"/>
          <w:sz w:val="28"/>
          <w:szCs w:val="28"/>
          <w:lang w:eastAsia="zh-CN"/>
        </w:rPr>
        <w:t>.</w:t>
      </w:r>
      <w:r w:rsidR="00A05307" w:rsidRPr="00CA02AE">
        <w:rPr>
          <w:rFonts w:ascii="Times New Roman" w:hAnsi="Times New Roman" w:cs="Times New Roman"/>
          <w:b/>
          <w:bCs/>
          <w:color w:val="000000" w:themeColor="text1"/>
          <w:sz w:val="28"/>
          <w:szCs w:val="28"/>
          <w:lang w:eastAsia="zh-CN"/>
        </w:rPr>
        <w:t>2.</w:t>
      </w:r>
      <w:r w:rsidRPr="00CA02AE">
        <w:rPr>
          <w:rFonts w:ascii="Times New Roman" w:hAnsi="Times New Roman" w:cs="Times New Roman"/>
          <w:b/>
          <w:bCs/>
          <w:color w:val="000000" w:themeColor="text1"/>
          <w:sz w:val="28"/>
          <w:szCs w:val="28"/>
          <w:lang w:eastAsia="zh-CN"/>
        </w:rPr>
        <w:t xml:space="preserve"> Chapter 4</w:t>
      </w:r>
      <w:bookmarkEnd w:id="179"/>
    </w:p>
    <w:p w14:paraId="3EEF7C2C" w14:textId="77777777" w:rsidR="00CA02AE" w:rsidRPr="00CA02AE" w:rsidRDefault="00CA02AE" w:rsidP="00CA02AE">
      <w:pPr>
        <w:rPr>
          <w:lang w:eastAsia="zh-CN"/>
        </w:rPr>
      </w:pPr>
    </w:p>
    <w:p w14:paraId="470978C4"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This chapter extends the literature on risk culture and bank risk-taking by providing an empirical solution, i.e., how to improve a bank's risk culture, which mitigates the bank’s risk. To understand the mechanism through which the risk culture can reduce bank risk, we suggest the presence of females on the board based on the ethicality/ risk aversion argument. In line with the gender socialization theory, our results indicate that women impact banks' risk culture as they are more ethical and caring and bring unique skills and experiences to corporate boards (e.g., ethical behaviour and risk aversion). Secondly, our findings contribute to the critical mass literature, i.e., the ethical/risk aversion channel is more visible if there are three or more female board of directors. Our study further contributes to the importance of gender-diverse boards as they provide a conducive environment for female leaders (CEO/Chairwoman) to influence bank culture and, eventually, bank risk.</w:t>
      </w:r>
    </w:p>
    <w:p w14:paraId="516AE32D" w14:textId="3857DBD4" w:rsidR="00C11008" w:rsidRDefault="00C11008" w:rsidP="00CA02AE">
      <w:pPr>
        <w:pStyle w:val="Heading4"/>
        <w:rPr>
          <w:rFonts w:ascii="Times New Roman" w:hAnsi="Times New Roman" w:cs="Times New Roman"/>
          <w:b/>
          <w:bCs/>
          <w:i w:val="0"/>
          <w:iCs w:val="0"/>
          <w:color w:val="000000" w:themeColor="text1"/>
          <w:sz w:val="24"/>
          <w:szCs w:val="24"/>
          <w:lang w:eastAsia="zh-CN"/>
        </w:rPr>
      </w:pPr>
      <w:r w:rsidRPr="00CA02AE">
        <w:rPr>
          <w:rFonts w:ascii="Times New Roman" w:hAnsi="Times New Roman" w:cs="Times New Roman"/>
          <w:b/>
          <w:bCs/>
          <w:i w:val="0"/>
          <w:iCs w:val="0"/>
          <w:color w:val="000000" w:themeColor="text1"/>
          <w:sz w:val="24"/>
          <w:szCs w:val="24"/>
          <w:lang w:eastAsia="zh-CN"/>
        </w:rPr>
        <w:t>6.</w:t>
      </w:r>
      <w:r w:rsidR="00A05307" w:rsidRPr="00CA02AE">
        <w:rPr>
          <w:rFonts w:ascii="Times New Roman" w:hAnsi="Times New Roman" w:cs="Times New Roman"/>
          <w:b/>
          <w:bCs/>
          <w:i w:val="0"/>
          <w:iCs w:val="0"/>
          <w:color w:val="000000" w:themeColor="text1"/>
          <w:sz w:val="24"/>
          <w:szCs w:val="24"/>
          <w:lang w:eastAsia="zh-CN"/>
        </w:rPr>
        <w:t>2</w:t>
      </w:r>
      <w:r w:rsidRPr="00CA02AE">
        <w:rPr>
          <w:rFonts w:ascii="Times New Roman" w:hAnsi="Times New Roman" w:cs="Times New Roman"/>
          <w:b/>
          <w:bCs/>
          <w:i w:val="0"/>
          <w:iCs w:val="0"/>
          <w:color w:val="000000" w:themeColor="text1"/>
          <w:sz w:val="24"/>
          <w:szCs w:val="24"/>
          <w:lang w:eastAsia="zh-CN"/>
        </w:rPr>
        <w:t>.2</w:t>
      </w:r>
      <w:r w:rsidR="00A05307" w:rsidRPr="00CA02AE">
        <w:rPr>
          <w:rFonts w:ascii="Times New Roman" w:hAnsi="Times New Roman" w:cs="Times New Roman"/>
          <w:b/>
          <w:bCs/>
          <w:i w:val="0"/>
          <w:iCs w:val="0"/>
          <w:color w:val="000000" w:themeColor="text1"/>
          <w:sz w:val="24"/>
          <w:szCs w:val="24"/>
          <w:lang w:eastAsia="zh-CN"/>
        </w:rPr>
        <w:t>.1</w:t>
      </w:r>
      <w:r w:rsidRPr="00CA02AE">
        <w:rPr>
          <w:rFonts w:ascii="Times New Roman" w:hAnsi="Times New Roman" w:cs="Times New Roman"/>
          <w:b/>
          <w:bCs/>
          <w:i w:val="0"/>
          <w:iCs w:val="0"/>
          <w:color w:val="000000" w:themeColor="text1"/>
          <w:sz w:val="24"/>
          <w:szCs w:val="24"/>
          <w:lang w:eastAsia="zh-CN"/>
        </w:rPr>
        <w:t xml:space="preserve"> Implications</w:t>
      </w:r>
    </w:p>
    <w:p w14:paraId="2EA5D2C3" w14:textId="77777777" w:rsidR="00CA02AE" w:rsidRPr="00CA02AE" w:rsidRDefault="00CA02AE" w:rsidP="00CA02AE">
      <w:pPr>
        <w:rPr>
          <w:lang w:eastAsia="zh-CN"/>
        </w:rPr>
      </w:pPr>
    </w:p>
    <w:p w14:paraId="0C9A0560" w14:textId="26AC944E" w:rsidR="00CA02AE"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 xml:space="preserve">The findings of </w:t>
      </w:r>
      <w:r w:rsidRPr="00C11008">
        <w:rPr>
          <w:rFonts w:ascii="Times New Roman" w:eastAsia="DengXian" w:hAnsi="Times New Roman" w:cs="Times New Roman"/>
          <w:i/>
          <w:iCs/>
          <w:color w:val="000000"/>
          <w:sz w:val="24"/>
          <w:szCs w:val="24"/>
          <w:lang w:eastAsia="zh-CN"/>
        </w:rPr>
        <w:t>Chapter 4</w:t>
      </w:r>
      <w:r w:rsidRPr="00C11008">
        <w:rPr>
          <w:rFonts w:ascii="Times New Roman" w:eastAsia="DengXian" w:hAnsi="Times New Roman" w:cs="Times New Roman"/>
          <w:color w:val="000000"/>
          <w:sz w:val="24"/>
          <w:szCs w:val="24"/>
          <w:lang w:eastAsia="zh-CN"/>
        </w:rPr>
        <w:t xml:space="preserve"> serve as a justification to point the attention of regulators to making corporate culture their regulatory priority. These findings further imply that the disconnected regulatory responses around governance and culture may not be sufficient to curb a bank's excessive risk-taking. This study provides evidence that policymakers should take a holistic approach to risk management in financial institutions by looking at the combined impact of governance structures (board gender diversity) and culture on risk-taking. </w:t>
      </w:r>
    </w:p>
    <w:p w14:paraId="45C23227" w14:textId="77777777" w:rsidR="00CA02AE" w:rsidRDefault="00CA02AE">
      <w:pPr>
        <w:rPr>
          <w:rFonts w:ascii="Times New Roman" w:eastAsia="DengXian" w:hAnsi="Times New Roman" w:cs="Times New Roman"/>
          <w:color w:val="000000"/>
          <w:sz w:val="24"/>
          <w:szCs w:val="24"/>
          <w:lang w:eastAsia="zh-CN"/>
        </w:rPr>
      </w:pPr>
      <w:r>
        <w:rPr>
          <w:rFonts w:ascii="Times New Roman" w:eastAsia="DengXian" w:hAnsi="Times New Roman" w:cs="Times New Roman"/>
          <w:color w:val="000000"/>
          <w:sz w:val="24"/>
          <w:szCs w:val="24"/>
          <w:lang w:eastAsia="zh-CN"/>
        </w:rPr>
        <w:br w:type="page"/>
      </w:r>
    </w:p>
    <w:p w14:paraId="71D8D692"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p>
    <w:p w14:paraId="0BCCE70E" w14:textId="03F92704" w:rsidR="00C11008" w:rsidRDefault="00C11008" w:rsidP="00CA02AE">
      <w:pPr>
        <w:pStyle w:val="Heading3"/>
        <w:rPr>
          <w:rFonts w:ascii="Times New Roman" w:hAnsi="Times New Roman" w:cs="Times New Roman"/>
          <w:b/>
          <w:bCs/>
          <w:color w:val="000000" w:themeColor="text1"/>
          <w:sz w:val="28"/>
          <w:szCs w:val="28"/>
          <w:lang w:eastAsia="zh-CN"/>
        </w:rPr>
      </w:pPr>
      <w:bookmarkStart w:id="180" w:name="_Toc145616232"/>
      <w:r w:rsidRPr="00CA02AE">
        <w:rPr>
          <w:rFonts w:ascii="Times New Roman" w:hAnsi="Times New Roman" w:cs="Times New Roman"/>
          <w:b/>
          <w:bCs/>
          <w:color w:val="000000" w:themeColor="text1"/>
          <w:sz w:val="28"/>
          <w:szCs w:val="28"/>
          <w:lang w:eastAsia="zh-CN"/>
        </w:rPr>
        <w:t>6.</w:t>
      </w:r>
      <w:r w:rsidR="00A05307" w:rsidRPr="00CA02AE">
        <w:rPr>
          <w:rFonts w:ascii="Times New Roman" w:hAnsi="Times New Roman" w:cs="Times New Roman"/>
          <w:b/>
          <w:bCs/>
          <w:color w:val="000000" w:themeColor="text1"/>
          <w:sz w:val="28"/>
          <w:szCs w:val="28"/>
          <w:lang w:eastAsia="zh-CN"/>
        </w:rPr>
        <w:t>2</w:t>
      </w:r>
      <w:r w:rsidRPr="00CA02AE">
        <w:rPr>
          <w:rFonts w:ascii="Times New Roman" w:hAnsi="Times New Roman" w:cs="Times New Roman"/>
          <w:b/>
          <w:bCs/>
          <w:color w:val="000000" w:themeColor="text1"/>
          <w:sz w:val="28"/>
          <w:szCs w:val="28"/>
          <w:lang w:eastAsia="zh-CN"/>
        </w:rPr>
        <w:t>.</w:t>
      </w:r>
      <w:r w:rsidR="00A05307" w:rsidRPr="00CA02AE">
        <w:rPr>
          <w:rFonts w:ascii="Times New Roman" w:hAnsi="Times New Roman" w:cs="Times New Roman"/>
          <w:b/>
          <w:bCs/>
          <w:color w:val="000000" w:themeColor="text1"/>
          <w:sz w:val="28"/>
          <w:szCs w:val="28"/>
          <w:lang w:eastAsia="zh-CN"/>
        </w:rPr>
        <w:t>3.</w:t>
      </w:r>
      <w:r w:rsidRPr="00CA02AE">
        <w:rPr>
          <w:rFonts w:ascii="Times New Roman" w:hAnsi="Times New Roman" w:cs="Times New Roman"/>
          <w:b/>
          <w:bCs/>
          <w:color w:val="000000" w:themeColor="text1"/>
          <w:sz w:val="28"/>
          <w:szCs w:val="28"/>
          <w:lang w:eastAsia="zh-CN"/>
        </w:rPr>
        <w:t xml:space="preserve"> Chapter 5</w:t>
      </w:r>
      <w:bookmarkEnd w:id="180"/>
    </w:p>
    <w:p w14:paraId="166BE17B" w14:textId="77777777" w:rsidR="00CA02AE" w:rsidRPr="00CA02AE" w:rsidRDefault="00CA02AE" w:rsidP="00CA02AE">
      <w:pPr>
        <w:rPr>
          <w:lang w:eastAsia="zh-CN"/>
        </w:rPr>
      </w:pPr>
    </w:p>
    <w:p w14:paraId="4EC8B9E2" w14:textId="34DDD572"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The study makes valuable contributions. First, our work relates to the debate on governance and misconduct in the banking industry (Nguyen et al., 2016; Arnaboldi et al., 2020, 2021; Gaudio et al., 2022). Prior literature relates bank misconduct with </w:t>
      </w:r>
      <w:r w:rsidR="00CA02AE">
        <w:rPr>
          <w:rFonts w:ascii="Times New Roman" w:eastAsia="Calibri" w:hAnsi="Times New Roman" w:cs="Times New Roman"/>
          <w:sz w:val="24"/>
          <w:szCs w:val="24"/>
        </w:rPr>
        <w:t xml:space="preserve">overall </w:t>
      </w:r>
      <w:r w:rsidRPr="00C11008">
        <w:rPr>
          <w:rFonts w:ascii="Times New Roman" w:eastAsia="Calibri" w:hAnsi="Times New Roman" w:cs="Times New Roman"/>
          <w:sz w:val="24"/>
          <w:szCs w:val="24"/>
        </w:rPr>
        <w:t xml:space="preserve">board characteristics (Zaman et al., 2021; Arnaboldi et al., 2021, 2020); we contribute to this literature by providing the first empirical evidence of how independent directors can reduce bank misconduct. We show that heterogeneity in specific attributes of independent directors can be used to measure the quality of INED directors. In this way, we contribute by providing an empirical solution to previous studies highlighting the effectiveness of INED directors </w:t>
      </w:r>
      <w:r w:rsidR="00CA02AE">
        <w:rPr>
          <w:rFonts w:ascii="Times New Roman" w:eastAsia="Calibri" w:hAnsi="Times New Roman" w:cs="Times New Roman"/>
          <w:sz w:val="24"/>
          <w:szCs w:val="24"/>
        </w:rPr>
        <w:t>but cannot offer a solution</w:t>
      </w:r>
      <w:r w:rsidRPr="00C11008">
        <w:rPr>
          <w:rFonts w:ascii="Times New Roman" w:eastAsia="Calibri" w:hAnsi="Times New Roman" w:cs="Times New Roman"/>
          <w:sz w:val="24"/>
          <w:szCs w:val="24"/>
        </w:rPr>
        <w:t>( Adams, 2012; Mehran et al., 2012).</w:t>
      </w:r>
    </w:p>
    <w:p w14:paraId="058FFCFB"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Secondly, our study contributes to the literature exploring the impact of board diversity on corporate outcomes (Adams, Hermalin, and Weisbach, 2010; Coles et al., 2014; Bernile et al., 2018; Mollah et al., 2021). Our findings support the theory of Barananchuck and Dybvig (2009), which states that multiple aspects of board diversity jointly can explain corporate decisions in an improved manner. This finding is based on the argument that homogeneity among board members can result in more idiosyncratic decisions as it attracts less scrutinizing within the board.  </w:t>
      </w:r>
    </w:p>
    <w:p w14:paraId="7FE8CF8B" w14:textId="16FAE086"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Third, our study adds to the debate on gender heterogeneity and bank misconduct. Prior studies have attempted to study the presence of a female on the board as a whole (Cumming et al., 2015; Arnaboldi et al., 2020; 2021; Joo et al., 2021). As suggested in critical mass theory, i.e. women significantly impact corporate policies once they reach a specific number</w:t>
      </w:r>
      <w:r w:rsidR="00CA02AE">
        <w:rPr>
          <w:rFonts w:ascii="Times New Roman" w:eastAsia="Calibri" w:hAnsi="Times New Roman" w:cs="Times New Roman"/>
          <w:sz w:val="24"/>
          <w:szCs w:val="24"/>
        </w:rPr>
        <w:t>;</w:t>
      </w:r>
      <w:r w:rsidRPr="00C11008">
        <w:rPr>
          <w:rFonts w:ascii="Times New Roman" w:eastAsia="Calibri" w:hAnsi="Times New Roman" w:cs="Times New Roman"/>
          <w:sz w:val="24"/>
          <w:szCs w:val="24"/>
        </w:rPr>
        <w:t xml:space="preserve"> in the same way, we provide evidence that the presence of women among INED can also result in lower misconduct. </w:t>
      </w:r>
    </w:p>
    <w:p w14:paraId="216F07B3"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Similarly, the general perception in banking literature is that the financial expertise of the board increases risk-taking (Aebi, Sabato and Schmid, 2012, Minton et al., 2014). Our study contributes to the emerging literature on how board financial expertise can reduce bank risk and improve corporate decision-making (Mollah et al., 2021; Gilani et al., 2021). Our study is the first to provide empirical evidence that financial heterogeneity among INED results in lower bank misconduct. </w:t>
      </w:r>
    </w:p>
    <w:p w14:paraId="333EED0A" w14:textId="602955DA" w:rsidR="00C11008" w:rsidRPr="009E69CE"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Fourth, our study significantly contributes to the discussion regarding INED tenure heterogeneity and bank misconduct. There is a conflicting view in the literature concerning board tenure. Some studies find long tenure improves boards' decision-making (Beasley, 1996; Vafess, 2003). In contrast, some studies relate longer tenure with status quo and board entrenchment leading to weaker monitoring (Nguyen et al., 2016; Zaman et al., 2021). Our results show that the tenure heterogeneity of INED reduces bank misconduct because, in this way, banks benefit from the knowledge and experience of senior and junior independent directors. </w:t>
      </w:r>
    </w:p>
    <w:p w14:paraId="10186117" w14:textId="31843F02" w:rsidR="00C11008" w:rsidRDefault="00C11008" w:rsidP="00CA02AE">
      <w:pPr>
        <w:pStyle w:val="Heading4"/>
        <w:rPr>
          <w:rFonts w:ascii="Times New Roman" w:hAnsi="Times New Roman" w:cs="Times New Roman"/>
          <w:b/>
          <w:bCs/>
          <w:i w:val="0"/>
          <w:iCs w:val="0"/>
          <w:color w:val="000000" w:themeColor="text1"/>
          <w:sz w:val="24"/>
          <w:szCs w:val="24"/>
          <w:lang w:eastAsia="zh-CN"/>
        </w:rPr>
      </w:pPr>
      <w:r w:rsidRPr="00CA02AE">
        <w:rPr>
          <w:rFonts w:ascii="Times New Roman" w:hAnsi="Times New Roman" w:cs="Times New Roman"/>
          <w:b/>
          <w:bCs/>
          <w:i w:val="0"/>
          <w:iCs w:val="0"/>
          <w:color w:val="000000" w:themeColor="text1"/>
          <w:sz w:val="24"/>
          <w:szCs w:val="24"/>
          <w:lang w:eastAsia="zh-CN"/>
        </w:rPr>
        <w:t>6.</w:t>
      </w:r>
      <w:r w:rsidR="00A05307" w:rsidRPr="00CA02AE">
        <w:rPr>
          <w:rFonts w:ascii="Times New Roman" w:hAnsi="Times New Roman" w:cs="Times New Roman"/>
          <w:b/>
          <w:bCs/>
          <w:i w:val="0"/>
          <w:iCs w:val="0"/>
          <w:color w:val="000000" w:themeColor="text1"/>
          <w:sz w:val="24"/>
          <w:szCs w:val="24"/>
          <w:lang w:eastAsia="zh-CN"/>
        </w:rPr>
        <w:t>2</w:t>
      </w:r>
      <w:r w:rsidRPr="00CA02AE">
        <w:rPr>
          <w:rFonts w:ascii="Times New Roman" w:hAnsi="Times New Roman" w:cs="Times New Roman"/>
          <w:b/>
          <w:bCs/>
          <w:i w:val="0"/>
          <w:iCs w:val="0"/>
          <w:color w:val="000000" w:themeColor="text1"/>
          <w:sz w:val="24"/>
          <w:szCs w:val="24"/>
          <w:lang w:eastAsia="zh-CN"/>
        </w:rPr>
        <w:t>.</w:t>
      </w:r>
      <w:r w:rsidR="00A05307" w:rsidRPr="00CA02AE">
        <w:rPr>
          <w:rFonts w:ascii="Times New Roman" w:hAnsi="Times New Roman" w:cs="Times New Roman"/>
          <w:b/>
          <w:bCs/>
          <w:i w:val="0"/>
          <w:iCs w:val="0"/>
          <w:color w:val="000000" w:themeColor="text1"/>
          <w:sz w:val="24"/>
          <w:szCs w:val="24"/>
          <w:lang w:eastAsia="zh-CN"/>
        </w:rPr>
        <w:t>3.1</w:t>
      </w:r>
      <w:r w:rsidRPr="00CA02AE">
        <w:rPr>
          <w:rFonts w:ascii="Times New Roman" w:hAnsi="Times New Roman" w:cs="Times New Roman"/>
          <w:b/>
          <w:bCs/>
          <w:i w:val="0"/>
          <w:iCs w:val="0"/>
          <w:color w:val="000000" w:themeColor="text1"/>
          <w:sz w:val="24"/>
          <w:szCs w:val="24"/>
          <w:lang w:eastAsia="zh-CN"/>
        </w:rPr>
        <w:t xml:space="preserve"> Implication</w:t>
      </w:r>
    </w:p>
    <w:p w14:paraId="05DEF576" w14:textId="77777777" w:rsidR="00CA02AE" w:rsidRPr="00CA02AE" w:rsidRDefault="00CA02AE" w:rsidP="00CA02AE">
      <w:pPr>
        <w:rPr>
          <w:lang w:eastAsia="zh-CN"/>
        </w:rPr>
      </w:pPr>
    </w:p>
    <w:p w14:paraId="12517BA3"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This study has important implications for banks and regulators by emphasizing the importance of the board selection mechanism. Appointing independent directors following the diversity principle can substantially reduce stakeholder agency problems. Moreover, diversity among INED attributes compliments the regulatory efforts (Sarbanes -Oxley Act 2002), which advocates for a more independent board. Our findings suggest that for independent directors to be more effective, importance should be given to the diversity among independent directors on the board concerning gender, financial expertise, and tenure.</w:t>
      </w:r>
    </w:p>
    <w:p w14:paraId="5B00CC3E"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Fourth, this study has important implications for the shareholders, suggesting that while managers execute financial misconduct, the shareholders bear the financial cost. Thus, shareholders pay the consequences of financial misconduct through reputational and financial repercussions. Although we do not deal with whether this penalizing system is fair, we believe that system can be improved if shareholders enforce a more efficient internal monitoring system.</w:t>
      </w:r>
    </w:p>
    <w:p w14:paraId="48A850EC" w14:textId="77777777" w:rsid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DengXian" w:hAnsi="Times New Roman" w:cs="Times New Roman"/>
          <w:color w:val="000000"/>
          <w:sz w:val="24"/>
          <w:szCs w:val="24"/>
          <w:lang w:eastAsia="zh-CN"/>
        </w:rPr>
        <w:t xml:space="preserve">Finally, our study raises a significant concern for regulators, academicians and policymakers, i.e. while financial reporting misconduct has negative career consequences for responsible executives, however; its consequences are not clear for the directors. </w:t>
      </w:r>
    </w:p>
    <w:p w14:paraId="77B08EE2" w14:textId="77777777" w:rsidR="00CA02AE" w:rsidRPr="00C11008" w:rsidRDefault="00CA02AE" w:rsidP="00C11008">
      <w:pPr>
        <w:spacing w:line="480" w:lineRule="auto"/>
        <w:jc w:val="both"/>
        <w:rPr>
          <w:rFonts w:ascii="Times New Roman" w:eastAsia="DengXian" w:hAnsi="Times New Roman" w:cs="Times New Roman"/>
          <w:color w:val="000000"/>
          <w:sz w:val="24"/>
          <w:szCs w:val="24"/>
          <w:lang w:eastAsia="zh-CN"/>
        </w:rPr>
      </w:pPr>
    </w:p>
    <w:p w14:paraId="22A028BB" w14:textId="037DB2CB" w:rsidR="00C11008" w:rsidRDefault="00C11008" w:rsidP="003C31AF">
      <w:pPr>
        <w:pStyle w:val="Heading2"/>
        <w:rPr>
          <w:lang w:eastAsia="zh-CN"/>
        </w:rPr>
      </w:pPr>
      <w:bookmarkStart w:id="181" w:name="_Toc145616233"/>
      <w:r w:rsidRPr="00CA02AE">
        <w:rPr>
          <w:lang w:eastAsia="zh-CN"/>
        </w:rPr>
        <w:t>6.</w:t>
      </w:r>
      <w:r w:rsidR="00A05307" w:rsidRPr="00CA02AE">
        <w:rPr>
          <w:lang w:eastAsia="zh-CN"/>
        </w:rPr>
        <w:t>3.</w:t>
      </w:r>
      <w:r w:rsidRPr="00CA02AE">
        <w:rPr>
          <w:lang w:eastAsia="zh-CN"/>
        </w:rPr>
        <w:t xml:space="preserve"> Future Research</w:t>
      </w:r>
      <w:bookmarkEnd w:id="181"/>
    </w:p>
    <w:p w14:paraId="41B093CA" w14:textId="77777777" w:rsidR="00CA02AE" w:rsidRPr="00CA02AE" w:rsidRDefault="00CA02AE" w:rsidP="00CA02AE">
      <w:pPr>
        <w:rPr>
          <w:lang w:eastAsia="zh-CN"/>
        </w:rPr>
      </w:pPr>
    </w:p>
    <w:p w14:paraId="75476260" w14:textId="47E303FA"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The current surge of the financial crisis and corporate governance scandals highlight the need for banks to show their commitment to risk management in such a way as to protect stakeholders. Thus, future research must understand the factors that can serve broader stakeholders’ interests by managing bank risk. In this thesis, we argue that although regulators, policymakers and academicians perceive chief risk officer as an essential designation, however; CRO's impact on risk-taking is ambiguous. </w:t>
      </w:r>
      <w:r w:rsidR="00CA02AE">
        <w:rPr>
          <w:rFonts w:ascii="Times New Roman" w:eastAsia="Calibri" w:hAnsi="Times New Roman" w:cs="Times New Roman"/>
          <w:sz w:val="24"/>
          <w:szCs w:val="24"/>
        </w:rPr>
        <w:t>Due to data and time limitations, we could not focus on other characteristics of CROs; t</w:t>
      </w:r>
      <w:r w:rsidRPr="00C11008">
        <w:rPr>
          <w:rFonts w:ascii="Times New Roman" w:eastAsia="Calibri" w:hAnsi="Times New Roman" w:cs="Times New Roman"/>
          <w:sz w:val="24"/>
          <w:szCs w:val="24"/>
        </w:rPr>
        <w:t>hus</w:t>
      </w:r>
      <w:r w:rsidR="00CA02AE">
        <w:rPr>
          <w:rFonts w:ascii="Times New Roman" w:eastAsia="Calibri" w:hAnsi="Times New Roman" w:cs="Times New Roman"/>
          <w:sz w:val="24"/>
          <w:szCs w:val="24"/>
        </w:rPr>
        <w:t>, we recommend</w:t>
      </w:r>
      <w:r w:rsidRPr="00C11008">
        <w:rPr>
          <w:rFonts w:ascii="Times New Roman" w:eastAsia="Calibri" w:hAnsi="Times New Roman" w:cs="Times New Roman"/>
          <w:sz w:val="24"/>
          <w:szCs w:val="24"/>
        </w:rPr>
        <w:t xml:space="preserve"> </w:t>
      </w:r>
      <w:r w:rsidR="00CA02AE">
        <w:rPr>
          <w:rFonts w:ascii="Times New Roman" w:eastAsia="Calibri" w:hAnsi="Times New Roman" w:cs="Times New Roman"/>
          <w:sz w:val="24"/>
          <w:szCs w:val="24"/>
        </w:rPr>
        <w:t>that future research focus on other CRO attributes</w:t>
      </w:r>
      <w:r w:rsidRPr="00C11008">
        <w:rPr>
          <w:rFonts w:ascii="Times New Roman" w:eastAsia="Calibri" w:hAnsi="Times New Roman" w:cs="Times New Roman"/>
          <w:sz w:val="24"/>
          <w:szCs w:val="24"/>
        </w:rPr>
        <w:t xml:space="preserve"> to determine the true impact of a CRO on bank risk management function.</w:t>
      </w:r>
    </w:p>
    <w:p w14:paraId="4E95F1EA" w14:textId="7F1C285A"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Furthermore, we stress the importance of the relationship between bank culture and bank risk; however, our work does not link bank culture to </w:t>
      </w:r>
      <w:r w:rsidR="00CA02AE">
        <w:rPr>
          <w:rFonts w:ascii="Times New Roman" w:eastAsia="Calibri" w:hAnsi="Times New Roman" w:cs="Times New Roman"/>
          <w:sz w:val="24"/>
          <w:szCs w:val="24"/>
        </w:rPr>
        <w:t>broa</w:t>
      </w:r>
      <w:r w:rsidRPr="00C11008">
        <w:rPr>
          <w:rFonts w:ascii="Times New Roman" w:eastAsia="Calibri" w:hAnsi="Times New Roman" w:cs="Times New Roman"/>
          <w:sz w:val="24"/>
          <w:szCs w:val="24"/>
        </w:rPr>
        <w:t xml:space="preserve">der economic </w:t>
      </w:r>
      <w:r w:rsidR="00CA02AE">
        <w:rPr>
          <w:rFonts w:ascii="Times New Roman" w:eastAsia="Calibri" w:hAnsi="Times New Roman" w:cs="Times New Roman"/>
          <w:sz w:val="24"/>
          <w:szCs w:val="24"/>
        </w:rPr>
        <w:t xml:space="preserve">and social </w:t>
      </w:r>
      <w:r w:rsidRPr="00C11008">
        <w:rPr>
          <w:rFonts w:ascii="Times New Roman" w:eastAsia="Calibri" w:hAnsi="Times New Roman" w:cs="Times New Roman"/>
          <w:sz w:val="24"/>
          <w:szCs w:val="24"/>
        </w:rPr>
        <w:t xml:space="preserve">consequences. Thus, there is a potential for future researchers to investigate the impact of bank culture </w:t>
      </w:r>
      <w:r w:rsidR="00CA02AE">
        <w:rPr>
          <w:rFonts w:ascii="Times New Roman" w:eastAsia="Calibri" w:hAnsi="Times New Roman" w:cs="Times New Roman"/>
          <w:sz w:val="24"/>
          <w:szCs w:val="24"/>
        </w:rPr>
        <w:t>at the macro level</w:t>
      </w:r>
      <w:r w:rsidRPr="00C11008">
        <w:rPr>
          <w:rFonts w:ascii="Times New Roman" w:eastAsia="Calibri" w:hAnsi="Times New Roman" w:cs="Times New Roman"/>
          <w:sz w:val="24"/>
          <w:szCs w:val="24"/>
        </w:rPr>
        <w:t>. Although this thesis has attempted to address the problem of endogeneity between risk culture, bank risk and gender</w:t>
      </w:r>
      <w:r w:rsidR="00CA02AE">
        <w:rPr>
          <w:rFonts w:ascii="Times New Roman" w:eastAsia="Calibri" w:hAnsi="Times New Roman" w:cs="Times New Roman"/>
          <w:sz w:val="24"/>
          <w:szCs w:val="24"/>
        </w:rPr>
        <w:t>-</w:t>
      </w:r>
      <w:r w:rsidRPr="00C11008">
        <w:rPr>
          <w:rFonts w:ascii="Times New Roman" w:eastAsia="Calibri" w:hAnsi="Times New Roman" w:cs="Times New Roman"/>
          <w:sz w:val="24"/>
          <w:szCs w:val="24"/>
        </w:rPr>
        <w:t>diverse boards</w:t>
      </w:r>
      <w:r w:rsidR="00B851E5">
        <w:rPr>
          <w:rFonts w:ascii="Times New Roman" w:eastAsia="Calibri" w:hAnsi="Times New Roman" w:cs="Times New Roman"/>
          <w:sz w:val="24"/>
          <w:szCs w:val="24"/>
        </w:rPr>
        <w:t xml:space="preserve"> using lag of independent and control variables and propensity score matching</w:t>
      </w:r>
      <w:r w:rsidRPr="00C11008">
        <w:rPr>
          <w:rFonts w:ascii="Times New Roman" w:eastAsia="Calibri" w:hAnsi="Times New Roman" w:cs="Times New Roman"/>
          <w:sz w:val="24"/>
          <w:szCs w:val="24"/>
        </w:rPr>
        <w:t xml:space="preserve">; however, we expect that there can still be some potential for endogeneity due to the nature of the way independent variables are linked with the bank risk.   </w:t>
      </w:r>
    </w:p>
    <w:p w14:paraId="4C66239C" w14:textId="1CE6024D"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r w:rsidRPr="00C11008">
        <w:rPr>
          <w:rFonts w:ascii="Times New Roman" w:eastAsia="Calibri" w:hAnsi="Times New Roman" w:cs="Times New Roman"/>
          <w:sz w:val="24"/>
          <w:szCs w:val="24"/>
        </w:rPr>
        <w:t xml:space="preserve">Finally, </w:t>
      </w:r>
      <w:r w:rsidR="00CA02AE">
        <w:rPr>
          <w:rFonts w:ascii="Times New Roman" w:eastAsia="DengXian" w:hAnsi="Times New Roman" w:cs="Times New Roman"/>
          <w:color w:val="000000"/>
          <w:sz w:val="24"/>
          <w:szCs w:val="24"/>
          <w:lang w:eastAsia="zh-CN"/>
        </w:rPr>
        <w:t>w</w:t>
      </w:r>
      <w:r w:rsidRPr="00C11008">
        <w:rPr>
          <w:rFonts w:ascii="Times New Roman" w:eastAsia="DengXian" w:hAnsi="Times New Roman" w:cs="Times New Roman"/>
          <w:color w:val="000000"/>
          <w:sz w:val="24"/>
          <w:szCs w:val="24"/>
          <w:lang w:eastAsia="zh-CN"/>
        </w:rPr>
        <w:t xml:space="preserve">e suggest including more databases to evaluate the relationship between governance arrangements and bank misconduct risk. This study has taken financial misconduct cases as reported in Violation Tracker following Arnaboldi et al. (2021) and Zaman et al.(2021). However, </w:t>
      </w:r>
      <w:r w:rsidR="00CA02AE">
        <w:rPr>
          <w:rFonts w:ascii="Times New Roman" w:eastAsia="DengXian" w:hAnsi="Times New Roman" w:cs="Times New Roman"/>
          <w:color w:val="000000"/>
          <w:sz w:val="24"/>
          <w:szCs w:val="24"/>
          <w:lang w:eastAsia="zh-CN"/>
        </w:rPr>
        <w:t xml:space="preserve">we could not use other databases as used in the literature on bank misconduct due to financial limitations. </w:t>
      </w:r>
      <w:r w:rsidRPr="00C11008">
        <w:rPr>
          <w:rFonts w:ascii="Times New Roman" w:eastAsia="DengXian" w:hAnsi="Times New Roman" w:cs="Times New Roman"/>
          <w:color w:val="000000"/>
          <w:sz w:val="24"/>
          <w:szCs w:val="24"/>
          <w:lang w:eastAsia="zh-CN"/>
        </w:rPr>
        <w:t>Thus, we suggest that future research consider alternative sources reporting financial misconduct to investigate the suggestions of this study.</w:t>
      </w:r>
      <w:r w:rsidR="00CA02AE">
        <w:rPr>
          <w:rFonts w:ascii="Times New Roman" w:eastAsia="DengXian" w:hAnsi="Times New Roman" w:cs="Times New Roman"/>
          <w:color w:val="000000"/>
          <w:sz w:val="24"/>
          <w:szCs w:val="24"/>
          <w:lang w:eastAsia="zh-CN"/>
        </w:rPr>
        <w:t xml:space="preserve"> </w:t>
      </w:r>
      <w:r w:rsidRPr="00C11008">
        <w:rPr>
          <w:rFonts w:ascii="Times New Roman" w:eastAsia="DengXian" w:hAnsi="Times New Roman" w:cs="Times New Roman"/>
          <w:color w:val="000000"/>
          <w:sz w:val="24"/>
          <w:szCs w:val="24"/>
          <w:lang w:eastAsia="zh-CN"/>
        </w:rPr>
        <w:t xml:space="preserve">Finally, our study cannot capture the firms that engage in misconduct but are not caught. </w:t>
      </w:r>
      <w:r w:rsidR="00CA02AE">
        <w:rPr>
          <w:rFonts w:ascii="Times New Roman" w:eastAsia="DengXian" w:hAnsi="Times New Roman" w:cs="Times New Roman"/>
          <w:color w:val="000000"/>
          <w:sz w:val="24"/>
          <w:szCs w:val="24"/>
          <w:lang w:eastAsia="zh-CN"/>
        </w:rPr>
        <w:t>Hence our results are based on misconduct reported and detected by U.S. regulatory authorities</w:t>
      </w:r>
      <w:r w:rsidRPr="00C11008">
        <w:rPr>
          <w:rFonts w:ascii="Times New Roman" w:eastAsia="DengXian" w:hAnsi="Times New Roman" w:cs="Times New Roman"/>
          <w:color w:val="000000"/>
          <w:sz w:val="24"/>
          <w:szCs w:val="24"/>
          <w:lang w:eastAsia="zh-CN"/>
        </w:rPr>
        <w:t xml:space="preserve">. </w:t>
      </w:r>
    </w:p>
    <w:p w14:paraId="0570F290" w14:textId="77777777" w:rsidR="00C11008" w:rsidRPr="00C11008" w:rsidRDefault="00C11008" w:rsidP="00C11008">
      <w:pPr>
        <w:spacing w:line="480" w:lineRule="auto"/>
        <w:jc w:val="both"/>
        <w:rPr>
          <w:rFonts w:ascii="Times New Roman" w:eastAsia="DengXian" w:hAnsi="Times New Roman" w:cs="Times New Roman"/>
          <w:color w:val="000000"/>
          <w:sz w:val="24"/>
          <w:szCs w:val="24"/>
          <w:lang w:eastAsia="zh-CN"/>
        </w:rPr>
      </w:pPr>
    </w:p>
    <w:p w14:paraId="59163E73" w14:textId="77777777" w:rsidR="00C11008" w:rsidRPr="00CA02AE" w:rsidRDefault="00C11008" w:rsidP="00C11008">
      <w:pPr>
        <w:spacing w:line="480" w:lineRule="auto"/>
        <w:jc w:val="center"/>
        <w:rPr>
          <w:rFonts w:ascii="Times New Roman" w:eastAsia="Calibri" w:hAnsi="Times New Roman" w:cs="Times New Roman"/>
          <w:b/>
          <w:bCs/>
          <w:sz w:val="36"/>
          <w:szCs w:val="36"/>
        </w:rPr>
      </w:pPr>
      <w:r w:rsidRPr="00C11008">
        <w:rPr>
          <w:rFonts w:ascii="Times New Roman" w:eastAsia="Calibri" w:hAnsi="Times New Roman" w:cs="Times New Roman"/>
          <w:sz w:val="24"/>
          <w:szCs w:val="24"/>
        </w:rPr>
        <w:br w:type="page"/>
      </w:r>
      <w:r w:rsidRPr="00CA02AE">
        <w:rPr>
          <w:rFonts w:ascii="Times New Roman" w:eastAsia="Calibri" w:hAnsi="Times New Roman" w:cs="Times New Roman"/>
          <w:b/>
          <w:bCs/>
          <w:sz w:val="36"/>
          <w:szCs w:val="36"/>
        </w:rPr>
        <w:t>References</w:t>
      </w:r>
    </w:p>
    <w:p w14:paraId="4566AE33"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lang w:val="es-ES_tradnl"/>
        </w:rPr>
        <w:t xml:space="preserve">Abernathy, J. L., Beyer, B., &amp; Rapley, E. T. (2014). </w:t>
      </w:r>
      <w:r w:rsidRPr="00C11008">
        <w:rPr>
          <w:rFonts w:ascii="Times New Roman" w:eastAsia="Calibri" w:hAnsi="Times New Roman" w:cs="Times New Roman"/>
          <w:sz w:val="24"/>
          <w:szCs w:val="24"/>
        </w:rPr>
        <w:t xml:space="preserve">Earnings management constraints and classification shifting. </w:t>
      </w:r>
      <w:r w:rsidRPr="00C11008">
        <w:rPr>
          <w:rFonts w:ascii="Times New Roman" w:eastAsia="Calibri" w:hAnsi="Times New Roman" w:cs="Times New Roman"/>
          <w:i/>
          <w:iCs/>
          <w:sz w:val="24"/>
          <w:szCs w:val="24"/>
        </w:rPr>
        <w:t>Journal of Business Finance and Accounting</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41</w:t>
      </w:r>
      <w:r w:rsidRPr="00C11008">
        <w:rPr>
          <w:rFonts w:ascii="Times New Roman" w:eastAsia="Calibri" w:hAnsi="Times New Roman" w:cs="Times New Roman"/>
          <w:sz w:val="24"/>
          <w:szCs w:val="24"/>
        </w:rPr>
        <w:t>(5), 600–626.</w:t>
      </w:r>
    </w:p>
    <w:p w14:paraId="0F35AE00"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Adams, R. B. (2012). Governance and the Financial Crisis. </w:t>
      </w:r>
      <w:r w:rsidRPr="00C11008">
        <w:rPr>
          <w:rFonts w:ascii="Times New Roman" w:eastAsia="Calibri" w:hAnsi="Times New Roman" w:cs="Times New Roman"/>
          <w:i/>
          <w:iCs/>
          <w:sz w:val="24"/>
          <w:szCs w:val="24"/>
        </w:rPr>
        <w:t>International Review of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12</w:t>
      </w:r>
      <w:r w:rsidRPr="00C11008">
        <w:rPr>
          <w:rFonts w:ascii="Times New Roman" w:eastAsia="Calibri" w:hAnsi="Times New Roman" w:cs="Times New Roman"/>
          <w:sz w:val="24"/>
          <w:szCs w:val="24"/>
        </w:rPr>
        <w:t>(1), 7–38.</w:t>
      </w:r>
    </w:p>
    <w:p w14:paraId="1960F6D1"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Adams, R. B., &amp; Ferreira, D. (2009). Women in the boardroom and their impact on governance and performance. </w:t>
      </w:r>
      <w:r w:rsidRPr="00C11008">
        <w:rPr>
          <w:rFonts w:ascii="Times New Roman" w:eastAsia="Calibri" w:hAnsi="Times New Roman" w:cs="Times New Roman"/>
          <w:i/>
          <w:iCs/>
          <w:sz w:val="24"/>
          <w:szCs w:val="24"/>
        </w:rPr>
        <w:t>Journal of Financial Economics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94</w:t>
      </w:r>
      <w:r w:rsidRPr="00C11008">
        <w:rPr>
          <w:rFonts w:ascii="Times New Roman" w:eastAsia="Calibri" w:hAnsi="Times New Roman" w:cs="Times New Roman"/>
          <w:sz w:val="24"/>
          <w:szCs w:val="24"/>
        </w:rPr>
        <w:t xml:space="preserve">(2), 291–309. </w:t>
      </w:r>
    </w:p>
    <w:p w14:paraId="37E967F9"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Adams, R. B., &amp; Mehran, H. (2012). Bank board structure and performance: Evidence for large bank holding companies. </w:t>
      </w:r>
      <w:r w:rsidRPr="00C11008">
        <w:rPr>
          <w:rFonts w:ascii="Times New Roman" w:eastAsia="Calibri" w:hAnsi="Times New Roman" w:cs="Times New Roman"/>
          <w:i/>
          <w:iCs/>
          <w:sz w:val="24"/>
          <w:szCs w:val="24"/>
        </w:rPr>
        <w:t>Journal of Financial Intermediation</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21</w:t>
      </w:r>
      <w:r w:rsidRPr="00C11008">
        <w:rPr>
          <w:rFonts w:ascii="Times New Roman" w:eastAsia="Calibri" w:hAnsi="Times New Roman" w:cs="Times New Roman"/>
          <w:sz w:val="24"/>
          <w:szCs w:val="24"/>
        </w:rPr>
        <w:t xml:space="preserve">(2), 243–267. </w:t>
      </w:r>
    </w:p>
    <w:p w14:paraId="10469034"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Adams, R. B., &amp; Ragunathan, V. (2017). Lehman Sisters. </w:t>
      </w:r>
      <w:r w:rsidRPr="00C11008">
        <w:rPr>
          <w:rFonts w:ascii="Times New Roman" w:eastAsia="Calibri" w:hAnsi="Times New Roman" w:cs="Times New Roman"/>
          <w:i/>
          <w:iCs/>
          <w:sz w:val="24"/>
          <w:szCs w:val="24"/>
        </w:rPr>
        <w:t>SSRN Electronic Journal</w:t>
      </w:r>
      <w:r w:rsidRPr="00C11008">
        <w:rPr>
          <w:rFonts w:ascii="Times New Roman" w:eastAsia="Calibri" w:hAnsi="Times New Roman" w:cs="Times New Roman"/>
          <w:sz w:val="24"/>
          <w:szCs w:val="24"/>
        </w:rPr>
        <w:t>. https://doi.org/10.2139/ssrn.3046451</w:t>
      </w:r>
    </w:p>
    <w:p w14:paraId="7E16DF12"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Adams, R. B., Hermalin, B. E., &amp; Weisbach, M. S. (2010). The role of boards of directors in corporate governance: A conceptual framework and survey. </w:t>
      </w:r>
      <w:r w:rsidRPr="00C11008">
        <w:rPr>
          <w:rFonts w:ascii="Times New Roman" w:eastAsia="Calibri" w:hAnsi="Times New Roman" w:cs="Times New Roman"/>
          <w:i/>
          <w:iCs/>
          <w:sz w:val="24"/>
          <w:szCs w:val="24"/>
        </w:rPr>
        <w:t>Journal of Economic Literature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48</w:t>
      </w:r>
      <w:r w:rsidRPr="00C11008">
        <w:rPr>
          <w:rFonts w:ascii="Times New Roman" w:eastAsia="Calibri" w:hAnsi="Times New Roman" w:cs="Times New Roman"/>
          <w:sz w:val="24"/>
          <w:szCs w:val="24"/>
        </w:rPr>
        <w:t xml:space="preserve">(1), 58–107. </w:t>
      </w:r>
    </w:p>
    <w:p w14:paraId="4E78C0FB"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Aebi, V., Sabato, G., &amp; Schmid, M. (2012). Risk management, corporate governance, and bank performance in the financial crisis. </w:t>
      </w:r>
      <w:r w:rsidRPr="00C11008">
        <w:rPr>
          <w:rFonts w:ascii="Times New Roman" w:eastAsia="Calibri" w:hAnsi="Times New Roman" w:cs="Times New Roman"/>
          <w:i/>
          <w:iCs/>
          <w:sz w:val="24"/>
          <w:szCs w:val="24"/>
        </w:rPr>
        <w:t>Journal of Banking and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36</w:t>
      </w:r>
      <w:r w:rsidRPr="00C11008">
        <w:rPr>
          <w:rFonts w:ascii="Times New Roman" w:eastAsia="Calibri" w:hAnsi="Times New Roman" w:cs="Times New Roman"/>
          <w:sz w:val="24"/>
          <w:szCs w:val="24"/>
        </w:rPr>
        <w:t xml:space="preserve">(12), 3213–3226. </w:t>
      </w:r>
    </w:p>
    <w:p w14:paraId="09903860"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Arnaboldi, F., Casu, B., Gallo, A., Kalotychou, E., &amp; Sarkisyan, A. (2021). Gender diversity and bank misconduct.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71</w:t>
      </w:r>
      <w:r w:rsidRPr="00C11008">
        <w:rPr>
          <w:rFonts w:ascii="Times New Roman" w:eastAsia="Calibri" w:hAnsi="Times New Roman" w:cs="Times New Roman"/>
          <w:sz w:val="24"/>
          <w:szCs w:val="24"/>
        </w:rPr>
        <w:t>, 1–30.</w:t>
      </w:r>
    </w:p>
    <w:p w14:paraId="7CCF7085"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Arnaboldi, F., Casu, B., Kalotychou, E., &amp; Sarkisyan, A. (2020). The performance effects of board heterogeneity: what works for EU banks? </w:t>
      </w:r>
      <w:r w:rsidRPr="00C11008">
        <w:rPr>
          <w:rFonts w:ascii="Times New Roman" w:eastAsia="Calibri" w:hAnsi="Times New Roman" w:cs="Times New Roman"/>
          <w:i/>
          <w:iCs/>
          <w:sz w:val="24"/>
          <w:szCs w:val="24"/>
        </w:rPr>
        <w:t>European Journal of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26</w:t>
      </w:r>
      <w:r w:rsidRPr="00C11008">
        <w:rPr>
          <w:rFonts w:ascii="Times New Roman" w:eastAsia="Calibri" w:hAnsi="Times New Roman" w:cs="Times New Roman"/>
          <w:sz w:val="24"/>
          <w:szCs w:val="24"/>
        </w:rPr>
        <w:t xml:space="preserve">(10), 897–924. </w:t>
      </w:r>
    </w:p>
    <w:p w14:paraId="3D1CA09E"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Baranchuk, N., &amp; Dybvig, P. H. (2009). Consensus in diverse corporate boards. </w:t>
      </w:r>
      <w:r w:rsidRPr="00C11008">
        <w:rPr>
          <w:rFonts w:ascii="Times New Roman" w:eastAsia="Calibri" w:hAnsi="Times New Roman" w:cs="Times New Roman"/>
          <w:i/>
          <w:iCs/>
          <w:sz w:val="24"/>
          <w:szCs w:val="24"/>
        </w:rPr>
        <w:t>Review of Financial Studies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22</w:t>
      </w:r>
      <w:r w:rsidRPr="00C11008">
        <w:rPr>
          <w:rFonts w:ascii="Times New Roman" w:eastAsia="Calibri" w:hAnsi="Times New Roman" w:cs="Times New Roman"/>
          <w:sz w:val="24"/>
          <w:szCs w:val="24"/>
        </w:rPr>
        <w:t xml:space="preserve">(2), 715–747. </w:t>
      </w:r>
    </w:p>
    <w:p w14:paraId="0E4AA272"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Beasley, M. S. (1996). An empirical analysis of the relation between the board of director composition and financial statement fraud. </w:t>
      </w:r>
      <w:r w:rsidRPr="00C11008">
        <w:rPr>
          <w:rFonts w:ascii="Times New Roman" w:eastAsia="Calibri" w:hAnsi="Times New Roman" w:cs="Times New Roman"/>
          <w:i/>
          <w:iCs/>
          <w:sz w:val="24"/>
          <w:szCs w:val="24"/>
        </w:rPr>
        <w:t>Accounting Review</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71</w:t>
      </w:r>
      <w:r w:rsidRPr="00C11008">
        <w:rPr>
          <w:rFonts w:ascii="Times New Roman" w:eastAsia="Calibri" w:hAnsi="Times New Roman" w:cs="Times New Roman"/>
          <w:sz w:val="24"/>
          <w:szCs w:val="24"/>
        </w:rPr>
        <w:t xml:space="preserve">(4), 443–465. </w:t>
      </w:r>
    </w:p>
    <w:p w14:paraId="6046A91B"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Beasley, M. S., Clune, R., &amp; Hermanson, D. R. (2005). Enterprise risk management: An empirical analysis of factors associated with the extent of implementation. </w:t>
      </w:r>
      <w:r w:rsidRPr="00C11008">
        <w:rPr>
          <w:rFonts w:ascii="Times New Roman" w:eastAsia="Calibri" w:hAnsi="Times New Roman" w:cs="Times New Roman"/>
          <w:i/>
          <w:iCs/>
          <w:sz w:val="24"/>
          <w:szCs w:val="24"/>
        </w:rPr>
        <w:t>Journal of Accounting and Public Policy</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24</w:t>
      </w:r>
      <w:r w:rsidRPr="00C11008">
        <w:rPr>
          <w:rFonts w:ascii="Times New Roman" w:eastAsia="Calibri" w:hAnsi="Times New Roman" w:cs="Times New Roman"/>
          <w:sz w:val="24"/>
          <w:szCs w:val="24"/>
        </w:rPr>
        <w:t xml:space="preserve">(6), 521–531. </w:t>
      </w:r>
    </w:p>
    <w:p w14:paraId="11D26BC5"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Beasley, M., &amp; Warr, R. (2007). </w:t>
      </w:r>
      <w:r w:rsidRPr="00C11008">
        <w:rPr>
          <w:rFonts w:ascii="Times New Roman" w:eastAsia="Calibri" w:hAnsi="Times New Roman" w:cs="Times New Roman"/>
          <w:i/>
          <w:iCs/>
          <w:sz w:val="24"/>
          <w:szCs w:val="24"/>
        </w:rPr>
        <w:t>Information Conveyed in Hiring Announcements of Senior Executives Overseeing Enterprise-Wide Risk Management Processes</w:t>
      </w:r>
      <w:r w:rsidRPr="00C11008">
        <w:rPr>
          <w:rFonts w:ascii="Times New Roman" w:eastAsia="Calibri" w:hAnsi="Times New Roman" w:cs="Times New Roman"/>
          <w:sz w:val="24"/>
          <w:szCs w:val="24"/>
        </w:rPr>
        <w:t>.</w:t>
      </w:r>
    </w:p>
    <w:p w14:paraId="507D1AD0"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Bernile, G., Bhagwat, V., &amp; Yonker, S. (2018). Board diversity, firm risk, and corporate policies. </w:t>
      </w:r>
      <w:r w:rsidRPr="00C11008">
        <w:rPr>
          <w:rFonts w:ascii="Times New Roman" w:eastAsia="Calibri" w:hAnsi="Times New Roman" w:cs="Times New Roman"/>
          <w:i/>
          <w:iCs/>
          <w:sz w:val="24"/>
          <w:szCs w:val="24"/>
        </w:rPr>
        <w:t>Journal of Financial Economics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127</w:t>
      </w:r>
      <w:r w:rsidRPr="00C11008">
        <w:rPr>
          <w:rFonts w:ascii="Times New Roman" w:eastAsia="Calibri" w:hAnsi="Times New Roman" w:cs="Times New Roman"/>
          <w:sz w:val="24"/>
          <w:szCs w:val="24"/>
        </w:rPr>
        <w:t xml:space="preserve">(3), 588–612. </w:t>
      </w:r>
    </w:p>
    <w:p w14:paraId="6A7A8AE1"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Coles, J. L., Daniel, N. D., &amp; Naveen, L. (2014). Co-opted boards. </w:t>
      </w:r>
      <w:r w:rsidRPr="00C11008">
        <w:rPr>
          <w:rFonts w:ascii="Times New Roman" w:eastAsia="Calibri" w:hAnsi="Times New Roman" w:cs="Times New Roman"/>
          <w:i/>
          <w:iCs/>
          <w:sz w:val="24"/>
          <w:szCs w:val="24"/>
        </w:rPr>
        <w:t>Review of Financial Studies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27</w:t>
      </w:r>
      <w:r w:rsidRPr="00C11008">
        <w:rPr>
          <w:rFonts w:ascii="Times New Roman" w:eastAsia="Calibri" w:hAnsi="Times New Roman" w:cs="Times New Roman"/>
          <w:sz w:val="24"/>
          <w:szCs w:val="24"/>
        </w:rPr>
        <w:t xml:space="preserve">(6), 1751–1796. </w:t>
      </w:r>
    </w:p>
    <w:p w14:paraId="7A2EDA76"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Cumming, D., Dannhauser, R., &amp; Johan, S. (2015). Financial market misconduct and agency conflicts: A synthesis and future directions.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34</w:t>
      </w:r>
      <w:r w:rsidRPr="00C11008">
        <w:rPr>
          <w:rFonts w:ascii="Times New Roman" w:eastAsia="Calibri" w:hAnsi="Times New Roman" w:cs="Times New Roman"/>
          <w:sz w:val="24"/>
          <w:szCs w:val="24"/>
        </w:rPr>
        <w:t xml:space="preserve">, 150–168. </w:t>
      </w:r>
    </w:p>
    <w:p w14:paraId="727FE351"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Gilani, U., Keasey, K., &amp; Vallascas, F. (2021). Board financial expertise and the capital decisions of US banks.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71</w:t>
      </w:r>
      <w:r w:rsidRPr="00C11008">
        <w:rPr>
          <w:rFonts w:ascii="Times New Roman" w:eastAsia="Calibri" w:hAnsi="Times New Roman" w:cs="Times New Roman"/>
          <w:sz w:val="24"/>
          <w:szCs w:val="24"/>
        </w:rPr>
        <w:t>(August), 1-23.</w:t>
      </w:r>
    </w:p>
    <w:p w14:paraId="2F407D68"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Girardone, C., Kokas, S., &amp; Wood, G. (2021). Diversity and women in finance: Challenges and future perspectives.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71</w:t>
      </w:r>
      <w:r w:rsidRPr="00C11008">
        <w:rPr>
          <w:rFonts w:ascii="Times New Roman" w:eastAsia="Calibri" w:hAnsi="Times New Roman" w:cs="Times New Roman"/>
          <w:sz w:val="24"/>
          <w:szCs w:val="24"/>
        </w:rPr>
        <w:t>, 2-35</w:t>
      </w:r>
    </w:p>
    <w:p w14:paraId="5817D6AC"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Hines, C. S., &amp; Peters, G. F. (2015). Voluntary risk management committee formation: Determinants and short-term outcomes. </w:t>
      </w:r>
      <w:r w:rsidRPr="00C11008">
        <w:rPr>
          <w:rFonts w:ascii="Times New Roman" w:eastAsia="Calibri" w:hAnsi="Times New Roman" w:cs="Times New Roman"/>
          <w:i/>
          <w:iCs/>
          <w:sz w:val="24"/>
          <w:szCs w:val="24"/>
        </w:rPr>
        <w:t>Journal of Accounting and Public Policy</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34</w:t>
      </w:r>
      <w:r w:rsidRPr="00C11008">
        <w:rPr>
          <w:rFonts w:ascii="Times New Roman" w:eastAsia="Calibri" w:hAnsi="Times New Roman" w:cs="Times New Roman"/>
          <w:sz w:val="24"/>
          <w:szCs w:val="24"/>
        </w:rPr>
        <w:t xml:space="preserve">(3), 267–290. </w:t>
      </w:r>
    </w:p>
    <w:p w14:paraId="259360CC"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Joo, M. H., Lawrence, E., &amp; Parhizgari, A. (2021). Securities litigation risk and board gender diversity.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71</w:t>
      </w:r>
      <w:r w:rsidRPr="00C11008">
        <w:rPr>
          <w:rFonts w:ascii="Times New Roman" w:eastAsia="Calibri" w:hAnsi="Times New Roman" w:cs="Times New Roman"/>
          <w:sz w:val="24"/>
          <w:szCs w:val="24"/>
        </w:rPr>
        <w:t>, 1–30.</w:t>
      </w:r>
    </w:p>
    <w:p w14:paraId="21F5438F"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Malik, M. F., Nowland, J., &amp; Buckby, S. (2021). Voluntary adoption of board risk committees and financial constraints risk. </w:t>
      </w:r>
      <w:r w:rsidRPr="00C11008">
        <w:rPr>
          <w:rFonts w:ascii="Times New Roman" w:eastAsia="Calibri" w:hAnsi="Times New Roman" w:cs="Times New Roman"/>
          <w:i/>
          <w:iCs/>
          <w:sz w:val="24"/>
          <w:szCs w:val="24"/>
        </w:rPr>
        <w:t>International Review of Financial Analysis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73</w:t>
      </w:r>
      <w:r w:rsidRPr="00C11008">
        <w:rPr>
          <w:rFonts w:ascii="Times New Roman" w:eastAsia="Calibri" w:hAnsi="Times New Roman" w:cs="Times New Roman"/>
          <w:sz w:val="24"/>
          <w:szCs w:val="24"/>
        </w:rPr>
        <w:t>, 2-17.</w:t>
      </w:r>
    </w:p>
    <w:p w14:paraId="592D896F"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Minton, B. A., Taillard, J. P., &amp; Williamson, R. (2014). Financial expertise of the board, risk taking, and performance: Evidence from bank holding companies. </w:t>
      </w:r>
      <w:r w:rsidRPr="00C11008">
        <w:rPr>
          <w:rFonts w:ascii="Times New Roman" w:eastAsia="Calibri" w:hAnsi="Times New Roman" w:cs="Times New Roman"/>
          <w:i/>
          <w:iCs/>
          <w:sz w:val="24"/>
          <w:szCs w:val="24"/>
        </w:rPr>
        <w:t>Journal of Financial and Quantitative Analysis</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49</w:t>
      </w:r>
      <w:r w:rsidRPr="00C11008">
        <w:rPr>
          <w:rFonts w:ascii="Times New Roman" w:eastAsia="Calibri" w:hAnsi="Times New Roman" w:cs="Times New Roman"/>
          <w:sz w:val="24"/>
          <w:szCs w:val="24"/>
        </w:rPr>
        <w:t>(2), 351–380.</w:t>
      </w:r>
    </w:p>
    <w:p w14:paraId="42FE41EA"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Mollah, S., Liljeblom, E., &amp; Mobarak, A. (2021). Heterogeneity in Independent Non- Executive Directors’ Attributes and Risk - Taking in Large Banks Journal of Corporate Finance , Forthcoming.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1–59.</w:t>
      </w:r>
    </w:p>
    <w:p w14:paraId="2F3378A3"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Nguyen, D. D., Hagendorff, J., &amp; Eshraghi, A. (2016). Can Bank Boards Prevent Misconduct? </w:t>
      </w:r>
      <w:r w:rsidRPr="00C11008">
        <w:rPr>
          <w:rFonts w:ascii="Times New Roman" w:eastAsia="Calibri" w:hAnsi="Times New Roman" w:cs="Times New Roman"/>
          <w:i/>
          <w:iCs/>
          <w:sz w:val="24"/>
          <w:szCs w:val="24"/>
        </w:rPr>
        <w:t>Review of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20</w:t>
      </w:r>
      <w:r w:rsidRPr="00C11008">
        <w:rPr>
          <w:rFonts w:ascii="Times New Roman" w:eastAsia="Calibri" w:hAnsi="Times New Roman" w:cs="Times New Roman"/>
          <w:sz w:val="24"/>
          <w:szCs w:val="24"/>
        </w:rPr>
        <w:t xml:space="preserve">(1), 1–36. </w:t>
      </w:r>
    </w:p>
    <w:p w14:paraId="64A7DBC1"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Pagach, D., &amp; Warr, R. (2011). The Characteristics of Firms That Hire Chief Risk Officers. </w:t>
      </w:r>
      <w:r w:rsidRPr="00C11008">
        <w:rPr>
          <w:rFonts w:ascii="Times New Roman" w:eastAsia="Calibri" w:hAnsi="Times New Roman" w:cs="Times New Roman"/>
          <w:i/>
          <w:iCs/>
          <w:sz w:val="24"/>
          <w:szCs w:val="24"/>
        </w:rPr>
        <w:t>Journal of Risk and Insurance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78</w:t>
      </w:r>
      <w:r w:rsidRPr="00C11008">
        <w:rPr>
          <w:rFonts w:ascii="Times New Roman" w:eastAsia="Calibri" w:hAnsi="Times New Roman" w:cs="Times New Roman"/>
          <w:sz w:val="24"/>
          <w:szCs w:val="24"/>
        </w:rPr>
        <w:t xml:space="preserve">(1), 185–211. </w:t>
      </w:r>
    </w:p>
    <w:p w14:paraId="16A67373"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Vafeas, N. (2003). Length of board tenure and outside director independence. </w:t>
      </w:r>
      <w:r w:rsidRPr="00C11008">
        <w:rPr>
          <w:rFonts w:ascii="Times New Roman" w:eastAsia="Calibri" w:hAnsi="Times New Roman" w:cs="Times New Roman"/>
          <w:i/>
          <w:iCs/>
          <w:sz w:val="24"/>
          <w:szCs w:val="24"/>
        </w:rPr>
        <w:t>Journal of Business Finance and Accounting</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30</w:t>
      </w:r>
      <w:r w:rsidRPr="00C11008">
        <w:rPr>
          <w:rFonts w:ascii="Times New Roman" w:eastAsia="Calibri" w:hAnsi="Times New Roman" w:cs="Times New Roman"/>
          <w:sz w:val="24"/>
          <w:szCs w:val="24"/>
        </w:rPr>
        <w:t xml:space="preserve">(7–8), 1043–1064. </w:t>
      </w:r>
    </w:p>
    <w:p w14:paraId="0AA7D1AE"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Yu, B., College, M., Lenard, M. J., York, E. A., &amp; Wu, S. (2017). Female leadership in banking and bank risk. </w:t>
      </w:r>
      <w:r w:rsidRPr="00C11008">
        <w:rPr>
          <w:rFonts w:ascii="Times New Roman" w:eastAsia="Calibri" w:hAnsi="Times New Roman" w:cs="Times New Roman"/>
          <w:i/>
          <w:iCs/>
          <w:sz w:val="24"/>
          <w:szCs w:val="24"/>
        </w:rPr>
        <w:t>Academy of Accounting and Financial Studies Journal</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21</w:t>
      </w:r>
      <w:r w:rsidRPr="00C11008">
        <w:rPr>
          <w:rFonts w:ascii="Times New Roman" w:eastAsia="Calibri" w:hAnsi="Times New Roman" w:cs="Times New Roman"/>
          <w:sz w:val="24"/>
          <w:szCs w:val="24"/>
        </w:rPr>
        <w:t>(3),1-19.</w:t>
      </w:r>
    </w:p>
    <w:p w14:paraId="6323BDF3"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Zalata, A. M., Ntim, C. G., Choudhry, T., Hassanein, A., &amp; Elzahar, H. (2019). Female directors and managerial opportunism: Monitoring versus advisory female directors. </w:t>
      </w:r>
      <w:r w:rsidRPr="00C11008">
        <w:rPr>
          <w:rFonts w:ascii="Times New Roman" w:eastAsia="Calibri" w:hAnsi="Times New Roman" w:cs="Times New Roman"/>
          <w:i/>
          <w:iCs/>
          <w:sz w:val="24"/>
          <w:szCs w:val="24"/>
        </w:rPr>
        <w:t>Leadership Quarterly</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30</w:t>
      </w:r>
      <w:r w:rsidRPr="00C11008">
        <w:rPr>
          <w:rFonts w:ascii="Times New Roman" w:eastAsia="Calibri" w:hAnsi="Times New Roman" w:cs="Times New Roman"/>
          <w:sz w:val="24"/>
          <w:szCs w:val="24"/>
        </w:rPr>
        <w:t xml:space="preserve">(5). </w:t>
      </w:r>
    </w:p>
    <w:p w14:paraId="6D3B06E4" w14:textId="77777777" w:rsidR="00C11008" w:rsidRPr="00C11008" w:rsidRDefault="00C11008" w:rsidP="00C11008">
      <w:pPr>
        <w:spacing w:line="480" w:lineRule="auto"/>
        <w:jc w:val="both"/>
        <w:rPr>
          <w:rFonts w:ascii="Times New Roman" w:eastAsia="Calibri" w:hAnsi="Times New Roman" w:cs="Times New Roman"/>
          <w:sz w:val="24"/>
          <w:szCs w:val="24"/>
        </w:rPr>
      </w:pPr>
      <w:r w:rsidRPr="00C11008">
        <w:rPr>
          <w:rFonts w:ascii="Times New Roman" w:eastAsia="Calibri" w:hAnsi="Times New Roman" w:cs="Times New Roman"/>
          <w:sz w:val="24"/>
          <w:szCs w:val="24"/>
        </w:rPr>
        <w:t xml:space="preserve">Zaman, R., Atawnah, N., Baghdadi, G. A., &amp; Liu, J. (2021). Fiduciary duty or loyalty? Evidence from co-opted boards and corporate misconduct. </w:t>
      </w:r>
      <w:r w:rsidRPr="00C11008">
        <w:rPr>
          <w:rFonts w:ascii="Times New Roman" w:eastAsia="Calibri" w:hAnsi="Times New Roman" w:cs="Times New Roman"/>
          <w:i/>
          <w:iCs/>
          <w:sz w:val="24"/>
          <w:szCs w:val="24"/>
        </w:rPr>
        <w:t>Journal of Corporate Finance</w:t>
      </w:r>
      <w:r w:rsidRPr="00C11008">
        <w:rPr>
          <w:rFonts w:ascii="Times New Roman" w:eastAsia="Calibri" w:hAnsi="Times New Roman" w:cs="Times New Roman"/>
          <w:sz w:val="24"/>
          <w:szCs w:val="24"/>
        </w:rPr>
        <w:t xml:space="preserve">, </w:t>
      </w:r>
      <w:r w:rsidRPr="00C11008">
        <w:rPr>
          <w:rFonts w:ascii="Times New Roman" w:eastAsia="Calibri" w:hAnsi="Times New Roman" w:cs="Times New Roman"/>
          <w:i/>
          <w:iCs/>
          <w:sz w:val="24"/>
          <w:szCs w:val="24"/>
        </w:rPr>
        <w:t>70</w:t>
      </w:r>
      <w:r w:rsidRPr="00C11008">
        <w:rPr>
          <w:rFonts w:ascii="Times New Roman" w:eastAsia="Calibri" w:hAnsi="Times New Roman" w:cs="Times New Roman"/>
          <w:sz w:val="24"/>
          <w:szCs w:val="24"/>
        </w:rPr>
        <w:t xml:space="preserve">(August), 1–64. </w:t>
      </w:r>
    </w:p>
    <w:p w14:paraId="0C843D16" w14:textId="77777777" w:rsidR="00C11008" w:rsidRPr="00C11008" w:rsidRDefault="00C11008" w:rsidP="00C11008">
      <w:pPr>
        <w:spacing w:line="480" w:lineRule="auto"/>
        <w:jc w:val="both"/>
        <w:rPr>
          <w:rFonts w:ascii="Times New Roman" w:eastAsia="Calibri" w:hAnsi="Times New Roman" w:cs="Times New Roman"/>
          <w:sz w:val="24"/>
          <w:szCs w:val="24"/>
        </w:rPr>
      </w:pPr>
    </w:p>
    <w:p w14:paraId="482829F7" w14:textId="77777777" w:rsidR="00C11008" w:rsidRPr="00C11008" w:rsidRDefault="00C11008" w:rsidP="00C11008">
      <w:pPr>
        <w:spacing w:line="480" w:lineRule="auto"/>
        <w:jc w:val="both"/>
        <w:rPr>
          <w:rFonts w:ascii="Times New Roman" w:eastAsia="Calibri" w:hAnsi="Times New Roman" w:cs="Times New Roman"/>
          <w:sz w:val="24"/>
          <w:szCs w:val="24"/>
        </w:rPr>
      </w:pPr>
    </w:p>
    <w:p w14:paraId="47DED2AE" w14:textId="77777777" w:rsidR="00C11008" w:rsidRPr="00C11008" w:rsidRDefault="00C11008" w:rsidP="00C11008">
      <w:pPr>
        <w:spacing w:line="480" w:lineRule="auto"/>
        <w:jc w:val="both"/>
        <w:rPr>
          <w:rFonts w:ascii="Times New Roman" w:eastAsia="Calibri" w:hAnsi="Times New Roman" w:cs="Times New Roman"/>
          <w:sz w:val="24"/>
          <w:szCs w:val="24"/>
        </w:rPr>
      </w:pPr>
    </w:p>
    <w:p w14:paraId="60136E24" w14:textId="4A4530E8" w:rsidR="00197BB6" w:rsidRDefault="00197BB6" w:rsidP="00880312">
      <w:pPr>
        <w:spacing w:line="480" w:lineRule="auto"/>
        <w:rPr>
          <w:rFonts w:ascii="Times New Roman" w:eastAsia="Times New Roman" w:hAnsi="Times New Roman" w:cs="Times New Roman"/>
        </w:rPr>
      </w:pPr>
    </w:p>
    <w:p w14:paraId="779A3188" w14:textId="77777777" w:rsidR="00744EA4" w:rsidRPr="00744EA4" w:rsidRDefault="00744EA4" w:rsidP="00880312">
      <w:pPr>
        <w:spacing w:line="480" w:lineRule="auto"/>
        <w:jc w:val="both"/>
        <w:rPr>
          <w:rFonts w:ascii="Times New Roman" w:eastAsia="Times New Roman" w:hAnsi="Times New Roman" w:cs="Times New Roman"/>
        </w:rPr>
      </w:pPr>
    </w:p>
    <w:p w14:paraId="1955625A" w14:textId="77777777" w:rsidR="00624886" w:rsidRPr="00624886" w:rsidRDefault="00624886" w:rsidP="00880312">
      <w:pPr>
        <w:spacing w:line="480" w:lineRule="auto"/>
        <w:jc w:val="both"/>
        <w:rPr>
          <w:rFonts w:ascii="Times New Roman" w:hAnsi="Times New Roman" w:cs="Times New Roman"/>
          <w:sz w:val="24"/>
          <w:szCs w:val="24"/>
        </w:rPr>
      </w:pPr>
    </w:p>
    <w:p w14:paraId="7F20BDE3" w14:textId="77777777" w:rsidR="00624886" w:rsidRPr="00624886" w:rsidRDefault="00624886" w:rsidP="00880312">
      <w:pPr>
        <w:spacing w:line="480" w:lineRule="auto"/>
        <w:jc w:val="both"/>
        <w:rPr>
          <w:rFonts w:ascii="Times New Roman" w:hAnsi="Times New Roman" w:cs="Times New Roman"/>
          <w:sz w:val="24"/>
          <w:szCs w:val="24"/>
        </w:rPr>
      </w:pPr>
    </w:p>
    <w:p w14:paraId="2621B8FC" w14:textId="77777777" w:rsidR="00624886" w:rsidRPr="00624886" w:rsidRDefault="00624886" w:rsidP="00880312">
      <w:pPr>
        <w:spacing w:line="480" w:lineRule="auto"/>
        <w:jc w:val="both"/>
        <w:rPr>
          <w:rFonts w:ascii="Times New Roman" w:hAnsi="Times New Roman" w:cs="Times New Roman"/>
          <w:sz w:val="24"/>
          <w:szCs w:val="24"/>
        </w:rPr>
      </w:pPr>
    </w:p>
    <w:p w14:paraId="2AC4D79B" w14:textId="77777777" w:rsidR="00624886" w:rsidRPr="00624886" w:rsidRDefault="00624886" w:rsidP="00880312">
      <w:pPr>
        <w:spacing w:line="480" w:lineRule="auto"/>
        <w:jc w:val="both"/>
        <w:rPr>
          <w:rFonts w:ascii="Times New Roman" w:hAnsi="Times New Roman" w:cs="Times New Roman"/>
          <w:sz w:val="24"/>
          <w:szCs w:val="24"/>
        </w:rPr>
      </w:pPr>
    </w:p>
    <w:p w14:paraId="4D731669" w14:textId="1767D2CF" w:rsidR="00624886" w:rsidRPr="00D32A9F" w:rsidRDefault="00624886" w:rsidP="00880312">
      <w:pPr>
        <w:spacing w:line="480" w:lineRule="auto"/>
        <w:jc w:val="both"/>
        <w:rPr>
          <w:rFonts w:ascii="Times New Roman" w:hAnsi="Times New Roman" w:cs="Times New Roman"/>
          <w:sz w:val="24"/>
          <w:szCs w:val="24"/>
          <w:lang w:val="en-US"/>
        </w:rPr>
      </w:pPr>
    </w:p>
    <w:p w14:paraId="71898881" w14:textId="77777777" w:rsidR="00D32A9F" w:rsidRPr="00C80A9C" w:rsidRDefault="00D32A9F" w:rsidP="00880312">
      <w:pPr>
        <w:spacing w:line="480" w:lineRule="auto"/>
        <w:rPr>
          <w:rFonts w:ascii="Times New Roman" w:hAnsi="Times New Roman" w:cs="Times New Roman"/>
          <w:sz w:val="24"/>
          <w:szCs w:val="24"/>
        </w:rPr>
      </w:pPr>
    </w:p>
    <w:sectPr w:rsidR="00D32A9F" w:rsidRPr="00C80A9C" w:rsidSect="00CC629E">
      <w:footerReference w:type="first" r:id="rId31"/>
      <w:pgSz w:w="11906" w:h="16838"/>
      <w:pgMar w:top="1440" w:right="991"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B40AA" w14:textId="77777777" w:rsidR="003437A8" w:rsidRDefault="003437A8" w:rsidP="00624886">
      <w:pPr>
        <w:spacing w:after="0" w:line="240" w:lineRule="auto"/>
      </w:pPr>
      <w:r>
        <w:separator/>
      </w:r>
    </w:p>
  </w:endnote>
  <w:endnote w:type="continuationSeparator" w:id="0">
    <w:p w14:paraId="631FEB39" w14:textId="77777777" w:rsidR="003437A8" w:rsidRDefault="003437A8" w:rsidP="00624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a9c1b374">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314384"/>
      <w:docPartObj>
        <w:docPartGallery w:val="Page Numbers (Bottom of Page)"/>
        <w:docPartUnique/>
      </w:docPartObj>
    </w:sdtPr>
    <w:sdtEndPr>
      <w:rPr>
        <w:noProof/>
      </w:rPr>
    </w:sdtEndPr>
    <w:sdtContent>
      <w:p w14:paraId="7684A95A" w14:textId="1D0B006B" w:rsidR="00CC629E" w:rsidRDefault="00CC62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AD9F02" w14:textId="77777777" w:rsidR="00CC629E" w:rsidRDefault="00CC6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637982"/>
      <w:docPartObj>
        <w:docPartGallery w:val="Page Numbers (Bottom of Page)"/>
        <w:docPartUnique/>
      </w:docPartObj>
    </w:sdtPr>
    <w:sdtEndPr>
      <w:rPr>
        <w:noProof/>
      </w:rPr>
    </w:sdtEndPr>
    <w:sdtContent>
      <w:p w14:paraId="2B5B5E8B" w14:textId="06CB9388" w:rsidR="00CC629E" w:rsidRDefault="00CC62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25F14" w14:textId="77777777" w:rsidR="00CC629E" w:rsidRDefault="00CC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613D2" w14:textId="77777777" w:rsidR="003437A8" w:rsidRDefault="003437A8" w:rsidP="00624886">
      <w:pPr>
        <w:spacing w:after="0" w:line="240" w:lineRule="auto"/>
      </w:pPr>
      <w:r>
        <w:separator/>
      </w:r>
    </w:p>
  </w:footnote>
  <w:footnote w:type="continuationSeparator" w:id="0">
    <w:p w14:paraId="07FA5699" w14:textId="77777777" w:rsidR="003437A8" w:rsidRDefault="003437A8" w:rsidP="00624886">
      <w:pPr>
        <w:spacing w:after="0" w:line="240" w:lineRule="auto"/>
      </w:pPr>
      <w:r>
        <w:continuationSeparator/>
      </w:r>
    </w:p>
  </w:footnote>
  <w:footnote w:id="1">
    <w:p w14:paraId="67858F6A" w14:textId="418D7674" w:rsidR="002E04CA" w:rsidRDefault="002E04CA" w:rsidP="00624886">
      <w:pPr>
        <w:autoSpaceDE w:val="0"/>
        <w:autoSpaceDN w:val="0"/>
        <w:adjustRightInd w:val="0"/>
        <w:spacing w:after="0" w:line="240" w:lineRule="auto"/>
        <w:jc w:val="both"/>
      </w:pPr>
    </w:p>
    <w:p w14:paraId="6B061F13" w14:textId="64E2FB0F" w:rsidR="001A685A" w:rsidRDefault="001A685A" w:rsidP="00624886">
      <w:pPr>
        <w:autoSpaceDE w:val="0"/>
        <w:autoSpaceDN w:val="0"/>
        <w:adjustRightInd w:val="0"/>
        <w:spacing w:after="0" w:line="240" w:lineRule="auto"/>
        <w:jc w:val="both"/>
      </w:pPr>
    </w:p>
    <w:p w14:paraId="72C662A9" w14:textId="77777777" w:rsidR="001A685A" w:rsidRDefault="001A685A" w:rsidP="00624886">
      <w:pPr>
        <w:autoSpaceDE w:val="0"/>
        <w:autoSpaceDN w:val="0"/>
        <w:adjustRightInd w:val="0"/>
        <w:spacing w:after="0" w:line="240" w:lineRule="auto"/>
        <w:jc w:val="both"/>
      </w:pPr>
    </w:p>
    <w:p w14:paraId="76C25769" w14:textId="1644C6A6" w:rsidR="00624886" w:rsidRDefault="00624886" w:rsidP="00624886">
      <w:pPr>
        <w:autoSpaceDE w:val="0"/>
        <w:autoSpaceDN w:val="0"/>
        <w:adjustRightInd w:val="0"/>
        <w:spacing w:after="0" w:line="240" w:lineRule="auto"/>
        <w:jc w:val="both"/>
        <w:rPr>
          <w:rFonts w:ascii="Times New Roman" w:hAnsi="Times New Roman"/>
          <w:sz w:val="24"/>
          <w:szCs w:val="24"/>
        </w:rPr>
      </w:pPr>
      <w:r>
        <w:rPr>
          <w:rStyle w:val="FootnoteReference"/>
        </w:rPr>
        <w:footnoteRef/>
      </w:r>
      <w:r>
        <w:t xml:space="preserve"> </w:t>
      </w:r>
      <w:r w:rsidRPr="00DF091B">
        <w:rPr>
          <w:rFonts w:ascii="Times New Roman" w:hAnsi="Times New Roman"/>
          <w:sz w:val="20"/>
          <w:szCs w:val="20"/>
        </w:rPr>
        <w:t>Risk Governance is defined as</w:t>
      </w:r>
      <w:r>
        <w:rPr>
          <w:rFonts w:ascii="Times New Roman" w:hAnsi="Times New Roman"/>
          <w:sz w:val="24"/>
          <w:szCs w:val="24"/>
        </w:rPr>
        <w:t xml:space="preserve"> </w:t>
      </w:r>
    </w:p>
    <w:p w14:paraId="18A05C5F" w14:textId="77777777" w:rsidR="00624886" w:rsidRPr="00DF091B" w:rsidRDefault="00624886" w:rsidP="00624886">
      <w:pPr>
        <w:jc w:val="both"/>
        <w:rPr>
          <w:rFonts w:ascii="Times New Roman" w:hAnsi="Times New Roman"/>
          <w:i/>
          <w:sz w:val="20"/>
          <w:szCs w:val="20"/>
        </w:rPr>
      </w:pPr>
      <w:r w:rsidRPr="00DF091B">
        <w:rPr>
          <w:rFonts w:ascii="Times New Roman" w:hAnsi="Times New Roman"/>
          <w:i/>
          <w:sz w:val="20"/>
          <w:szCs w:val="20"/>
        </w:rPr>
        <w:t>The framework through which the board and management establish the firm’s strategy, articulate and monitor adherence to risk appetite and risk limits, and identify, measure and manage risks.(FSB, 2013:3)</w:t>
      </w:r>
    </w:p>
  </w:footnote>
  <w:footnote w:id="2">
    <w:p w14:paraId="5B045A7D" w14:textId="77777777" w:rsidR="00624886" w:rsidRPr="00DF091B" w:rsidRDefault="00624886" w:rsidP="00624886">
      <w:pPr>
        <w:autoSpaceDE w:val="0"/>
        <w:autoSpaceDN w:val="0"/>
        <w:adjustRightInd w:val="0"/>
        <w:spacing w:after="0" w:line="240" w:lineRule="auto"/>
        <w:jc w:val="both"/>
        <w:rPr>
          <w:rFonts w:ascii="Times New Roman" w:hAnsi="Times New Roman"/>
          <w:i/>
          <w:color w:val="000000"/>
          <w:sz w:val="20"/>
          <w:szCs w:val="20"/>
        </w:rPr>
      </w:pPr>
      <w:r w:rsidRPr="00DF091B">
        <w:rPr>
          <w:rStyle w:val="FootnoteReference"/>
          <w:sz w:val="20"/>
          <w:szCs w:val="20"/>
        </w:rPr>
        <w:footnoteRef/>
      </w:r>
      <w:r w:rsidRPr="00DF091B">
        <w:rPr>
          <w:sz w:val="20"/>
          <w:szCs w:val="20"/>
        </w:rPr>
        <w:t xml:space="preserve"> </w:t>
      </w:r>
      <w:r w:rsidRPr="00DF091B">
        <w:rPr>
          <w:rFonts w:ascii="Times New Roman" w:hAnsi="Times New Roman"/>
          <w:i/>
          <w:color w:val="000000"/>
          <w:sz w:val="20"/>
          <w:szCs w:val="20"/>
        </w:rPr>
        <w:t>The risk management function is responsible for identifying, measuring, monitoring, controlling or mitigating, and reporting on risk exposures. This should encompass all risks to the bank, on- and off-balance sheet and a group wide, portfolio and business-line level, and should take into account the extent to which risks overlap…This should include a reconciliation of the aggregate level of risk in the bank to the board-established risk tolerance/appetite” (BIS,2010, page 18).</w:t>
      </w:r>
    </w:p>
    <w:p w14:paraId="51104D2B" w14:textId="77777777" w:rsidR="00624886" w:rsidRPr="00DF091B" w:rsidRDefault="00624886" w:rsidP="00624886">
      <w:pPr>
        <w:pStyle w:val="FootnoteText"/>
      </w:pPr>
    </w:p>
  </w:footnote>
  <w:footnote w:id="3">
    <w:p w14:paraId="796D49B4" w14:textId="77777777" w:rsidR="00624886" w:rsidRDefault="00624886" w:rsidP="00624886">
      <w:pPr>
        <w:autoSpaceDE w:val="0"/>
        <w:autoSpaceDN w:val="0"/>
        <w:adjustRightInd w:val="0"/>
        <w:spacing w:after="0" w:line="240" w:lineRule="auto"/>
        <w:jc w:val="both"/>
        <w:rPr>
          <w:rFonts w:ascii="Times New Roman" w:hAnsi="Times New Roman"/>
          <w:sz w:val="24"/>
          <w:szCs w:val="24"/>
          <w:lang w:eastAsia="en-GB"/>
        </w:rPr>
      </w:pPr>
      <w:r>
        <w:rPr>
          <w:rStyle w:val="FootnoteReference"/>
        </w:rPr>
        <w:footnoteRef/>
      </w:r>
      <w:r>
        <w:t xml:space="preserve">  </w:t>
      </w:r>
      <w:r w:rsidRPr="00397A28">
        <w:rPr>
          <w:rFonts w:ascii="Times New Roman" w:hAnsi="Times New Roman"/>
          <w:sz w:val="24"/>
        </w:rPr>
        <w:t xml:space="preserve">Risk Culture </w:t>
      </w:r>
      <w:r w:rsidRPr="00397A28">
        <w:rPr>
          <w:rFonts w:ascii="Times New Roman" w:hAnsi="Times New Roman"/>
          <w:sz w:val="24"/>
          <w:szCs w:val="24"/>
          <w:lang w:eastAsia="en-GB"/>
        </w:rPr>
        <w:t>is defined as:</w:t>
      </w:r>
    </w:p>
    <w:p w14:paraId="70B16B7C" w14:textId="77777777" w:rsidR="00624886" w:rsidRDefault="00624886" w:rsidP="00624886">
      <w:pPr>
        <w:autoSpaceDE w:val="0"/>
        <w:autoSpaceDN w:val="0"/>
        <w:adjustRightInd w:val="0"/>
        <w:spacing w:after="0" w:line="240" w:lineRule="auto"/>
        <w:rPr>
          <w:rFonts w:ascii="Times New Roman" w:hAnsi="Times New Roman"/>
          <w:sz w:val="24"/>
          <w:szCs w:val="24"/>
          <w:lang w:eastAsia="en-GB"/>
        </w:rPr>
      </w:pPr>
    </w:p>
    <w:p w14:paraId="61755FDE" w14:textId="77777777" w:rsidR="00624886" w:rsidRDefault="00624886" w:rsidP="00624886">
      <w:pPr>
        <w:autoSpaceDE w:val="0"/>
        <w:autoSpaceDN w:val="0"/>
        <w:adjustRightInd w:val="0"/>
        <w:spacing w:after="0" w:line="240" w:lineRule="auto"/>
        <w:rPr>
          <w:rFonts w:ascii="AdvTTa9c1b374" w:hAnsi="AdvTTa9c1b374" w:cs="AdvTTa9c1b374"/>
          <w:sz w:val="16"/>
          <w:szCs w:val="16"/>
          <w:lang w:eastAsia="en-GB"/>
        </w:rPr>
      </w:pPr>
      <w:r>
        <w:rPr>
          <w:rFonts w:ascii="Times New Roman" w:hAnsi="Times New Roman"/>
          <w:i/>
          <w:sz w:val="24"/>
          <w:szCs w:val="24"/>
          <w:lang w:eastAsia="en-GB"/>
        </w:rPr>
        <w:t>“The general awareness, attitudes and behaviours of the bank’s board and employees towards risk” (IFC, 2015:63)</w:t>
      </w:r>
      <w:r w:rsidRPr="00E057C9">
        <w:rPr>
          <w:rFonts w:ascii="AdvTTa9c1b374" w:hAnsi="AdvTTa9c1b374" w:cs="AdvTTa9c1b374"/>
          <w:sz w:val="16"/>
          <w:szCs w:val="16"/>
          <w:lang w:eastAsia="en-GB"/>
        </w:rPr>
        <w:t xml:space="preserve"> </w:t>
      </w:r>
    </w:p>
    <w:p w14:paraId="6EEBB02C" w14:textId="77777777" w:rsidR="00624886" w:rsidRDefault="00624886" w:rsidP="00624886">
      <w:pPr>
        <w:pStyle w:val="FootnoteText"/>
      </w:pPr>
    </w:p>
  </w:footnote>
  <w:footnote w:id="4">
    <w:p w14:paraId="5539F2A6" w14:textId="77777777" w:rsidR="00744EA4" w:rsidRPr="00197BB6" w:rsidRDefault="00744EA4" w:rsidP="00197BB6">
      <w:pPr>
        <w:pStyle w:val="Footer"/>
        <w:jc w:val="both"/>
        <w:rPr>
          <w:rFonts w:ascii="Times New Roman" w:hAnsi="Times New Roman"/>
        </w:rPr>
      </w:pPr>
      <w:r w:rsidRPr="0001331F">
        <w:rPr>
          <w:rStyle w:val="FootnoteReference"/>
        </w:rPr>
        <w:footnoteRef/>
      </w:r>
      <w:r w:rsidRPr="0001331F">
        <w:t xml:space="preserve"> </w:t>
      </w:r>
      <w:r w:rsidRPr="00197BB6">
        <w:rPr>
          <w:rFonts w:ascii="Times New Roman" w:hAnsi="Times New Roman"/>
          <w:sz w:val="20"/>
          <w:szCs w:val="20"/>
        </w:rPr>
        <w:t>Risk Governance is defined as: The</w:t>
      </w:r>
      <w:r w:rsidRPr="00197BB6">
        <w:rPr>
          <w:rFonts w:ascii="Times New Roman" w:hAnsi="Times New Roman"/>
          <w:i/>
          <w:sz w:val="20"/>
          <w:szCs w:val="20"/>
        </w:rPr>
        <w:t xml:space="preserve"> framework through which the board and management establish the firm’s strategy, articulate, and monitor adherence to risk appetite and risk limits, and identify, measure and manage risks. (FSB, 2013:3)</w:t>
      </w:r>
    </w:p>
  </w:footnote>
  <w:footnote w:id="5">
    <w:p w14:paraId="2B1EB23B" w14:textId="77777777" w:rsidR="00744EA4" w:rsidRPr="00197BB6" w:rsidRDefault="00744EA4" w:rsidP="00197BB6">
      <w:pPr>
        <w:pStyle w:val="FootnoteText"/>
        <w:jc w:val="both"/>
        <w:rPr>
          <w:rFonts w:ascii="Times New Roman" w:hAnsi="Times New Roman" w:cs="Times New Roman"/>
        </w:rPr>
      </w:pPr>
      <w:r w:rsidRPr="00197BB6">
        <w:rPr>
          <w:rStyle w:val="FootnoteReference"/>
          <w:rFonts w:ascii="Times New Roman" w:hAnsi="Times New Roman" w:cs="Times New Roman"/>
        </w:rPr>
        <w:footnoteRef/>
      </w:r>
      <w:r w:rsidRPr="00197BB6">
        <w:rPr>
          <w:rFonts w:ascii="Times New Roman" w:hAnsi="Times New Roman" w:cs="Times New Roman"/>
        </w:rPr>
        <w:t xml:space="preserve"> CRO is an officer who oversees all relevant risks within the institution (Aebi et al, 2012; Sabato, 2010). According to Ellul and Yeramilli (2013) in some of the BHCs that are mainly oriented towards retail banking, the Chief Lending Officer or the Chief Credit Officer may be the official in charge of risk management. To ensure that we are not missing out on these alternative designations, we treat them on par with Chief Risk Officer while coding these variables.</w:t>
      </w:r>
    </w:p>
  </w:footnote>
  <w:footnote w:id="6">
    <w:p w14:paraId="7C63825E" w14:textId="77777777" w:rsidR="00744EA4" w:rsidRPr="00197BB6" w:rsidRDefault="00744EA4" w:rsidP="00744EA4">
      <w:pPr>
        <w:pStyle w:val="FootnoteText"/>
        <w:rPr>
          <w:rFonts w:ascii="Times New Roman" w:hAnsi="Times New Roman" w:cs="Times New Roman"/>
        </w:rPr>
      </w:pPr>
      <w:r>
        <w:rPr>
          <w:rStyle w:val="FootnoteReference"/>
        </w:rPr>
        <w:footnoteRef/>
      </w:r>
      <w:r>
        <w:t xml:space="preserve"> </w:t>
      </w:r>
      <w:r w:rsidRPr="00197BB6">
        <w:rPr>
          <w:rFonts w:ascii="Times New Roman" w:hAnsi="Times New Roman" w:cs="Times New Roman"/>
        </w:rPr>
        <w:t>Managerial discretion can be defined as the latitude of managerial action available to a decision maker in a given situation (Hambrick &amp; Finkelstein,1987)</w:t>
      </w:r>
    </w:p>
    <w:p w14:paraId="108D3E72" w14:textId="77777777" w:rsidR="00744EA4" w:rsidRPr="00197BB6" w:rsidRDefault="00744EA4" w:rsidP="00744EA4">
      <w:pPr>
        <w:pStyle w:val="FootnoteText"/>
        <w:rPr>
          <w:rFonts w:ascii="Times New Roman" w:hAnsi="Times New Roman" w:cs="Times New Roman"/>
        </w:rPr>
      </w:pPr>
    </w:p>
  </w:footnote>
  <w:footnote w:id="7">
    <w:p w14:paraId="15A15D47" w14:textId="5E230279" w:rsidR="00744EA4" w:rsidRPr="00FC2DAB" w:rsidRDefault="00744EA4" w:rsidP="00FC2DAB">
      <w:pPr>
        <w:pStyle w:val="FootnoteText"/>
        <w:jc w:val="both"/>
        <w:rPr>
          <w:rFonts w:ascii="Times New Roman" w:hAnsi="Times New Roman" w:cs="Times New Roman"/>
        </w:rPr>
      </w:pPr>
      <w:r>
        <w:rPr>
          <w:rStyle w:val="FootnoteReference"/>
        </w:rPr>
        <w:footnoteRef/>
      </w:r>
      <w:r>
        <w:t xml:space="preserve"> </w:t>
      </w:r>
      <w:r w:rsidR="00B81D28">
        <w:t xml:space="preserve">According to </w:t>
      </w:r>
      <w:r w:rsidRPr="00FC2DAB">
        <w:rPr>
          <w:rFonts w:ascii="Times New Roman" w:hAnsi="Times New Roman" w:cs="Times New Roman"/>
        </w:rPr>
        <w:t>BankFocus database C1, C2, U1, U2, C*, and U*</w:t>
      </w:r>
      <w:r w:rsidR="00B81D28">
        <w:rPr>
          <w:rFonts w:ascii="Times New Roman" w:hAnsi="Times New Roman" w:cs="Times New Roman"/>
        </w:rPr>
        <w:t xml:space="preserve"> are </w:t>
      </w:r>
      <w:r w:rsidR="00B81D28" w:rsidRPr="00FC2DAB">
        <w:rPr>
          <w:rFonts w:ascii="Times New Roman" w:hAnsi="Times New Roman" w:cs="Times New Roman"/>
        </w:rPr>
        <w:t>different accounting consolidation codes</w:t>
      </w:r>
      <w:r w:rsidR="00B81D28">
        <w:rPr>
          <w:rFonts w:ascii="Times New Roman" w:hAnsi="Times New Roman" w:cs="Times New Roman"/>
        </w:rPr>
        <w:t xml:space="preserve">. However, </w:t>
      </w:r>
      <w:r w:rsidRPr="00FC2DAB">
        <w:rPr>
          <w:rFonts w:ascii="Times New Roman" w:hAnsi="Times New Roman" w:cs="Times New Roman"/>
        </w:rPr>
        <w:t xml:space="preserve">The C1, C2, and C* </w:t>
      </w:r>
      <w:r w:rsidR="00B81D28">
        <w:rPr>
          <w:rFonts w:ascii="Times New Roman" w:hAnsi="Times New Roman" w:cs="Times New Roman"/>
        </w:rPr>
        <w:t xml:space="preserve">are the accounting codes that </w:t>
      </w:r>
      <w:r w:rsidRPr="00FC2DAB">
        <w:rPr>
          <w:rFonts w:ascii="Times New Roman" w:hAnsi="Times New Roman" w:cs="Times New Roman"/>
        </w:rPr>
        <w:t xml:space="preserve">depicts combined consolidation of parent banks with its subsidiary. </w:t>
      </w:r>
      <w:r w:rsidR="00B81D28">
        <w:rPr>
          <w:rFonts w:ascii="Times New Roman" w:hAnsi="Times New Roman" w:cs="Times New Roman"/>
        </w:rPr>
        <w:t xml:space="preserve">Whereas </w:t>
      </w:r>
      <w:r w:rsidRPr="00FC2DAB">
        <w:rPr>
          <w:rFonts w:ascii="Times New Roman" w:hAnsi="Times New Roman" w:cs="Times New Roman"/>
        </w:rPr>
        <w:t xml:space="preserve">codes U1, U2 and U* indicates </w:t>
      </w:r>
      <w:r w:rsidR="00B81D28">
        <w:rPr>
          <w:rFonts w:ascii="Times New Roman" w:hAnsi="Times New Roman" w:cs="Times New Roman"/>
        </w:rPr>
        <w:t>non consolidates financial statement of a</w:t>
      </w:r>
      <w:r w:rsidRPr="00FC2DAB">
        <w:rPr>
          <w:rFonts w:ascii="Times New Roman" w:hAnsi="Times New Roman" w:cs="Times New Roman"/>
        </w:rPr>
        <w:t xml:space="preserve"> parent bank with its subsidiaries. Hence, </w:t>
      </w:r>
      <w:r w:rsidR="00B81D28">
        <w:rPr>
          <w:rFonts w:ascii="Times New Roman" w:hAnsi="Times New Roman" w:cs="Times New Roman"/>
        </w:rPr>
        <w:t xml:space="preserve">do not take banks with given accounting codes of U1, U2 and U* as we believe that information from these financial statement  does not give a true picture of banks financial status. </w:t>
      </w:r>
      <w:r w:rsidRPr="00FC2DAB">
        <w:rPr>
          <w:rFonts w:ascii="Times New Roman" w:hAnsi="Times New Roman" w:cs="Times New Roman"/>
        </w:rPr>
        <w:t>(Mollah et al., 2021).</w:t>
      </w:r>
    </w:p>
  </w:footnote>
  <w:footnote w:id="8">
    <w:p w14:paraId="6A8439AB" w14:textId="77777777" w:rsidR="00744EA4" w:rsidRPr="00FC2DAB" w:rsidRDefault="00744EA4" w:rsidP="00FC2DAB">
      <w:pPr>
        <w:pStyle w:val="FootnoteText"/>
        <w:jc w:val="both"/>
        <w:rPr>
          <w:rFonts w:ascii="Times New Roman" w:hAnsi="Times New Roman" w:cs="Times New Roman"/>
        </w:rPr>
      </w:pPr>
      <w:r w:rsidRPr="00FC2DAB">
        <w:rPr>
          <w:rStyle w:val="FootnoteReference"/>
          <w:rFonts w:ascii="Times New Roman" w:hAnsi="Times New Roman" w:cs="Times New Roman"/>
        </w:rPr>
        <w:footnoteRef/>
      </w:r>
      <w:r w:rsidRPr="00FC2DAB">
        <w:rPr>
          <w:rFonts w:ascii="Times New Roman" w:hAnsi="Times New Roman" w:cs="Times New Roman"/>
        </w:rPr>
        <w:t xml:space="preserve"> According to Ellul and Yeramilli (2013) Chief Lending Officers or the Chief Credit Officer are in -charge of risk management for some BHC that have a focus on retail banking. Thus to be sure that we do not miss any</w:t>
      </w:r>
      <w:r>
        <w:t xml:space="preserve"> </w:t>
      </w:r>
      <w:r w:rsidRPr="00FC2DAB">
        <w:rPr>
          <w:rFonts w:ascii="Times New Roman" w:hAnsi="Times New Roman" w:cs="Times New Roman"/>
        </w:rPr>
        <w:t>alternative designations we treat these two officers equivalent with Chief Risk Officer while coding the variable CRO presence</w:t>
      </w:r>
    </w:p>
  </w:footnote>
  <w:footnote w:id="9">
    <w:p w14:paraId="0EA6BDB8" w14:textId="77777777" w:rsidR="00880312" w:rsidRPr="001278ED" w:rsidRDefault="00880312" w:rsidP="00880312">
      <w:pPr>
        <w:pStyle w:val="FootnoteText"/>
        <w:rPr>
          <w:rFonts w:ascii="Times New Roman" w:hAnsi="Times New Roman" w:cs="Times New Roman"/>
        </w:rPr>
      </w:pPr>
      <w:r w:rsidRPr="00880312">
        <w:rPr>
          <w:rStyle w:val="FootnoteReference"/>
          <w:rFonts w:ascii="Times New Roman" w:hAnsi="Times New Roman" w:cs="Times New Roman"/>
          <w:sz w:val="22"/>
          <w:szCs w:val="22"/>
        </w:rPr>
        <w:footnoteRef/>
      </w:r>
      <w:r w:rsidRPr="00880312">
        <w:rPr>
          <w:rFonts w:ascii="Times New Roman" w:hAnsi="Times New Roman" w:cs="Times New Roman"/>
          <w:sz w:val="22"/>
          <w:szCs w:val="22"/>
        </w:rPr>
        <w:t xml:space="preserve"> </w:t>
      </w:r>
      <w:r w:rsidRPr="001278ED">
        <w:rPr>
          <w:rFonts w:ascii="Times New Roman" w:hAnsi="Times New Roman" w:cs="Times New Roman"/>
        </w:rPr>
        <w:t>Risk culture for financial institution is related to “risk awareness, risk taking, risk management and controls that shape decisions on risk […] during the day-to-day activities and have an impact on the risk they assume” (Basel Committee for Banking Supervision, 2015).</w:t>
      </w:r>
    </w:p>
  </w:footnote>
  <w:footnote w:id="10">
    <w:p w14:paraId="6A7DE9E3" w14:textId="77777777" w:rsidR="004648AA" w:rsidRDefault="00E47B73" w:rsidP="008C0D56">
      <w:pPr>
        <w:pStyle w:val="FootnoteText"/>
        <w:jc w:val="both"/>
      </w:pPr>
      <w:r>
        <w:rPr>
          <w:rStyle w:val="FootnoteReference"/>
        </w:rPr>
        <w:footnoteRef/>
      </w:r>
      <w:r>
        <w:t xml:space="preserve"> </w:t>
      </w:r>
    </w:p>
    <w:p w14:paraId="0E6D53D3" w14:textId="361D386F" w:rsidR="004648AA" w:rsidRDefault="008C0D56" w:rsidP="004648AA">
      <w:pPr>
        <w:pStyle w:val="FootnoteText"/>
        <w:jc w:val="both"/>
      </w:pPr>
      <w:r>
        <w:t xml:space="preserve">a. </w:t>
      </w:r>
      <w:r w:rsidR="004648AA">
        <w:t>The two quadrants on the right-hand side of CVF represent the organizational culture types with a focus on an external strategic direction. The culture type with an external focus and individual flexibility in the upper right quadrant can be described as a corporation with a creative orientation. Firms in this quadrant are characterized by focusing mainly on discontinuity, change, and risk. (Barth and Masuri, 2021).</w:t>
      </w:r>
    </w:p>
    <w:p w14:paraId="672EA4DA" w14:textId="13356C52" w:rsidR="004648AA" w:rsidRDefault="004648AA" w:rsidP="008C0D56">
      <w:pPr>
        <w:pStyle w:val="FootnoteText"/>
        <w:jc w:val="both"/>
      </w:pPr>
    </w:p>
    <w:p w14:paraId="7F59D071" w14:textId="77777777" w:rsidR="004648AA" w:rsidRDefault="004648AA" w:rsidP="008C0D56">
      <w:pPr>
        <w:pStyle w:val="FootnoteText"/>
        <w:jc w:val="both"/>
      </w:pPr>
    </w:p>
    <w:p w14:paraId="144AE347" w14:textId="4757D6BF" w:rsidR="008C0D56" w:rsidRDefault="004648AA" w:rsidP="008C0D56">
      <w:pPr>
        <w:pStyle w:val="FootnoteText"/>
        <w:jc w:val="both"/>
      </w:pPr>
      <w:r>
        <w:t xml:space="preserve">b. </w:t>
      </w:r>
      <w:r w:rsidR="00D4495E">
        <w:t xml:space="preserve">According to Thakor (2012) firms with strong focus on Create culture are more innovative and this innovation results in a high bankruptcy risk. </w:t>
      </w:r>
    </w:p>
    <w:p w14:paraId="0FD63BF3" w14:textId="77777777" w:rsidR="004648AA" w:rsidRDefault="004648AA" w:rsidP="009E69CE">
      <w:pPr>
        <w:pStyle w:val="FootnoteText"/>
        <w:jc w:val="both"/>
      </w:pPr>
    </w:p>
    <w:p w14:paraId="37749FCD" w14:textId="03439CEA" w:rsidR="008C0D56" w:rsidRDefault="004648AA" w:rsidP="009E69CE">
      <w:pPr>
        <w:pStyle w:val="FootnoteText"/>
        <w:jc w:val="both"/>
      </w:pPr>
      <w:r>
        <w:t>c</w:t>
      </w:r>
      <w:r w:rsidR="008C0D56">
        <w:t>. The</w:t>
      </w:r>
      <w:r w:rsidR="00D4495E">
        <w:t xml:space="preserve"> textual representation of the corporate culture dimension create encompasses words like ‘risk’ and identifies institutions that talk most frequently about risk, indicating a ‘risk culture’. </w:t>
      </w:r>
      <w:r w:rsidR="008C0D56">
        <w:t>(Barth and Masuri, 2021).</w:t>
      </w:r>
    </w:p>
    <w:p w14:paraId="313BB212" w14:textId="77777777" w:rsidR="008C0D56" w:rsidRDefault="008C0D56" w:rsidP="009E69CE">
      <w:pPr>
        <w:pStyle w:val="FootnoteText"/>
        <w:jc w:val="both"/>
      </w:pPr>
    </w:p>
    <w:p w14:paraId="67DC7D88" w14:textId="4542151B" w:rsidR="00E47B73" w:rsidRDefault="004648AA" w:rsidP="008C0D56">
      <w:pPr>
        <w:pStyle w:val="FootnoteText"/>
        <w:jc w:val="both"/>
      </w:pPr>
      <w:r>
        <w:t>d</w:t>
      </w:r>
      <w:r w:rsidR="008C0D56">
        <w:t>. F</w:t>
      </w:r>
      <w:r w:rsidR="00D4495E">
        <w:t xml:space="preserve">irms with an excessive risk-culture, represented by a stronger focus on creativity, might engage in riskier </w:t>
      </w:r>
      <w:r w:rsidR="008C0D56">
        <w:t>behaviour</w:t>
      </w:r>
      <w:r w:rsidR="00D4495E">
        <w:t>.</w:t>
      </w:r>
      <w:r w:rsidR="008C0D56">
        <w:t xml:space="preserve"> (Barth and Mansuri, 2021). </w:t>
      </w:r>
    </w:p>
    <w:p w14:paraId="2BD57012" w14:textId="77777777" w:rsidR="008C0D56" w:rsidRDefault="008C0D56" w:rsidP="009E69CE">
      <w:pPr>
        <w:pStyle w:val="FootnoteText"/>
        <w:jc w:val="both"/>
      </w:pPr>
    </w:p>
    <w:p w14:paraId="0FABA87E" w14:textId="40539181" w:rsidR="00D4495E" w:rsidRDefault="004648AA" w:rsidP="009E69CE">
      <w:pPr>
        <w:pStyle w:val="FootnoteText"/>
        <w:jc w:val="both"/>
      </w:pPr>
      <w:r>
        <w:t>e</w:t>
      </w:r>
      <w:r w:rsidR="008C0D56">
        <w:t xml:space="preserve">. According to CVF </w:t>
      </w:r>
      <w:r>
        <w:t>framework</w:t>
      </w:r>
      <w:r w:rsidR="008C0D56">
        <w:t xml:space="preserve"> words </w:t>
      </w:r>
      <w:r w:rsidR="00D4495E">
        <w:t>such as achievement, performance, and excellence are found to be associated with the word compete so that a more frequent usage of these type of words in official documents suggests the corporate culture of the organization to be more oriented towards competition, and words like risk or venture are found to be associated with the cultural dimension create.</w:t>
      </w:r>
    </w:p>
    <w:p w14:paraId="368F5BD4" w14:textId="1B7D786F" w:rsidR="00D4495E" w:rsidRDefault="00D4495E" w:rsidP="004648AA">
      <w:pPr>
        <w:pStyle w:val="FootnoteText"/>
        <w:jc w:val="both"/>
      </w:pPr>
      <w:bookmarkStart w:id="101" w:name="_Hlk130677803"/>
    </w:p>
    <w:bookmarkEnd w:id="101"/>
  </w:footnote>
  <w:footnote w:id="11">
    <w:p w14:paraId="08E968EB" w14:textId="193C0431" w:rsidR="000A2033" w:rsidRPr="009E69CE" w:rsidRDefault="000A2033">
      <w:pPr>
        <w:pStyle w:val="FootnoteText"/>
        <w:rPr>
          <w:lang w:val="en-US"/>
        </w:rPr>
      </w:pPr>
      <w:r>
        <w:rPr>
          <w:rStyle w:val="FootnoteReference"/>
        </w:rPr>
        <w:footnoteRef/>
      </w:r>
      <w:r>
        <w:t xml:space="preserve"> </w:t>
      </w:r>
      <w:r>
        <w:rPr>
          <w:lang w:val="en-US"/>
        </w:rPr>
        <w:t>We conduct the additional and robustness tests on Eq. 1 only to check whether the results remain the same as H1. A similar approach could be conducted to test H2 and H3.</w:t>
      </w:r>
    </w:p>
  </w:footnote>
  <w:footnote w:id="12">
    <w:p w14:paraId="216AB154" w14:textId="3781FFC9" w:rsidR="00C814BB" w:rsidRPr="009E69CE" w:rsidRDefault="00C814BB">
      <w:pPr>
        <w:pStyle w:val="FootnoteText"/>
        <w:rPr>
          <w:lang w:val="en-US"/>
        </w:rPr>
      </w:pPr>
      <w:r>
        <w:rPr>
          <w:rStyle w:val="FootnoteReference"/>
        </w:rPr>
        <w:footnoteRef/>
      </w:r>
      <w:r>
        <w:t xml:space="preserve"> </w:t>
      </w:r>
      <w:r w:rsidR="00C17373">
        <w:rPr>
          <w:lang w:val="en-US"/>
        </w:rPr>
        <w:t>These results</w:t>
      </w:r>
      <w:r>
        <w:rPr>
          <w:lang w:val="en-US"/>
        </w:rPr>
        <w:t xml:space="preserve"> check the robustness for H1 only. A similar approach could be conducted for H2 and H3.</w:t>
      </w:r>
    </w:p>
  </w:footnote>
  <w:footnote w:id="13">
    <w:p w14:paraId="18CF32A4" w14:textId="77777777" w:rsidR="00A9015F" w:rsidRDefault="00A9015F" w:rsidP="00A9015F">
      <w:pPr>
        <w:pStyle w:val="FootnoteText"/>
      </w:pPr>
      <w:r>
        <w:rPr>
          <w:rStyle w:val="FootnoteReference"/>
        </w:rPr>
        <w:footnoteRef/>
      </w:r>
      <w:r>
        <w:t xml:space="preserve"> Violation Tracker is a publicly available search engine on corporate misconduct. It covers cases initiated by more than 40 federal regulatory agencies and all divisions of the Justice Department since 2000 (Arnaboldi et al., 2021)</w:t>
      </w:r>
    </w:p>
  </w:footnote>
  <w:footnote w:id="14">
    <w:p w14:paraId="5FD67207" w14:textId="77777777" w:rsidR="00A9015F" w:rsidRDefault="00A9015F" w:rsidP="00A9015F">
      <w:pPr>
        <w:pStyle w:val="FootnoteText"/>
      </w:pPr>
      <w:r>
        <w:rPr>
          <w:rStyle w:val="FootnoteReference"/>
        </w:rPr>
        <w:footnoteRef/>
      </w:r>
      <w:r>
        <w:t xml:space="preserve"> A detailed analysis of the linearity concept among INED hetrogenity variable and then forming an indexm is reported in Appendix.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4C90" w14:textId="76ECC56D" w:rsidR="00CC629E" w:rsidRDefault="00CC629E">
    <w:pPr>
      <w:pStyle w:val="Header"/>
      <w:jc w:val="right"/>
    </w:pPr>
  </w:p>
  <w:p w14:paraId="4A8DAF99" w14:textId="77777777" w:rsidR="00CC629E" w:rsidRDefault="00CC6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1E58"/>
    <w:multiLevelType w:val="hybridMultilevel"/>
    <w:tmpl w:val="EBD04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22430B"/>
    <w:multiLevelType w:val="hybridMultilevel"/>
    <w:tmpl w:val="2ED4E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776C79"/>
    <w:multiLevelType w:val="multilevel"/>
    <w:tmpl w:val="47E0B7C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B901A96"/>
    <w:multiLevelType w:val="hybridMultilevel"/>
    <w:tmpl w:val="FFFFFFFF"/>
    <w:lvl w:ilvl="0" w:tplc="08090011">
      <w:start w:val="1"/>
      <w:numFmt w:val="decimal"/>
      <w:lvlText w:val="%1)"/>
      <w:lvlJc w:val="left"/>
      <w:pPr>
        <w:ind w:left="643" w:hanging="360"/>
      </w:pPr>
      <w:rPr>
        <w:rFonts w:cs="Times New Roman" w:hint="default"/>
      </w:rPr>
    </w:lvl>
    <w:lvl w:ilvl="1" w:tplc="08090019" w:tentative="1">
      <w:start w:val="1"/>
      <w:numFmt w:val="lowerLetter"/>
      <w:lvlText w:val="%2."/>
      <w:lvlJc w:val="left"/>
      <w:pPr>
        <w:ind w:left="1363" w:hanging="360"/>
      </w:pPr>
      <w:rPr>
        <w:rFonts w:cs="Times New Roman"/>
      </w:rPr>
    </w:lvl>
    <w:lvl w:ilvl="2" w:tplc="0809001B" w:tentative="1">
      <w:start w:val="1"/>
      <w:numFmt w:val="lowerRoman"/>
      <w:lvlText w:val="%3."/>
      <w:lvlJc w:val="right"/>
      <w:pPr>
        <w:ind w:left="2083" w:hanging="180"/>
      </w:pPr>
      <w:rPr>
        <w:rFonts w:cs="Times New Roman"/>
      </w:rPr>
    </w:lvl>
    <w:lvl w:ilvl="3" w:tplc="0809000F" w:tentative="1">
      <w:start w:val="1"/>
      <w:numFmt w:val="decimal"/>
      <w:lvlText w:val="%4."/>
      <w:lvlJc w:val="left"/>
      <w:pPr>
        <w:ind w:left="2803" w:hanging="360"/>
      </w:pPr>
      <w:rPr>
        <w:rFonts w:cs="Times New Roman"/>
      </w:rPr>
    </w:lvl>
    <w:lvl w:ilvl="4" w:tplc="08090019" w:tentative="1">
      <w:start w:val="1"/>
      <w:numFmt w:val="lowerLetter"/>
      <w:lvlText w:val="%5."/>
      <w:lvlJc w:val="left"/>
      <w:pPr>
        <w:ind w:left="3523" w:hanging="360"/>
      </w:pPr>
      <w:rPr>
        <w:rFonts w:cs="Times New Roman"/>
      </w:rPr>
    </w:lvl>
    <w:lvl w:ilvl="5" w:tplc="0809001B" w:tentative="1">
      <w:start w:val="1"/>
      <w:numFmt w:val="lowerRoman"/>
      <w:lvlText w:val="%6."/>
      <w:lvlJc w:val="right"/>
      <w:pPr>
        <w:ind w:left="4243" w:hanging="180"/>
      </w:pPr>
      <w:rPr>
        <w:rFonts w:cs="Times New Roman"/>
      </w:rPr>
    </w:lvl>
    <w:lvl w:ilvl="6" w:tplc="0809000F" w:tentative="1">
      <w:start w:val="1"/>
      <w:numFmt w:val="decimal"/>
      <w:lvlText w:val="%7."/>
      <w:lvlJc w:val="left"/>
      <w:pPr>
        <w:ind w:left="4963" w:hanging="360"/>
      </w:pPr>
      <w:rPr>
        <w:rFonts w:cs="Times New Roman"/>
      </w:rPr>
    </w:lvl>
    <w:lvl w:ilvl="7" w:tplc="08090019" w:tentative="1">
      <w:start w:val="1"/>
      <w:numFmt w:val="lowerLetter"/>
      <w:lvlText w:val="%8."/>
      <w:lvlJc w:val="left"/>
      <w:pPr>
        <w:ind w:left="5683" w:hanging="360"/>
      </w:pPr>
      <w:rPr>
        <w:rFonts w:cs="Times New Roman"/>
      </w:rPr>
    </w:lvl>
    <w:lvl w:ilvl="8" w:tplc="0809001B" w:tentative="1">
      <w:start w:val="1"/>
      <w:numFmt w:val="lowerRoman"/>
      <w:lvlText w:val="%9."/>
      <w:lvlJc w:val="right"/>
      <w:pPr>
        <w:ind w:left="6403" w:hanging="180"/>
      </w:pPr>
      <w:rPr>
        <w:rFonts w:cs="Times New Roman"/>
      </w:rPr>
    </w:lvl>
  </w:abstractNum>
  <w:abstractNum w:abstractNumId="4" w15:restartNumberingAfterBreak="0">
    <w:nsid w:val="1C995991"/>
    <w:multiLevelType w:val="multilevel"/>
    <w:tmpl w:val="BE405102"/>
    <w:lvl w:ilvl="0">
      <w:start w:val="1"/>
      <w:numFmt w:val="none"/>
      <w:lvlText w:val="6."/>
      <w:lvlJc w:val="left"/>
      <w:pPr>
        <w:ind w:left="360" w:hanging="360"/>
      </w:pPr>
      <w:rPr>
        <w:rFonts w:hint="default"/>
      </w:rPr>
    </w:lvl>
    <w:lvl w:ilvl="1">
      <w:start w:val="1"/>
      <w:numFmt w:val="decimal"/>
      <w:lvlText w:val="%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D5144C"/>
    <w:multiLevelType w:val="multilevel"/>
    <w:tmpl w:val="20083B84"/>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ascii="Times New Roman" w:hAnsi="Times New Roman" w:cs="Times New Roman" w:hint="default"/>
        <w:b/>
        <w:bCs/>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40781A"/>
    <w:multiLevelType w:val="multilevel"/>
    <w:tmpl w:val="D03E65FA"/>
    <w:lvl w:ilvl="0">
      <w:start w:val="1"/>
      <w:numFmt w:val="none"/>
      <w:lvlText w:val="4.1."/>
      <w:lvlJc w:val="left"/>
      <w:pPr>
        <w:ind w:left="360" w:hanging="360"/>
      </w:pPr>
      <w:rPr>
        <w:rFonts w:hint="default"/>
        <w:i w:val="0"/>
        <w:iCs w:val="0"/>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FF71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671F03"/>
    <w:multiLevelType w:val="multilevel"/>
    <w:tmpl w:val="514E9F84"/>
    <w:lvl w:ilvl="0">
      <w:start w:val="1"/>
      <w:numFmt w:val="none"/>
      <w:lvlText w:val="4."/>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240AC9"/>
    <w:multiLevelType w:val="multilevel"/>
    <w:tmpl w:val="BBEE3180"/>
    <w:lvl w:ilvl="0">
      <w:start w:val="1"/>
      <w:numFmt w:val="decimal"/>
      <w:lvlText w:val="5.%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EA5377"/>
    <w:multiLevelType w:val="hybridMultilevel"/>
    <w:tmpl w:val="5CB87D4E"/>
    <w:lvl w:ilvl="0" w:tplc="D2F8050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0C59EB"/>
    <w:multiLevelType w:val="multilevel"/>
    <w:tmpl w:val="BFDE512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4B1404"/>
    <w:multiLevelType w:val="hybridMultilevel"/>
    <w:tmpl w:val="227075D4"/>
    <w:lvl w:ilvl="0" w:tplc="D2F8050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784028"/>
    <w:multiLevelType w:val="hybridMultilevel"/>
    <w:tmpl w:val="FFFFFFFF"/>
    <w:lvl w:ilvl="0" w:tplc="1BA6321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ACC5B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A75F83"/>
    <w:multiLevelType w:val="multilevel"/>
    <w:tmpl w:val="29561D5E"/>
    <w:lvl w:ilvl="0">
      <w:start w:val="1"/>
      <w:numFmt w:val="none"/>
      <w:lvlText w:val="5.2."/>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E76D30"/>
    <w:multiLevelType w:val="hybridMultilevel"/>
    <w:tmpl w:val="FFFFFFFF"/>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4EEF7DAE"/>
    <w:multiLevelType w:val="multilevel"/>
    <w:tmpl w:val="1832B618"/>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4C2CDA"/>
    <w:multiLevelType w:val="multilevel"/>
    <w:tmpl w:val="BC049700"/>
    <w:lvl w:ilvl="0">
      <w:start w:val="1"/>
      <w:numFmt w:val="none"/>
      <w:lvlText w:val="4.2."/>
      <w:lvlJc w:val="left"/>
      <w:pPr>
        <w:ind w:left="360" w:hanging="360"/>
      </w:pPr>
      <w:rPr>
        <w:rFonts w:hint="default"/>
        <w:sz w:val="32"/>
        <w:szCs w:val="32"/>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13B7A0E"/>
    <w:multiLevelType w:val="hybridMultilevel"/>
    <w:tmpl w:val="FFFFFFFF"/>
    <w:lvl w:ilvl="0" w:tplc="08090011">
      <w:start w:val="9"/>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5084CE7"/>
    <w:multiLevelType w:val="multilevel"/>
    <w:tmpl w:val="32507C20"/>
    <w:lvl w:ilvl="0">
      <w:start w:val="1"/>
      <w:numFmt w:val="decimal"/>
      <w:lvlText w:val="%1.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E418A5"/>
    <w:multiLevelType w:val="hybridMultilevel"/>
    <w:tmpl w:val="EF927082"/>
    <w:lvl w:ilvl="0" w:tplc="1A30191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E521FA"/>
    <w:multiLevelType w:val="multilevel"/>
    <w:tmpl w:val="20083B84"/>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ascii="Times New Roman" w:hAnsi="Times New Roman" w:cs="Times New Roman" w:hint="default"/>
        <w:b/>
        <w:bCs/>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B6711F"/>
    <w:multiLevelType w:val="multilevel"/>
    <w:tmpl w:val="C424275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9D19D5"/>
    <w:multiLevelType w:val="multilevel"/>
    <w:tmpl w:val="1DAA8250"/>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7E16D70"/>
    <w:multiLevelType w:val="multilevel"/>
    <w:tmpl w:val="C424275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457C62"/>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75545A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A710CE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761C51"/>
    <w:multiLevelType w:val="multilevel"/>
    <w:tmpl w:val="FFB2108A"/>
    <w:lvl w:ilvl="0">
      <w:start w:val="1"/>
      <w:numFmt w:val="none"/>
      <w:lvlText w:val="5.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39494941">
    <w:abstractNumId w:val="26"/>
  </w:num>
  <w:num w:numId="2" w16cid:durableId="1457793355">
    <w:abstractNumId w:val="3"/>
  </w:num>
  <w:num w:numId="3" w16cid:durableId="1421023115">
    <w:abstractNumId w:val="19"/>
  </w:num>
  <w:num w:numId="4" w16cid:durableId="1967735550">
    <w:abstractNumId w:val="16"/>
  </w:num>
  <w:num w:numId="5" w16cid:durableId="1542936451">
    <w:abstractNumId w:val="28"/>
  </w:num>
  <w:num w:numId="6" w16cid:durableId="1854176444">
    <w:abstractNumId w:val="13"/>
  </w:num>
  <w:num w:numId="7" w16cid:durableId="1151946069">
    <w:abstractNumId w:val="21"/>
  </w:num>
  <w:num w:numId="8" w16cid:durableId="238180278">
    <w:abstractNumId w:val="23"/>
  </w:num>
  <w:num w:numId="9" w16cid:durableId="1215656039">
    <w:abstractNumId w:val="10"/>
  </w:num>
  <w:num w:numId="10" w16cid:durableId="806629022">
    <w:abstractNumId w:val="1"/>
  </w:num>
  <w:num w:numId="11" w16cid:durableId="918296580">
    <w:abstractNumId w:val="0"/>
  </w:num>
  <w:num w:numId="12" w16cid:durableId="1014847662">
    <w:abstractNumId w:val="22"/>
  </w:num>
  <w:num w:numId="13" w16cid:durableId="95560557">
    <w:abstractNumId w:val="12"/>
  </w:num>
  <w:num w:numId="14" w16cid:durableId="2097241246">
    <w:abstractNumId w:val="20"/>
  </w:num>
  <w:num w:numId="15" w16cid:durableId="1182007831">
    <w:abstractNumId w:val="25"/>
  </w:num>
  <w:num w:numId="16" w16cid:durableId="1704940075">
    <w:abstractNumId w:val="27"/>
  </w:num>
  <w:num w:numId="17" w16cid:durableId="1124930718">
    <w:abstractNumId w:val="7"/>
  </w:num>
  <w:num w:numId="18" w16cid:durableId="633100448">
    <w:abstractNumId w:val="20"/>
    <w:lvlOverride w:ilvl="0">
      <w:lvl w:ilvl="0">
        <w:start w:val="1"/>
        <w:numFmt w:val="decimal"/>
        <w:lvlText w:val="%1.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628586509">
    <w:abstractNumId w:val="17"/>
  </w:num>
  <w:num w:numId="20" w16cid:durableId="487601267">
    <w:abstractNumId w:val="24"/>
  </w:num>
  <w:num w:numId="21" w16cid:durableId="552736472">
    <w:abstractNumId w:val="6"/>
  </w:num>
  <w:num w:numId="22" w16cid:durableId="241647507">
    <w:abstractNumId w:val="11"/>
  </w:num>
  <w:num w:numId="23" w16cid:durableId="1416825062">
    <w:abstractNumId w:val="18"/>
  </w:num>
  <w:num w:numId="24" w16cid:durableId="1984236772">
    <w:abstractNumId w:val="8"/>
  </w:num>
  <w:num w:numId="25" w16cid:durableId="1609000650">
    <w:abstractNumId w:val="5"/>
  </w:num>
  <w:num w:numId="26" w16cid:durableId="2060587860">
    <w:abstractNumId w:val="9"/>
  </w:num>
  <w:num w:numId="27" w16cid:durableId="876544371">
    <w:abstractNumId w:val="14"/>
  </w:num>
  <w:num w:numId="28" w16cid:durableId="1883904673">
    <w:abstractNumId w:val="15"/>
  </w:num>
  <w:num w:numId="29" w16cid:durableId="1247227530">
    <w:abstractNumId w:val="2"/>
  </w:num>
  <w:num w:numId="30" w16cid:durableId="1451047876">
    <w:abstractNumId w:val="4"/>
  </w:num>
  <w:num w:numId="31" w16cid:durableId="17584758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S0NDY3srAwNTY0MTZW0lEKTi0uzszPAykwMq8FAKwA+ostAAAA"/>
  </w:docVars>
  <w:rsids>
    <w:rsidRoot w:val="00DD6A38"/>
    <w:rsid w:val="00000813"/>
    <w:rsid w:val="00006F3E"/>
    <w:rsid w:val="0001059E"/>
    <w:rsid w:val="00014FC3"/>
    <w:rsid w:val="000167AF"/>
    <w:rsid w:val="00016F56"/>
    <w:rsid w:val="000329D3"/>
    <w:rsid w:val="0003755A"/>
    <w:rsid w:val="00037887"/>
    <w:rsid w:val="00040CA6"/>
    <w:rsid w:val="000460F4"/>
    <w:rsid w:val="000463F4"/>
    <w:rsid w:val="00057265"/>
    <w:rsid w:val="000638CC"/>
    <w:rsid w:val="00071AF6"/>
    <w:rsid w:val="000803DB"/>
    <w:rsid w:val="0009428C"/>
    <w:rsid w:val="000A2033"/>
    <w:rsid w:val="000A3F4A"/>
    <w:rsid w:val="000B3888"/>
    <w:rsid w:val="000B6A19"/>
    <w:rsid w:val="000E4DB2"/>
    <w:rsid w:val="000E5A33"/>
    <w:rsid w:val="001075F7"/>
    <w:rsid w:val="00112EC5"/>
    <w:rsid w:val="00114BF6"/>
    <w:rsid w:val="001170C7"/>
    <w:rsid w:val="001278ED"/>
    <w:rsid w:val="001435EA"/>
    <w:rsid w:val="001648AB"/>
    <w:rsid w:val="001658DC"/>
    <w:rsid w:val="00173450"/>
    <w:rsid w:val="0017442C"/>
    <w:rsid w:val="001814DE"/>
    <w:rsid w:val="00193A10"/>
    <w:rsid w:val="00197BB6"/>
    <w:rsid w:val="001A1D5E"/>
    <w:rsid w:val="001A685A"/>
    <w:rsid w:val="001C08EE"/>
    <w:rsid w:val="001C47F6"/>
    <w:rsid w:val="001C5A8D"/>
    <w:rsid w:val="001D0BC0"/>
    <w:rsid w:val="001D52C0"/>
    <w:rsid w:val="001E1179"/>
    <w:rsid w:val="001E7A91"/>
    <w:rsid w:val="001F2C3B"/>
    <w:rsid w:val="001F7A21"/>
    <w:rsid w:val="00205250"/>
    <w:rsid w:val="00207B8F"/>
    <w:rsid w:val="002209C9"/>
    <w:rsid w:val="002212F9"/>
    <w:rsid w:val="00221C3A"/>
    <w:rsid w:val="002335CC"/>
    <w:rsid w:val="00244803"/>
    <w:rsid w:val="00271F8E"/>
    <w:rsid w:val="002746B4"/>
    <w:rsid w:val="00284CB5"/>
    <w:rsid w:val="0029697F"/>
    <w:rsid w:val="002A4845"/>
    <w:rsid w:val="002B4761"/>
    <w:rsid w:val="002E025C"/>
    <w:rsid w:val="002E04CA"/>
    <w:rsid w:val="002E6137"/>
    <w:rsid w:val="0033331F"/>
    <w:rsid w:val="003437A8"/>
    <w:rsid w:val="00350A14"/>
    <w:rsid w:val="00354663"/>
    <w:rsid w:val="00355C7A"/>
    <w:rsid w:val="00355D8F"/>
    <w:rsid w:val="00365104"/>
    <w:rsid w:val="0037662B"/>
    <w:rsid w:val="00381C03"/>
    <w:rsid w:val="00385ECF"/>
    <w:rsid w:val="003875BB"/>
    <w:rsid w:val="003A3E50"/>
    <w:rsid w:val="003B14E2"/>
    <w:rsid w:val="003B72C3"/>
    <w:rsid w:val="003C31AF"/>
    <w:rsid w:val="003C6A44"/>
    <w:rsid w:val="003C7034"/>
    <w:rsid w:val="003C7A91"/>
    <w:rsid w:val="003D53BD"/>
    <w:rsid w:val="003F17CC"/>
    <w:rsid w:val="0042264B"/>
    <w:rsid w:val="004313B0"/>
    <w:rsid w:val="00446BC3"/>
    <w:rsid w:val="004571E4"/>
    <w:rsid w:val="00461FFB"/>
    <w:rsid w:val="004648AA"/>
    <w:rsid w:val="00471F9A"/>
    <w:rsid w:val="00480042"/>
    <w:rsid w:val="00480A22"/>
    <w:rsid w:val="00491DBE"/>
    <w:rsid w:val="004925BF"/>
    <w:rsid w:val="004A036F"/>
    <w:rsid w:val="004A26B3"/>
    <w:rsid w:val="004A276A"/>
    <w:rsid w:val="004A3473"/>
    <w:rsid w:val="004B1896"/>
    <w:rsid w:val="004B210D"/>
    <w:rsid w:val="004C0013"/>
    <w:rsid w:val="004D34A5"/>
    <w:rsid w:val="004D46DA"/>
    <w:rsid w:val="004D526B"/>
    <w:rsid w:val="004E3535"/>
    <w:rsid w:val="00510EB9"/>
    <w:rsid w:val="00516366"/>
    <w:rsid w:val="005307A5"/>
    <w:rsid w:val="00533710"/>
    <w:rsid w:val="005339DD"/>
    <w:rsid w:val="00533CCC"/>
    <w:rsid w:val="0054526F"/>
    <w:rsid w:val="005552C8"/>
    <w:rsid w:val="00556235"/>
    <w:rsid w:val="005567DE"/>
    <w:rsid w:val="00557C29"/>
    <w:rsid w:val="0056396D"/>
    <w:rsid w:val="00567377"/>
    <w:rsid w:val="005900FD"/>
    <w:rsid w:val="00595E2F"/>
    <w:rsid w:val="005A02CD"/>
    <w:rsid w:val="005A6135"/>
    <w:rsid w:val="005A7EF0"/>
    <w:rsid w:val="005B1257"/>
    <w:rsid w:val="005B530D"/>
    <w:rsid w:val="005B5592"/>
    <w:rsid w:val="005C731A"/>
    <w:rsid w:val="005F77C4"/>
    <w:rsid w:val="006046D0"/>
    <w:rsid w:val="00624886"/>
    <w:rsid w:val="00625B3F"/>
    <w:rsid w:val="006350A0"/>
    <w:rsid w:val="0063598B"/>
    <w:rsid w:val="00637BB3"/>
    <w:rsid w:val="00651E3A"/>
    <w:rsid w:val="0067422E"/>
    <w:rsid w:val="00686B95"/>
    <w:rsid w:val="00697681"/>
    <w:rsid w:val="006D79E2"/>
    <w:rsid w:val="006E3998"/>
    <w:rsid w:val="006E501E"/>
    <w:rsid w:val="006E71BB"/>
    <w:rsid w:val="006F604C"/>
    <w:rsid w:val="006F71C0"/>
    <w:rsid w:val="007071D3"/>
    <w:rsid w:val="0072228F"/>
    <w:rsid w:val="00740142"/>
    <w:rsid w:val="00742375"/>
    <w:rsid w:val="00744C71"/>
    <w:rsid w:val="00744EA4"/>
    <w:rsid w:val="007474BB"/>
    <w:rsid w:val="00750BC4"/>
    <w:rsid w:val="00753CBD"/>
    <w:rsid w:val="007704E6"/>
    <w:rsid w:val="007711A7"/>
    <w:rsid w:val="007B4328"/>
    <w:rsid w:val="007D7BBB"/>
    <w:rsid w:val="007F6CF6"/>
    <w:rsid w:val="00801C01"/>
    <w:rsid w:val="00803948"/>
    <w:rsid w:val="00827019"/>
    <w:rsid w:val="00830E04"/>
    <w:rsid w:val="00847D9A"/>
    <w:rsid w:val="008617B1"/>
    <w:rsid w:val="0087041C"/>
    <w:rsid w:val="00875429"/>
    <w:rsid w:val="00880312"/>
    <w:rsid w:val="0088565C"/>
    <w:rsid w:val="00885F9C"/>
    <w:rsid w:val="00890FBC"/>
    <w:rsid w:val="00896883"/>
    <w:rsid w:val="008B4B1A"/>
    <w:rsid w:val="008B4DDB"/>
    <w:rsid w:val="008C0D56"/>
    <w:rsid w:val="008D2EE7"/>
    <w:rsid w:val="008E2661"/>
    <w:rsid w:val="008E63B2"/>
    <w:rsid w:val="008F143C"/>
    <w:rsid w:val="0091261D"/>
    <w:rsid w:val="0091538C"/>
    <w:rsid w:val="0092352A"/>
    <w:rsid w:val="00923EFF"/>
    <w:rsid w:val="00933604"/>
    <w:rsid w:val="0093605C"/>
    <w:rsid w:val="00940E21"/>
    <w:rsid w:val="00963CA8"/>
    <w:rsid w:val="00967B2E"/>
    <w:rsid w:val="009A01D0"/>
    <w:rsid w:val="009B445F"/>
    <w:rsid w:val="009C1899"/>
    <w:rsid w:val="009C3F72"/>
    <w:rsid w:val="009C5F81"/>
    <w:rsid w:val="009C7DF2"/>
    <w:rsid w:val="009E69CE"/>
    <w:rsid w:val="009F2172"/>
    <w:rsid w:val="009F2AF8"/>
    <w:rsid w:val="00A05307"/>
    <w:rsid w:val="00A0792C"/>
    <w:rsid w:val="00A17A6A"/>
    <w:rsid w:val="00A30252"/>
    <w:rsid w:val="00A30F4F"/>
    <w:rsid w:val="00A450E8"/>
    <w:rsid w:val="00A54B4F"/>
    <w:rsid w:val="00A672CF"/>
    <w:rsid w:val="00A9015F"/>
    <w:rsid w:val="00A92B06"/>
    <w:rsid w:val="00AA4524"/>
    <w:rsid w:val="00AB2780"/>
    <w:rsid w:val="00AC38B5"/>
    <w:rsid w:val="00AC4DBD"/>
    <w:rsid w:val="00AD30D2"/>
    <w:rsid w:val="00AE05EA"/>
    <w:rsid w:val="00B007F0"/>
    <w:rsid w:val="00B10AD2"/>
    <w:rsid w:val="00B13FB0"/>
    <w:rsid w:val="00B17D6F"/>
    <w:rsid w:val="00B21A4C"/>
    <w:rsid w:val="00B25DE3"/>
    <w:rsid w:val="00B42EA7"/>
    <w:rsid w:val="00B50DE0"/>
    <w:rsid w:val="00B54382"/>
    <w:rsid w:val="00B603C3"/>
    <w:rsid w:val="00B75E4F"/>
    <w:rsid w:val="00B76538"/>
    <w:rsid w:val="00B81199"/>
    <w:rsid w:val="00B81D28"/>
    <w:rsid w:val="00B82406"/>
    <w:rsid w:val="00B851E5"/>
    <w:rsid w:val="00B8704E"/>
    <w:rsid w:val="00B95D55"/>
    <w:rsid w:val="00BA2D02"/>
    <w:rsid w:val="00BB22FA"/>
    <w:rsid w:val="00BC533F"/>
    <w:rsid w:val="00BD4517"/>
    <w:rsid w:val="00BD63E9"/>
    <w:rsid w:val="00BE48D9"/>
    <w:rsid w:val="00BE6161"/>
    <w:rsid w:val="00BE62C6"/>
    <w:rsid w:val="00BE7F3E"/>
    <w:rsid w:val="00BF1BB1"/>
    <w:rsid w:val="00BF4959"/>
    <w:rsid w:val="00BF674A"/>
    <w:rsid w:val="00C023FF"/>
    <w:rsid w:val="00C1057B"/>
    <w:rsid w:val="00C11008"/>
    <w:rsid w:val="00C16153"/>
    <w:rsid w:val="00C17373"/>
    <w:rsid w:val="00C23FDF"/>
    <w:rsid w:val="00C55858"/>
    <w:rsid w:val="00C72A0E"/>
    <w:rsid w:val="00C80A9C"/>
    <w:rsid w:val="00C814BB"/>
    <w:rsid w:val="00C907BD"/>
    <w:rsid w:val="00C97345"/>
    <w:rsid w:val="00CA02AE"/>
    <w:rsid w:val="00CA1B6D"/>
    <w:rsid w:val="00CA2825"/>
    <w:rsid w:val="00CA62AF"/>
    <w:rsid w:val="00CB0AF9"/>
    <w:rsid w:val="00CB1AD8"/>
    <w:rsid w:val="00CB2EB7"/>
    <w:rsid w:val="00CB534C"/>
    <w:rsid w:val="00CC629E"/>
    <w:rsid w:val="00CD7305"/>
    <w:rsid w:val="00CF081D"/>
    <w:rsid w:val="00CF1450"/>
    <w:rsid w:val="00CF6546"/>
    <w:rsid w:val="00D02E08"/>
    <w:rsid w:val="00D07445"/>
    <w:rsid w:val="00D12DEE"/>
    <w:rsid w:val="00D15998"/>
    <w:rsid w:val="00D32A9F"/>
    <w:rsid w:val="00D33188"/>
    <w:rsid w:val="00D3613B"/>
    <w:rsid w:val="00D403BB"/>
    <w:rsid w:val="00D447DB"/>
    <w:rsid w:val="00D4495E"/>
    <w:rsid w:val="00D6712A"/>
    <w:rsid w:val="00D9741D"/>
    <w:rsid w:val="00DA0D15"/>
    <w:rsid w:val="00DA161D"/>
    <w:rsid w:val="00DB3455"/>
    <w:rsid w:val="00DB354F"/>
    <w:rsid w:val="00DB5A2D"/>
    <w:rsid w:val="00DB6C09"/>
    <w:rsid w:val="00DC4D02"/>
    <w:rsid w:val="00DD6A38"/>
    <w:rsid w:val="00DE7639"/>
    <w:rsid w:val="00DF66E9"/>
    <w:rsid w:val="00E15452"/>
    <w:rsid w:val="00E1707F"/>
    <w:rsid w:val="00E30E2D"/>
    <w:rsid w:val="00E311EA"/>
    <w:rsid w:val="00E31D92"/>
    <w:rsid w:val="00E35EED"/>
    <w:rsid w:val="00E46985"/>
    <w:rsid w:val="00E47B73"/>
    <w:rsid w:val="00E533A3"/>
    <w:rsid w:val="00E54241"/>
    <w:rsid w:val="00E57EB8"/>
    <w:rsid w:val="00E67F5E"/>
    <w:rsid w:val="00E80C14"/>
    <w:rsid w:val="00E85C49"/>
    <w:rsid w:val="00E86D86"/>
    <w:rsid w:val="00E96A5E"/>
    <w:rsid w:val="00EA444C"/>
    <w:rsid w:val="00EA5D4A"/>
    <w:rsid w:val="00EB797F"/>
    <w:rsid w:val="00EC2E8A"/>
    <w:rsid w:val="00EC419D"/>
    <w:rsid w:val="00ED0E24"/>
    <w:rsid w:val="00EE023E"/>
    <w:rsid w:val="00EE2013"/>
    <w:rsid w:val="00EE33D1"/>
    <w:rsid w:val="00EE79B1"/>
    <w:rsid w:val="00F037AE"/>
    <w:rsid w:val="00F57978"/>
    <w:rsid w:val="00F66CAB"/>
    <w:rsid w:val="00F82583"/>
    <w:rsid w:val="00F87604"/>
    <w:rsid w:val="00F9371C"/>
    <w:rsid w:val="00F96C64"/>
    <w:rsid w:val="00FA4401"/>
    <w:rsid w:val="00FB5898"/>
    <w:rsid w:val="00FC2DAB"/>
    <w:rsid w:val="00FD5B7D"/>
    <w:rsid w:val="00FE6E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648AA"/>
  <w15:chartTrackingRefBased/>
  <w15:docId w15:val="{B34AC8A8-32EB-4198-AB24-A9F82EB6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A33"/>
    <w:pPr>
      <w:keepNext/>
      <w:spacing w:before="240" w:after="240"/>
      <w:jc w:val="center"/>
      <w:outlineLvl w:val="0"/>
    </w:pPr>
    <w:rPr>
      <w:rFonts w:ascii="Times New Roman" w:eastAsia="DengXian" w:hAnsi="Times New Roman" w:cs="Times New Roman"/>
      <w:b/>
      <w:bCs/>
      <w:kern w:val="32"/>
      <w:sz w:val="32"/>
      <w:szCs w:val="32"/>
    </w:rPr>
  </w:style>
  <w:style w:type="paragraph" w:styleId="Heading2">
    <w:name w:val="heading 2"/>
    <w:basedOn w:val="Normal"/>
    <w:next w:val="Normal"/>
    <w:link w:val="Heading2Char"/>
    <w:uiPriority w:val="9"/>
    <w:unhideWhenUsed/>
    <w:qFormat/>
    <w:rsid w:val="000E5A33"/>
    <w:pPr>
      <w:keepNext/>
      <w:spacing w:before="240" w:after="60"/>
      <w:outlineLvl w:val="1"/>
    </w:pPr>
    <w:rPr>
      <w:rFonts w:ascii="Times New Roman" w:eastAsia="DengXian Light" w:hAnsi="Times New Roman" w:cs="Times New Roman"/>
      <w:b/>
      <w:bCs/>
      <w:iCs/>
      <w:sz w:val="28"/>
      <w:szCs w:val="28"/>
    </w:rPr>
  </w:style>
  <w:style w:type="paragraph" w:styleId="Heading3">
    <w:name w:val="heading 3"/>
    <w:basedOn w:val="Normal"/>
    <w:next w:val="Normal"/>
    <w:link w:val="Heading3Char"/>
    <w:uiPriority w:val="9"/>
    <w:unhideWhenUsed/>
    <w:qFormat/>
    <w:rsid w:val="003C70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C70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4886"/>
    <w:rPr>
      <w:rFonts w:cs="Times New Roman"/>
      <w:sz w:val="16"/>
      <w:szCs w:val="16"/>
    </w:rPr>
  </w:style>
  <w:style w:type="paragraph" w:styleId="CommentText">
    <w:name w:val="annotation text"/>
    <w:basedOn w:val="Normal"/>
    <w:link w:val="CommentTextChar"/>
    <w:uiPriority w:val="99"/>
    <w:unhideWhenUsed/>
    <w:rsid w:val="00624886"/>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624886"/>
    <w:rPr>
      <w:rFonts w:eastAsia="Times New Roman" w:cs="Times New Roman"/>
      <w:sz w:val="20"/>
      <w:szCs w:val="20"/>
    </w:rPr>
  </w:style>
  <w:style w:type="paragraph" w:styleId="FootnoteText">
    <w:name w:val="footnote text"/>
    <w:basedOn w:val="Normal"/>
    <w:link w:val="FootnoteTextChar"/>
    <w:uiPriority w:val="99"/>
    <w:semiHidden/>
    <w:unhideWhenUsed/>
    <w:rsid w:val="00624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86"/>
    <w:rPr>
      <w:sz w:val="20"/>
      <w:szCs w:val="20"/>
    </w:rPr>
  </w:style>
  <w:style w:type="character" w:styleId="FootnoteReference">
    <w:name w:val="footnote reference"/>
    <w:uiPriority w:val="99"/>
    <w:unhideWhenUsed/>
    <w:rsid w:val="00624886"/>
    <w:rPr>
      <w:vertAlign w:val="superscript"/>
    </w:rPr>
  </w:style>
  <w:style w:type="character" w:customStyle="1" w:styleId="Heading1Char">
    <w:name w:val="Heading 1 Char"/>
    <w:basedOn w:val="DefaultParagraphFont"/>
    <w:link w:val="Heading1"/>
    <w:uiPriority w:val="9"/>
    <w:rsid w:val="000E5A33"/>
    <w:rPr>
      <w:rFonts w:ascii="Times New Roman" w:eastAsia="DengXian" w:hAnsi="Times New Roman" w:cs="Times New Roman"/>
      <w:b/>
      <w:bCs/>
      <w:kern w:val="32"/>
      <w:sz w:val="32"/>
      <w:szCs w:val="32"/>
    </w:rPr>
  </w:style>
  <w:style w:type="character" w:customStyle="1" w:styleId="Heading2Char">
    <w:name w:val="Heading 2 Char"/>
    <w:basedOn w:val="DefaultParagraphFont"/>
    <w:link w:val="Heading2"/>
    <w:uiPriority w:val="9"/>
    <w:rsid w:val="000E5A33"/>
    <w:rPr>
      <w:rFonts w:ascii="Times New Roman" w:eastAsia="DengXian Light" w:hAnsi="Times New Roman" w:cs="Times New Roman"/>
      <w:b/>
      <w:bCs/>
      <w:iCs/>
      <w:sz w:val="28"/>
      <w:szCs w:val="28"/>
    </w:rPr>
  </w:style>
  <w:style w:type="numbering" w:customStyle="1" w:styleId="NoList1">
    <w:name w:val="No List1"/>
    <w:next w:val="NoList"/>
    <w:uiPriority w:val="99"/>
    <w:semiHidden/>
    <w:unhideWhenUsed/>
    <w:rsid w:val="00744EA4"/>
  </w:style>
  <w:style w:type="paragraph" w:styleId="Footer">
    <w:name w:val="footer"/>
    <w:basedOn w:val="Normal"/>
    <w:link w:val="FooterChar"/>
    <w:uiPriority w:val="99"/>
    <w:unhideWhenUsed/>
    <w:rsid w:val="00744EA4"/>
    <w:pPr>
      <w:tabs>
        <w:tab w:val="center" w:pos="4513"/>
        <w:tab w:val="right" w:pos="9026"/>
      </w:tabs>
    </w:pPr>
    <w:rPr>
      <w:rFonts w:ascii="Calibri" w:eastAsia="Times New Roman" w:hAnsi="Calibri" w:cs="Times New Roman"/>
    </w:rPr>
  </w:style>
  <w:style w:type="character" w:customStyle="1" w:styleId="FooterChar">
    <w:name w:val="Footer Char"/>
    <w:basedOn w:val="DefaultParagraphFont"/>
    <w:link w:val="Footer"/>
    <w:uiPriority w:val="99"/>
    <w:rsid w:val="00744EA4"/>
    <w:rPr>
      <w:rFonts w:ascii="Calibri" w:eastAsia="Times New Roman" w:hAnsi="Calibri" w:cs="Times New Roman"/>
    </w:rPr>
  </w:style>
  <w:style w:type="character" w:customStyle="1" w:styleId="cf01">
    <w:name w:val="cf01"/>
    <w:rsid w:val="00744EA4"/>
    <w:rPr>
      <w:rFonts w:ascii="Segoe UI" w:hAnsi="Segoe UI"/>
      <w:sz w:val="18"/>
    </w:rPr>
  </w:style>
  <w:style w:type="paragraph" w:styleId="Header">
    <w:name w:val="header"/>
    <w:basedOn w:val="Normal"/>
    <w:link w:val="HeaderChar"/>
    <w:uiPriority w:val="99"/>
    <w:unhideWhenUsed/>
    <w:rsid w:val="00744EA4"/>
    <w:pPr>
      <w:tabs>
        <w:tab w:val="center" w:pos="4513"/>
        <w:tab w:val="right" w:pos="9026"/>
      </w:tabs>
    </w:pPr>
    <w:rPr>
      <w:rFonts w:ascii="Calibri" w:eastAsia="DengXian" w:hAnsi="Calibri" w:cs="Times New Roman"/>
    </w:rPr>
  </w:style>
  <w:style w:type="character" w:customStyle="1" w:styleId="HeaderChar">
    <w:name w:val="Header Char"/>
    <w:basedOn w:val="DefaultParagraphFont"/>
    <w:link w:val="Header"/>
    <w:uiPriority w:val="99"/>
    <w:rsid w:val="00744EA4"/>
    <w:rPr>
      <w:rFonts w:ascii="Calibri" w:eastAsia="DengXian" w:hAnsi="Calibri" w:cs="Times New Roman"/>
    </w:rPr>
  </w:style>
  <w:style w:type="paragraph" w:styleId="ListParagraph">
    <w:name w:val="List Paragraph"/>
    <w:basedOn w:val="Normal"/>
    <w:uiPriority w:val="34"/>
    <w:qFormat/>
    <w:rsid w:val="00744EA4"/>
    <w:pPr>
      <w:ind w:left="720"/>
      <w:contextualSpacing/>
    </w:pPr>
    <w:rPr>
      <w:rFonts w:ascii="Calibri" w:eastAsia="DengXian" w:hAnsi="Calibri" w:cs="Times New Roman"/>
    </w:rPr>
  </w:style>
  <w:style w:type="table" w:styleId="TableGrid">
    <w:name w:val="Table Grid"/>
    <w:basedOn w:val="TableNormal"/>
    <w:uiPriority w:val="39"/>
    <w:rsid w:val="00744EA4"/>
    <w:pPr>
      <w:spacing w:after="0" w:line="240" w:lineRule="auto"/>
    </w:pPr>
    <w:rPr>
      <w:rFonts w:ascii="Calibri" w:eastAsia="DengXi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44EA4"/>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4EA4"/>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4EA4"/>
    <w:pPr>
      <w:spacing w:after="0" w:line="240" w:lineRule="auto"/>
    </w:pPr>
    <w:rPr>
      <w:rFonts w:ascii="Calibri" w:eastAsia="DengXian" w:hAnsi="Calibri" w:cs="Times New Roman"/>
    </w:rPr>
  </w:style>
  <w:style w:type="paragraph" w:styleId="CommentSubject">
    <w:name w:val="annotation subject"/>
    <w:basedOn w:val="CommentText"/>
    <w:next w:val="CommentText"/>
    <w:link w:val="CommentSubjectChar"/>
    <w:uiPriority w:val="99"/>
    <w:semiHidden/>
    <w:unhideWhenUsed/>
    <w:rsid w:val="00744EA4"/>
    <w:pPr>
      <w:spacing w:line="259" w:lineRule="auto"/>
    </w:pPr>
    <w:rPr>
      <w:rFonts w:ascii="Calibri" w:eastAsia="DengXian" w:hAnsi="Calibri"/>
      <w:b/>
      <w:bCs/>
    </w:rPr>
  </w:style>
  <w:style w:type="character" w:customStyle="1" w:styleId="CommentSubjectChar">
    <w:name w:val="Comment Subject Char"/>
    <w:basedOn w:val="CommentTextChar"/>
    <w:link w:val="CommentSubject"/>
    <w:uiPriority w:val="99"/>
    <w:semiHidden/>
    <w:rsid w:val="00744EA4"/>
    <w:rPr>
      <w:rFonts w:ascii="Calibri" w:eastAsia="DengXian" w:hAnsi="Calibri" w:cs="Times New Roman"/>
      <w:b/>
      <w:bCs/>
      <w:sz w:val="20"/>
      <w:szCs w:val="20"/>
    </w:rPr>
  </w:style>
  <w:style w:type="paragraph" w:styleId="BalloonText">
    <w:name w:val="Balloon Text"/>
    <w:basedOn w:val="Normal"/>
    <w:link w:val="BalloonTextChar"/>
    <w:uiPriority w:val="99"/>
    <w:semiHidden/>
    <w:unhideWhenUsed/>
    <w:rsid w:val="00744EA4"/>
    <w:pPr>
      <w:spacing w:after="0" w:line="240" w:lineRule="auto"/>
    </w:pPr>
    <w:rPr>
      <w:rFonts w:ascii="Segoe UI" w:eastAsia="DengXian" w:hAnsi="Segoe UI" w:cs="Segoe UI"/>
      <w:sz w:val="18"/>
      <w:szCs w:val="18"/>
    </w:rPr>
  </w:style>
  <w:style w:type="character" w:customStyle="1" w:styleId="BalloonTextChar">
    <w:name w:val="Balloon Text Char"/>
    <w:basedOn w:val="DefaultParagraphFont"/>
    <w:link w:val="BalloonText"/>
    <w:uiPriority w:val="99"/>
    <w:semiHidden/>
    <w:rsid w:val="00744EA4"/>
    <w:rPr>
      <w:rFonts w:ascii="Segoe UI" w:eastAsia="DengXian" w:hAnsi="Segoe UI" w:cs="Segoe UI"/>
      <w:sz w:val="18"/>
      <w:szCs w:val="18"/>
    </w:rPr>
  </w:style>
  <w:style w:type="character" w:styleId="Hyperlink">
    <w:name w:val="Hyperlink"/>
    <w:basedOn w:val="DefaultParagraphFont"/>
    <w:uiPriority w:val="99"/>
    <w:unhideWhenUsed/>
    <w:rsid w:val="00744EA4"/>
    <w:rPr>
      <w:color w:val="0000FF"/>
      <w:u w:val="single"/>
    </w:rPr>
  </w:style>
  <w:style w:type="paragraph" w:styleId="EndnoteText">
    <w:name w:val="endnote text"/>
    <w:basedOn w:val="Normal"/>
    <w:link w:val="EndnoteTextChar"/>
    <w:uiPriority w:val="99"/>
    <w:semiHidden/>
    <w:unhideWhenUsed/>
    <w:rsid w:val="00744EA4"/>
    <w:rPr>
      <w:rFonts w:ascii="Calibri" w:eastAsia="DengXian" w:hAnsi="Calibri" w:cs="Times New Roman"/>
      <w:sz w:val="20"/>
      <w:szCs w:val="20"/>
    </w:rPr>
  </w:style>
  <w:style w:type="character" w:customStyle="1" w:styleId="EndnoteTextChar">
    <w:name w:val="Endnote Text Char"/>
    <w:basedOn w:val="DefaultParagraphFont"/>
    <w:link w:val="EndnoteText"/>
    <w:uiPriority w:val="99"/>
    <w:semiHidden/>
    <w:rsid w:val="00744EA4"/>
    <w:rPr>
      <w:rFonts w:ascii="Calibri" w:eastAsia="DengXian" w:hAnsi="Calibri" w:cs="Times New Roman"/>
      <w:sz w:val="20"/>
      <w:szCs w:val="20"/>
    </w:rPr>
  </w:style>
  <w:style w:type="character" w:styleId="EndnoteReference">
    <w:name w:val="endnote reference"/>
    <w:basedOn w:val="DefaultParagraphFont"/>
    <w:uiPriority w:val="99"/>
    <w:semiHidden/>
    <w:unhideWhenUsed/>
    <w:rsid w:val="00744EA4"/>
    <w:rPr>
      <w:vertAlign w:val="superscript"/>
    </w:rPr>
  </w:style>
  <w:style w:type="character" w:styleId="PlaceholderText">
    <w:name w:val="Placeholder Text"/>
    <w:basedOn w:val="DefaultParagraphFont"/>
    <w:uiPriority w:val="99"/>
    <w:semiHidden/>
    <w:rsid w:val="00744EA4"/>
    <w:rPr>
      <w:color w:val="808080"/>
    </w:rPr>
  </w:style>
  <w:style w:type="character" w:styleId="UnresolvedMention">
    <w:name w:val="Unresolved Mention"/>
    <w:basedOn w:val="DefaultParagraphFont"/>
    <w:uiPriority w:val="99"/>
    <w:semiHidden/>
    <w:unhideWhenUsed/>
    <w:rsid w:val="00744EA4"/>
    <w:rPr>
      <w:rFonts w:cs="Times New Roman"/>
      <w:color w:val="605E5C"/>
      <w:shd w:val="clear" w:color="auto" w:fill="E1DFDD"/>
    </w:rPr>
  </w:style>
  <w:style w:type="numbering" w:customStyle="1" w:styleId="NoList2">
    <w:name w:val="No List2"/>
    <w:next w:val="NoList"/>
    <w:uiPriority w:val="99"/>
    <w:semiHidden/>
    <w:unhideWhenUsed/>
    <w:rsid w:val="00197BB6"/>
  </w:style>
  <w:style w:type="table" w:customStyle="1" w:styleId="TableGrid3">
    <w:name w:val="Table Grid3"/>
    <w:basedOn w:val="TableNormal"/>
    <w:next w:val="TableGrid"/>
    <w:uiPriority w:val="39"/>
    <w:rsid w:val="00197BB6"/>
    <w:pPr>
      <w:spacing w:after="0" w:line="240" w:lineRule="auto"/>
    </w:pPr>
    <w:rPr>
      <w:rFonts w:ascii="Calibri" w:eastAsia="DengXi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97BB6"/>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97BB6"/>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80312"/>
  </w:style>
  <w:style w:type="numbering" w:customStyle="1" w:styleId="NoList11">
    <w:name w:val="No List11"/>
    <w:next w:val="NoList"/>
    <w:uiPriority w:val="99"/>
    <w:semiHidden/>
    <w:unhideWhenUsed/>
    <w:rsid w:val="00880312"/>
  </w:style>
  <w:style w:type="table" w:customStyle="1" w:styleId="TableGrid4">
    <w:name w:val="Table Grid4"/>
    <w:basedOn w:val="TableNormal"/>
    <w:next w:val="TableGrid"/>
    <w:uiPriority w:val="39"/>
    <w:rsid w:val="00880312"/>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50E8"/>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4">
    <w:name w:val="No List4"/>
    <w:next w:val="NoList"/>
    <w:uiPriority w:val="99"/>
    <w:semiHidden/>
    <w:unhideWhenUsed/>
    <w:rsid w:val="00A9015F"/>
  </w:style>
  <w:style w:type="table" w:customStyle="1" w:styleId="TableGrid5">
    <w:name w:val="Table Grid5"/>
    <w:basedOn w:val="TableNormal"/>
    <w:next w:val="TableGrid"/>
    <w:uiPriority w:val="39"/>
    <w:rsid w:val="00A9015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11008"/>
  </w:style>
  <w:style w:type="paragraph" w:styleId="TOCHeading">
    <w:name w:val="TOC Heading"/>
    <w:basedOn w:val="Heading1"/>
    <w:next w:val="Normal"/>
    <w:uiPriority w:val="39"/>
    <w:unhideWhenUsed/>
    <w:qFormat/>
    <w:rsid w:val="000E5A33"/>
    <w:pPr>
      <w:keepLines/>
      <w:spacing w:after="0"/>
      <w:jc w:val="left"/>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B13FB0"/>
    <w:pPr>
      <w:tabs>
        <w:tab w:val="left" w:pos="440"/>
        <w:tab w:val="right" w:leader="dot" w:pos="9356"/>
      </w:tabs>
      <w:spacing w:after="100" w:line="480" w:lineRule="auto"/>
    </w:pPr>
    <w:rPr>
      <w:rFonts w:ascii="Times New Roman" w:hAnsi="Times New Roman" w:cs="Times New Roman"/>
      <w:smallCaps/>
      <w:noProof/>
      <w:sz w:val="28"/>
      <w:szCs w:val="28"/>
    </w:rPr>
  </w:style>
  <w:style w:type="paragraph" w:styleId="TOC2">
    <w:name w:val="toc 2"/>
    <w:basedOn w:val="Normal"/>
    <w:next w:val="Normal"/>
    <w:autoRedefine/>
    <w:uiPriority w:val="39"/>
    <w:unhideWhenUsed/>
    <w:rsid w:val="00CC629E"/>
    <w:pPr>
      <w:tabs>
        <w:tab w:val="left" w:pos="880"/>
        <w:tab w:val="right" w:leader="dot" w:pos="9356"/>
      </w:tabs>
      <w:spacing w:after="100" w:line="480" w:lineRule="auto"/>
      <w:ind w:left="284"/>
    </w:pPr>
    <w:rPr>
      <w:rFonts w:ascii="Times New Roman" w:hAnsi="Times New Roman" w:cs="Times New Roman"/>
      <w:noProof/>
      <w:sz w:val="24"/>
      <w:szCs w:val="24"/>
      <w:lang w:eastAsia="zh-CN"/>
    </w:rPr>
  </w:style>
  <w:style w:type="character" w:customStyle="1" w:styleId="Heading3Char">
    <w:name w:val="Heading 3 Char"/>
    <w:basedOn w:val="DefaultParagraphFont"/>
    <w:link w:val="Heading3"/>
    <w:uiPriority w:val="9"/>
    <w:rsid w:val="003C703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C7034"/>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CB0AF9"/>
    <w:pPr>
      <w:tabs>
        <w:tab w:val="right" w:leader="dot" w:pos="9356"/>
      </w:tabs>
      <w:spacing w:after="100" w:line="360" w:lineRule="auto"/>
      <w:ind w:left="851"/>
    </w:pPr>
    <w:rPr>
      <w:rFonts w:ascii="Times New Roman" w:hAnsi="Times New Roman" w:cs="Times New Roman"/>
      <w:noProof/>
      <w:sz w:val="24"/>
      <w:szCs w:val="24"/>
      <w:lang w:eastAsia="zh-CN"/>
    </w:rPr>
  </w:style>
  <w:style w:type="paragraph" w:styleId="Caption">
    <w:name w:val="caption"/>
    <w:basedOn w:val="Normal"/>
    <w:next w:val="Normal"/>
    <w:uiPriority w:val="35"/>
    <w:unhideWhenUsed/>
    <w:qFormat/>
    <w:rsid w:val="00CC629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C62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76">
      <w:bodyDiv w:val="1"/>
      <w:marLeft w:val="0"/>
      <w:marRight w:val="0"/>
      <w:marTop w:val="0"/>
      <w:marBottom w:val="0"/>
      <w:divBdr>
        <w:top w:val="none" w:sz="0" w:space="0" w:color="auto"/>
        <w:left w:val="none" w:sz="0" w:space="0" w:color="auto"/>
        <w:bottom w:val="none" w:sz="0" w:space="0" w:color="auto"/>
        <w:right w:val="none" w:sz="0" w:space="0" w:color="auto"/>
      </w:divBdr>
    </w:div>
    <w:div w:id="267930658">
      <w:bodyDiv w:val="1"/>
      <w:marLeft w:val="0"/>
      <w:marRight w:val="0"/>
      <w:marTop w:val="0"/>
      <w:marBottom w:val="0"/>
      <w:divBdr>
        <w:top w:val="none" w:sz="0" w:space="0" w:color="auto"/>
        <w:left w:val="none" w:sz="0" w:space="0" w:color="auto"/>
        <w:bottom w:val="none" w:sz="0" w:space="0" w:color="auto"/>
        <w:right w:val="none" w:sz="0" w:space="0" w:color="auto"/>
      </w:divBdr>
    </w:div>
    <w:div w:id="500700245">
      <w:bodyDiv w:val="1"/>
      <w:marLeft w:val="0"/>
      <w:marRight w:val="0"/>
      <w:marTop w:val="0"/>
      <w:marBottom w:val="0"/>
      <w:divBdr>
        <w:top w:val="none" w:sz="0" w:space="0" w:color="auto"/>
        <w:left w:val="none" w:sz="0" w:space="0" w:color="auto"/>
        <w:bottom w:val="none" w:sz="0" w:space="0" w:color="auto"/>
        <w:right w:val="none" w:sz="0" w:space="0" w:color="auto"/>
      </w:divBdr>
    </w:div>
    <w:div w:id="511380534">
      <w:bodyDiv w:val="1"/>
      <w:marLeft w:val="0"/>
      <w:marRight w:val="0"/>
      <w:marTop w:val="0"/>
      <w:marBottom w:val="0"/>
      <w:divBdr>
        <w:top w:val="none" w:sz="0" w:space="0" w:color="auto"/>
        <w:left w:val="none" w:sz="0" w:space="0" w:color="auto"/>
        <w:bottom w:val="none" w:sz="0" w:space="0" w:color="auto"/>
        <w:right w:val="none" w:sz="0" w:space="0" w:color="auto"/>
      </w:divBdr>
    </w:div>
    <w:div w:id="537814916">
      <w:bodyDiv w:val="1"/>
      <w:marLeft w:val="0"/>
      <w:marRight w:val="0"/>
      <w:marTop w:val="0"/>
      <w:marBottom w:val="0"/>
      <w:divBdr>
        <w:top w:val="none" w:sz="0" w:space="0" w:color="auto"/>
        <w:left w:val="none" w:sz="0" w:space="0" w:color="auto"/>
        <w:bottom w:val="none" w:sz="0" w:space="0" w:color="auto"/>
        <w:right w:val="none" w:sz="0" w:space="0" w:color="auto"/>
      </w:divBdr>
    </w:div>
    <w:div w:id="1304509343">
      <w:bodyDiv w:val="1"/>
      <w:marLeft w:val="0"/>
      <w:marRight w:val="0"/>
      <w:marTop w:val="0"/>
      <w:marBottom w:val="0"/>
      <w:divBdr>
        <w:top w:val="none" w:sz="0" w:space="0" w:color="auto"/>
        <w:left w:val="none" w:sz="0" w:space="0" w:color="auto"/>
        <w:bottom w:val="none" w:sz="0" w:space="0" w:color="auto"/>
        <w:right w:val="none" w:sz="0" w:space="0" w:color="auto"/>
      </w:divBdr>
    </w:div>
    <w:div w:id="1760177727">
      <w:bodyDiv w:val="1"/>
      <w:marLeft w:val="0"/>
      <w:marRight w:val="0"/>
      <w:marTop w:val="0"/>
      <w:marBottom w:val="0"/>
      <w:divBdr>
        <w:top w:val="none" w:sz="0" w:space="0" w:color="auto"/>
        <w:left w:val="none" w:sz="0" w:space="0" w:color="auto"/>
        <w:bottom w:val="none" w:sz="0" w:space="0" w:color="auto"/>
        <w:right w:val="none" w:sz="0" w:space="0" w:color="auto"/>
      </w:divBdr>
    </w:div>
    <w:div w:id="198261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www.ey.com/gl/en/industries/financial-services/banking---capital-markets/ey-shiftingfocu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tapestrynetworks.com/initatives.financial-services/bank-govenrance-leadershipnetwork"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inancialstabilityboard.org/publications/r_130212.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www.bis.org/bcbs/publ/d326.htm" TargetMode="External"/><Relationship Id="rId28"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8.sv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Ramsha%20Rashid%20Lone\Desktop\Thesis%20Submission\Ramshah_Test%20Submission2.docx" TargetMode="External"/><Relationship Id="rId14" Type="http://schemas.openxmlformats.org/officeDocument/2006/relationships/image" Target="media/image3.png"/><Relationship Id="rId22" Type="http://schemas.openxmlformats.org/officeDocument/2006/relationships/hyperlink" Target="http://www.financialstabilityboard.org/publications/r_130212.pdf" TargetMode="External"/><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amsha%20Rashid%20Lone\Desktop\Paper3\Data\Averages.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solidFill>
              </a:rPr>
              <a:t>Average Culture Score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'[Culture Chart_New.xls]Sheet1'!$B$2</c:f>
              <c:strCache>
                <c:ptCount val="1"/>
                <c:pt idx="0">
                  <c:v>Compete</c:v>
                </c:pt>
              </c:strCache>
            </c:strRef>
          </c:tx>
          <c:spPr>
            <a:solidFill>
              <a:schemeClr val="accent1"/>
            </a:solidFill>
            <a:ln>
              <a:noFill/>
            </a:ln>
            <a:effectLst/>
          </c:spPr>
          <c:invertIfNegative val="0"/>
          <c:cat>
            <c:numRef>
              <c:f>'[Culture Chart_New.xls]Sheet1'!$A$3:$A$17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'[Culture Chart_New.xls]Sheet1'!$B$3:$B$17</c:f>
              <c:numCache>
                <c:formatCode>General</c:formatCode>
                <c:ptCount val="15"/>
                <c:pt idx="0">
                  <c:v>2.8072699999999999</c:v>
                </c:pt>
                <c:pt idx="1">
                  <c:v>3.098684</c:v>
                </c:pt>
                <c:pt idx="2">
                  <c:v>3.330311</c:v>
                </c:pt>
                <c:pt idx="3">
                  <c:v>3.5700120000000002</c:v>
                </c:pt>
                <c:pt idx="4">
                  <c:v>4.1385230000000002</c:v>
                </c:pt>
                <c:pt idx="5">
                  <c:v>4.4658730000000002</c:v>
                </c:pt>
                <c:pt idx="6">
                  <c:v>4.809158</c:v>
                </c:pt>
                <c:pt idx="7">
                  <c:v>4.9274110000000002</c:v>
                </c:pt>
                <c:pt idx="8">
                  <c:v>5.2585470000000001</c:v>
                </c:pt>
                <c:pt idx="9">
                  <c:v>5.3836389999999996</c:v>
                </c:pt>
                <c:pt idx="10">
                  <c:v>5.4568989999999999</c:v>
                </c:pt>
                <c:pt idx="11">
                  <c:v>5.346819</c:v>
                </c:pt>
                <c:pt idx="12">
                  <c:v>5.3241899999999998</c:v>
                </c:pt>
                <c:pt idx="13">
                  <c:v>5.4555689999999997</c:v>
                </c:pt>
                <c:pt idx="14">
                  <c:v>5.6082929999999998</c:v>
                </c:pt>
              </c:numCache>
            </c:numRef>
          </c:val>
          <c:extLst>
            <c:ext xmlns:c16="http://schemas.microsoft.com/office/drawing/2014/chart" uri="{C3380CC4-5D6E-409C-BE32-E72D297353CC}">
              <c16:uniqueId val="{00000000-A0CE-43B1-A4B4-FA16A6A13375}"/>
            </c:ext>
          </c:extLst>
        </c:ser>
        <c:ser>
          <c:idx val="1"/>
          <c:order val="1"/>
          <c:tx>
            <c:strRef>
              <c:f>'[Culture Chart_New.xls]Sheet1'!$C$2</c:f>
              <c:strCache>
                <c:ptCount val="1"/>
                <c:pt idx="0">
                  <c:v>Create</c:v>
                </c:pt>
              </c:strCache>
            </c:strRef>
          </c:tx>
          <c:spPr>
            <a:solidFill>
              <a:schemeClr val="accent2"/>
            </a:solidFill>
            <a:ln>
              <a:noFill/>
            </a:ln>
            <a:effectLst/>
          </c:spPr>
          <c:invertIfNegative val="0"/>
          <c:cat>
            <c:numRef>
              <c:f>'[Culture Chart_New.xls]Sheet1'!$A$3:$A$17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'[Culture Chart_New.xls]Sheet1'!$C$3:$C$17</c:f>
              <c:numCache>
                <c:formatCode>General</c:formatCode>
                <c:ptCount val="15"/>
                <c:pt idx="0">
                  <c:v>5.6047190000000002</c:v>
                </c:pt>
                <c:pt idx="1">
                  <c:v>5.8920430000000001</c:v>
                </c:pt>
                <c:pt idx="2">
                  <c:v>6.2874530000000002</c:v>
                </c:pt>
                <c:pt idx="3">
                  <c:v>6.8652090000000001</c:v>
                </c:pt>
                <c:pt idx="4">
                  <c:v>8.2372409999999991</c:v>
                </c:pt>
                <c:pt idx="5">
                  <c:v>8.6536629999999999</c:v>
                </c:pt>
                <c:pt idx="6">
                  <c:v>8.7296700000000005</c:v>
                </c:pt>
                <c:pt idx="7">
                  <c:v>8.9243590000000008</c:v>
                </c:pt>
                <c:pt idx="8">
                  <c:v>9.5432229999999993</c:v>
                </c:pt>
                <c:pt idx="9">
                  <c:v>9.5745419999999992</c:v>
                </c:pt>
                <c:pt idx="10">
                  <c:v>9.7299760000000006</c:v>
                </c:pt>
                <c:pt idx="11">
                  <c:v>9.6960379999999997</c:v>
                </c:pt>
                <c:pt idx="12">
                  <c:v>9.6455579999999994</c:v>
                </c:pt>
                <c:pt idx="13">
                  <c:v>9.7583540000000006</c:v>
                </c:pt>
                <c:pt idx="14">
                  <c:v>10.15793</c:v>
                </c:pt>
              </c:numCache>
            </c:numRef>
          </c:val>
          <c:extLst>
            <c:ext xmlns:c16="http://schemas.microsoft.com/office/drawing/2014/chart" uri="{C3380CC4-5D6E-409C-BE32-E72D297353CC}">
              <c16:uniqueId val="{00000001-A0CE-43B1-A4B4-FA16A6A13375}"/>
            </c:ext>
          </c:extLst>
        </c:ser>
        <c:ser>
          <c:idx val="2"/>
          <c:order val="2"/>
          <c:tx>
            <c:strRef>
              <c:f>'[Culture Chart_New.xls]Sheet1'!$D$2</c:f>
              <c:strCache>
                <c:ptCount val="1"/>
                <c:pt idx="0">
                  <c:v>Control</c:v>
                </c:pt>
              </c:strCache>
            </c:strRef>
          </c:tx>
          <c:spPr>
            <a:solidFill>
              <a:schemeClr val="accent3"/>
            </a:solidFill>
            <a:ln>
              <a:noFill/>
            </a:ln>
            <a:effectLst/>
          </c:spPr>
          <c:invertIfNegative val="0"/>
          <c:cat>
            <c:numRef>
              <c:f>'[Culture Chart_New.xls]Sheet1'!$A$3:$A$17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'[Culture Chart_New.xls]Sheet1'!$D$3:$D$17</c:f>
              <c:numCache>
                <c:formatCode>General</c:formatCode>
                <c:ptCount val="15"/>
                <c:pt idx="0">
                  <c:v>3.0574620000000001</c:v>
                </c:pt>
                <c:pt idx="1">
                  <c:v>3.0572680000000001</c:v>
                </c:pt>
                <c:pt idx="2">
                  <c:v>3.2328570000000001</c:v>
                </c:pt>
                <c:pt idx="3">
                  <c:v>3.6920570000000001</c:v>
                </c:pt>
                <c:pt idx="4">
                  <c:v>4.7759460000000002</c:v>
                </c:pt>
                <c:pt idx="5">
                  <c:v>4.8657510000000004</c:v>
                </c:pt>
                <c:pt idx="6">
                  <c:v>4.7083640000000004</c:v>
                </c:pt>
                <c:pt idx="7">
                  <c:v>4.8010380000000001</c:v>
                </c:pt>
                <c:pt idx="8">
                  <c:v>5.1619659999999996</c:v>
                </c:pt>
                <c:pt idx="9">
                  <c:v>5.0713059999999999</c:v>
                </c:pt>
                <c:pt idx="10">
                  <c:v>5.1379729999999997</c:v>
                </c:pt>
                <c:pt idx="11">
                  <c:v>5.1178869999999996</c:v>
                </c:pt>
                <c:pt idx="12">
                  <c:v>5.0549819999999999</c:v>
                </c:pt>
                <c:pt idx="13">
                  <c:v>5.1939469999999996</c:v>
                </c:pt>
                <c:pt idx="14">
                  <c:v>5.3111990000000002</c:v>
                </c:pt>
              </c:numCache>
            </c:numRef>
          </c:val>
          <c:extLst>
            <c:ext xmlns:c16="http://schemas.microsoft.com/office/drawing/2014/chart" uri="{C3380CC4-5D6E-409C-BE32-E72D297353CC}">
              <c16:uniqueId val="{00000002-A0CE-43B1-A4B4-FA16A6A13375}"/>
            </c:ext>
          </c:extLst>
        </c:ser>
        <c:ser>
          <c:idx val="3"/>
          <c:order val="3"/>
          <c:tx>
            <c:strRef>
              <c:f>'[Culture Chart_New.xls]Sheet1'!$E$2</c:f>
              <c:strCache>
                <c:ptCount val="1"/>
                <c:pt idx="0">
                  <c:v>Collaborate</c:v>
                </c:pt>
              </c:strCache>
            </c:strRef>
          </c:tx>
          <c:spPr>
            <a:solidFill>
              <a:schemeClr val="accent4"/>
            </a:solidFill>
            <a:ln>
              <a:noFill/>
            </a:ln>
            <a:effectLst/>
          </c:spPr>
          <c:invertIfNegative val="0"/>
          <c:cat>
            <c:numRef>
              <c:f>'[Culture Chart_New.xls]Sheet1'!$A$3:$A$17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'[Culture Chart_New.xls]Sheet1'!$E$3:$E$17</c:f>
              <c:numCache>
                <c:formatCode>General</c:formatCode>
                <c:ptCount val="15"/>
                <c:pt idx="0">
                  <c:v>2.657143</c:v>
                </c:pt>
                <c:pt idx="1">
                  <c:v>2.7314539999999998</c:v>
                </c:pt>
                <c:pt idx="2">
                  <c:v>2.9542860000000002</c:v>
                </c:pt>
                <c:pt idx="3">
                  <c:v>3.2710590000000002</c:v>
                </c:pt>
                <c:pt idx="4">
                  <c:v>3.878755</c:v>
                </c:pt>
                <c:pt idx="5">
                  <c:v>4.1195360000000001</c:v>
                </c:pt>
                <c:pt idx="6">
                  <c:v>4.0815020000000004</c:v>
                </c:pt>
                <c:pt idx="7">
                  <c:v>4.1645909999999997</c:v>
                </c:pt>
                <c:pt idx="8">
                  <c:v>4.4426129999999997</c:v>
                </c:pt>
                <c:pt idx="9">
                  <c:v>4.5089129999999997</c:v>
                </c:pt>
                <c:pt idx="10">
                  <c:v>4.5821730000000001</c:v>
                </c:pt>
                <c:pt idx="11">
                  <c:v>4.6469990000000001</c:v>
                </c:pt>
                <c:pt idx="12">
                  <c:v>4.6213689999999996</c:v>
                </c:pt>
                <c:pt idx="13">
                  <c:v>4.7092010000000002</c:v>
                </c:pt>
                <c:pt idx="14">
                  <c:v>4.8878329999999997</c:v>
                </c:pt>
              </c:numCache>
            </c:numRef>
          </c:val>
          <c:extLst>
            <c:ext xmlns:c16="http://schemas.microsoft.com/office/drawing/2014/chart" uri="{C3380CC4-5D6E-409C-BE32-E72D297353CC}">
              <c16:uniqueId val="{00000003-A0CE-43B1-A4B4-FA16A6A13375}"/>
            </c:ext>
          </c:extLst>
        </c:ser>
        <c:dLbls>
          <c:showLegendKey val="0"/>
          <c:showVal val="0"/>
          <c:showCatName val="0"/>
          <c:showSerName val="0"/>
          <c:showPercent val="0"/>
          <c:showBubbleSize val="0"/>
        </c:dLbls>
        <c:gapWidth val="219"/>
        <c:overlap val="-27"/>
        <c:axId val="706012528"/>
        <c:axId val="706012944"/>
      </c:barChart>
      <c:catAx>
        <c:axId val="70601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12944"/>
        <c:crosses val="autoZero"/>
        <c:auto val="1"/>
        <c:lblAlgn val="ctr"/>
        <c:lblOffset val="100"/>
        <c:noMultiLvlLbl val="0"/>
      </c:catAx>
      <c:valAx>
        <c:axId val="70601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1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1"/>
                </a:solidFill>
              </a:rPr>
              <a:t>Number</a:t>
            </a:r>
            <a:r>
              <a:rPr lang="en-GB" b="1" baseline="0">
                <a:solidFill>
                  <a:schemeClr val="accent1"/>
                </a:solidFill>
              </a:rPr>
              <a:t> of banks over the Year</a:t>
            </a:r>
            <a:endParaRPr lang="en-GB" b="1">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'[Culture Chart_New.xls]Sheet2'!$B$2</c:f>
              <c:strCache>
                <c:ptCount val="1"/>
                <c:pt idx="0">
                  <c:v>Create</c:v>
                </c:pt>
              </c:strCache>
            </c:strRef>
          </c:tx>
          <c:spPr>
            <a:ln w="19050" cap="rnd">
              <a:solidFill>
                <a:schemeClr val="accent1"/>
              </a:solidFill>
              <a:round/>
            </a:ln>
            <a:effectLst/>
          </c:spPr>
          <c:marker>
            <c:symbol val="none"/>
          </c:marker>
          <c:xVal>
            <c:numRef>
              <c:f>'[Culture Chart_New.xls]Sheet2'!$A$3:$A$18</c:f>
              <c:numCache>
                <c:formatCode>General</c:formatCode>
                <c:ptCount val="16"/>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xVal>
          <c:yVal>
            <c:numRef>
              <c:f>'[Culture Chart_New.xls]Sheet2'!$B$3:$B$18</c:f>
              <c:numCache>
                <c:formatCode>General</c:formatCode>
                <c:ptCount val="16"/>
                <c:pt idx="1">
                  <c:v>25</c:v>
                </c:pt>
                <c:pt idx="2">
                  <c:v>25</c:v>
                </c:pt>
                <c:pt idx="3">
                  <c:v>25</c:v>
                </c:pt>
                <c:pt idx="4">
                  <c:v>26</c:v>
                </c:pt>
                <c:pt idx="5">
                  <c:v>26</c:v>
                </c:pt>
                <c:pt idx="6">
                  <c:v>26</c:v>
                </c:pt>
                <c:pt idx="7">
                  <c:v>26</c:v>
                </c:pt>
                <c:pt idx="8">
                  <c:v>26</c:v>
                </c:pt>
                <c:pt idx="9">
                  <c:v>26</c:v>
                </c:pt>
                <c:pt idx="10">
                  <c:v>26</c:v>
                </c:pt>
                <c:pt idx="11">
                  <c:v>26</c:v>
                </c:pt>
                <c:pt idx="12">
                  <c:v>26</c:v>
                </c:pt>
                <c:pt idx="13">
                  <c:v>26</c:v>
                </c:pt>
                <c:pt idx="14">
                  <c:v>26</c:v>
                </c:pt>
                <c:pt idx="15">
                  <c:v>26</c:v>
                </c:pt>
              </c:numCache>
            </c:numRef>
          </c:yVal>
          <c:smooth val="1"/>
          <c:extLst>
            <c:ext xmlns:c16="http://schemas.microsoft.com/office/drawing/2014/chart" uri="{C3380CC4-5D6E-409C-BE32-E72D297353CC}">
              <c16:uniqueId val="{00000000-6524-494E-948B-4A3EA5BC572E}"/>
            </c:ext>
          </c:extLst>
        </c:ser>
        <c:ser>
          <c:idx val="1"/>
          <c:order val="1"/>
          <c:tx>
            <c:strRef>
              <c:f>'[Culture Chart_New.xls]Sheet2'!$C$2</c:f>
              <c:strCache>
                <c:ptCount val="1"/>
                <c:pt idx="0">
                  <c:v>Compete</c:v>
                </c:pt>
              </c:strCache>
            </c:strRef>
          </c:tx>
          <c:spPr>
            <a:ln w="19050" cap="rnd">
              <a:solidFill>
                <a:schemeClr val="accent2"/>
              </a:solidFill>
              <a:round/>
            </a:ln>
            <a:effectLst/>
          </c:spPr>
          <c:marker>
            <c:symbol val="none"/>
          </c:marker>
          <c:xVal>
            <c:numRef>
              <c:f>'[Culture Chart_New.xls]Sheet2'!$A$3:$A$18</c:f>
              <c:numCache>
                <c:formatCode>General</c:formatCode>
                <c:ptCount val="16"/>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xVal>
          <c:yVal>
            <c:numRef>
              <c:f>'[Culture Chart_New.xls]Sheet2'!$C$3:$C$18</c:f>
              <c:numCache>
                <c:formatCode>General</c:formatCode>
                <c:ptCount val="16"/>
                <c:pt idx="1">
                  <c:v>25</c:v>
                </c:pt>
                <c:pt idx="2">
                  <c:v>25</c:v>
                </c:pt>
                <c:pt idx="3">
                  <c:v>25</c:v>
                </c:pt>
                <c:pt idx="4">
                  <c:v>26</c:v>
                </c:pt>
                <c:pt idx="5">
                  <c:v>26</c:v>
                </c:pt>
                <c:pt idx="6">
                  <c:v>26</c:v>
                </c:pt>
                <c:pt idx="7">
                  <c:v>26</c:v>
                </c:pt>
                <c:pt idx="8">
                  <c:v>26</c:v>
                </c:pt>
                <c:pt idx="9">
                  <c:v>26</c:v>
                </c:pt>
                <c:pt idx="10">
                  <c:v>26</c:v>
                </c:pt>
                <c:pt idx="11">
                  <c:v>26</c:v>
                </c:pt>
                <c:pt idx="12">
                  <c:v>26</c:v>
                </c:pt>
                <c:pt idx="13">
                  <c:v>26</c:v>
                </c:pt>
                <c:pt idx="14">
                  <c:v>26</c:v>
                </c:pt>
                <c:pt idx="15">
                  <c:v>26</c:v>
                </c:pt>
              </c:numCache>
            </c:numRef>
          </c:yVal>
          <c:smooth val="1"/>
          <c:extLst>
            <c:ext xmlns:c16="http://schemas.microsoft.com/office/drawing/2014/chart" uri="{C3380CC4-5D6E-409C-BE32-E72D297353CC}">
              <c16:uniqueId val="{00000001-6524-494E-948B-4A3EA5BC572E}"/>
            </c:ext>
          </c:extLst>
        </c:ser>
        <c:ser>
          <c:idx val="2"/>
          <c:order val="2"/>
          <c:tx>
            <c:strRef>
              <c:f>'[Culture Chart_New.xls]Sheet2'!$D$2</c:f>
              <c:strCache>
                <c:ptCount val="1"/>
                <c:pt idx="0">
                  <c:v>Collaborate</c:v>
                </c:pt>
              </c:strCache>
            </c:strRef>
          </c:tx>
          <c:spPr>
            <a:ln w="19050" cap="rnd">
              <a:solidFill>
                <a:schemeClr val="accent3"/>
              </a:solidFill>
              <a:round/>
            </a:ln>
            <a:effectLst/>
          </c:spPr>
          <c:marker>
            <c:symbol val="none"/>
          </c:marker>
          <c:xVal>
            <c:numRef>
              <c:f>'[Culture Chart_New.xls]Sheet2'!$A$3:$A$18</c:f>
              <c:numCache>
                <c:formatCode>General</c:formatCode>
                <c:ptCount val="16"/>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xVal>
          <c:yVal>
            <c:numRef>
              <c:f>'[Culture Chart_New.xls]Sheet2'!$D$3:$D$18</c:f>
              <c:numCache>
                <c:formatCode>General</c:formatCode>
                <c:ptCount val="16"/>
                <c:pt idx="1">
                  <c:v>28</c:v>
                </c:pt>
                <c:pt idx="2">
                  <c:v>28</c:v>
                </c:pt>
                <c:pt idx="3">
                  <c:v>29</c:v>
                </c:pt>
                <c:pt idx="4">
                  <c:v>29</c:v>
                </c:pt>
                <c:pt idx="5">
                  <c:v>29</c:v>
                </c:pt>
                <c:pt idx="6">
                  <c:v>29</c:v>
                </c:pt>
                <c:pt idx="7">
                  <c:v>29</c:v>
                </c:pt>
                <c:pt idx="8">
                  <c:v>29</c:v>
                </c:pt>
                <c:pt idx="9">
                  <c:v>29</c:v>
                </c:pt>
                <c:pt idx="10">
                  <c:v>29</c:v>
                </c:pt>
                <c:pt idx="11">
                  <c:v>29</c:v>
                </c:pt>
                <c:pt idx="12">
                  <c:v>29</c:v>
                </c:pt>
                <c:pt idx="13">
                  <c:v>29</c:v>
                </c:pt>
                <c:pt idx="14">
                  <c:v>29</c:v>
                </c:pt>
                <c:pt idx="15">
                  <c:v>29</c:v>
                </c:pt>
              </c:numCache>
            </c:numRef>
          </c:yVal>
          <c:smooth val="1"/>
          <c:extLst>
            <c:ext xmlns:c16="http://schemas.microsoft.com/office/drawing/2014/chart" uri="{C3380CC4-5D6E-409C-BE32-E72D297353CC}">
              <c16:uniqueId val="{00000002-6524-494E-948B-4A3EA5BC572E}"/>
            </c:ext>
          </c:extLst>
        </c:ser>
        <c:ser>
          <c:idx val="3"/>
          <c:order val="3"/>
          <c:tx>
            <c:strRef>
              <c:f>'[Culture Chart_New.xls]Sheet2'!$E$2</c:f>
              <c:strCache>
                <c:ptCount val="1"/>
                <c:pt idx="0">
                  <c:v>Control</c:v>
                </c:pt>
              </c:strCache>
            </c:strRef>
          </c:tx>
          <c:spPr>
            <a:ln w="19050" cap="rnd">
              <a:solidFill>
                <a:schemeClr val="accent4"/>
              </a:solidFill>
              <a:round/>
            </a:ln>
            <a:effectLst/>
          </c:spPr>
          <c:marker>
            <c:symbol val="none"/>
          </c:marker>
          <c:xVal>
            <c:numRef>
              <c:f>'[Culture Chart_New.xls]Sheet2'!$A$3:$A$18</c:f>
              <c:numCache>
                <c:formatCode>General</c:formatCode>
                <c:ptCount val="16"/>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xVal>
          <c:yVal>
            <c:numRef>
              <c:f>'[Culture Chart_New.xls]Sheet2'!$E$3:$E$18</c:f>
              <c:numCache>
                <c:formatCode>General</c:formatCode>
                <c:ptCount val="16"/>
                <c:pt idx="1">
                  <c:v>29</c:v>
                </c:pt>
                <c:pt idx="2">
                  <c:v>29</c:v>
                </c:pt>
                <c:pt idx="3">
                  <c:v>29</c:v>
                </c:pt>
                <c:pt idx="4">
                  <c:v>29</c:v>
                </c:pt>
                <c:pt idx="5">
                  <c:v>29</c:v>
                </c:pt>
                <c:pt idx="6">
                  <c:v>29</c:v>
                </c:pt>
                <c:pt idx="7">
                  <c:v>29</c:v>
                </c:pt>
                <c:pt idx="8">
                  <c:v>29</c:v>
                </c:pt>
                <c:pt idx="9">
                  <c:v>29</c:v>
                </c:pt>
                <c:pt idx="10">
                  <c:v>29</c:v>
                </c:pt>
                <c:pt idx="11">
                  <c:v>29</c:v>
                </c:pt>
                <c:pt idx="12">
                  <c:v>29</c:v>
                </c:pt>
                <c:pt idx="13">
                  <c:v>29</c:v>
                </c:pt>
                <c:pt idx="14">
                  <c:v>29</c:v>
                </c:pt>
                <c:pt idx="15">
                  <c:v>29</c:v>
                </c:pt>
              </c:numCache>
            </c:numRef>
          </c:yVal>
          <c:smooth val="1"/>
          <c:extLst>
            <c:ext xmlns:c16="http://schemas.microsoft.com/office/drawing/2014/chart" uri="{C3380CC4-5D6E-409C-BE32-E72D297353CC}">
              <c16:uniqueId val="{00000003-6524-494E-948B-4A3EA5BC572E}"/>
            </c:ext>
          </c:extLst>
        </c:ser>
        <c:dLbls>
          <c:showLegendKey val="0"/>
          <c:showVal val="0"/>
          <c:showCatName val="0"/>
          <c:showSerName val="0"/>
          <c:showPercent val="0"/>
          <c:showBubbleSize val="0"/>
        </c:dLbls>
        <c:axId val="740594784"/>
        <c:axId val="740596864"/>
      </c:scatterChart>
      <c:valAx>
        <c:axId val="740594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96864"/>
        <c:crosses val="autoZero"/>
        <c:crossBetween val="midCat"/>
      </c:valAx>
      <c:valAx>
        <c:axId val="74059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94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solidFill>
              </a:rPr>
              <a:t>Trend in INED Hetrogenity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848023405571949E-2"/>
          <c:y val="0.19711929807941059"/>
          <c:w val="0.88893592549751055"/>
          <c:h val="0.7774641369736233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'Dir_Het_by Year'!$A$3:$A$19</c:f>
              <c:strCache>
                <c:ptCount val="17"/>
                <c:pt idx="0">
                  <c:v>Y04</c:v>
                </c:pt>
                <c:pt idx="1">
                  <c:v>Y05</c:v>
                </c:pt>
                <c:pt idx="2">
                  <c:v>Y06</c:v>
                </c:pt>
                <c:pt idx="3">
                  <c:v>Y07</c:v>
                </c:pt>
                <c:pt idx="4">
                  <c:v>Y08</c:v>
                </c:pt>
                <c:pt idx="5">
                  <c:v>Y09</c:v>
                </c:pt>
                <c:pt idx="6">
                  <c:v>Y10</c:v>
                </c:pt>
                <c:pt idx="7">
                  <c:v>Y11</c:v>
                </c:pt>
                <c:pt idx="8">
                  <c:v>Y12</c:v>
                </c:pt>
                <c:pt idx="9">
                  <c:v>Y13</c:v>
                </c:pt>
                <c:pt idx="10">
                  <c:v>Y14</c:v>
                </c:pt>
                <c:pt idx="11">
                  <c:v>Y15</c:v>
                </c:pt>
                <c:pt idx="12">
                  <c:v>Y16</c:v>
                </c:pt>
                <c:pt idx="13">
                  <c:v>Y17</c:v>
                </c:pt>
                <c:pt idx="14">
                  <c:v>Y18</c:v>
                </c:pt>
                <c:pt idx="15">
                  <c:v>Y19</c:v>
                </c:pt>
                <c:pt idx="16">
                  <c:v>Y20</c:v>
                </c:pt>
              </c:strCache>
            </c:strRef>
          </c:cat>
          <c:val>
            <c:numRef>
              <c:f>'Dir_Het_by Year'!$G$3:$G$19</c:f>
              <c:numCache>
                <c:formatCode>General</c:formatCode>
                <c:ptCount val="17"/>
                <c:pt idx="0">
                  <c:v>-8.9394600000000005E-2</c:v>
                </c:pt>
                <c:pt idx="1">
                  <c:v>0.89036550000000003</c:v>
                </c:pt>
                <c:pt idx="2">
                  <c:v>0.41622219999999999</c:v>
                </c:pt>
                <c:pt idx="3">
                  <c:v>-1.5634159999999999</c:v>
                </c:pt>
                <c:pt idx="4">
                  <c:v>-0.48651549999999999</c:v>
                </c:pt>
                <c:pt idx="5">
                  <c:v>-0.3948702</c:v>
                </c:pt>
                <c:pt idx="6">
                  <c:v>-1.0278350000000001</c:v>
                </c:pt>
                <c:pt idx="7">
                  <c:v>-0.99654109999999996</c:v>
                </c:pt>
                <c:pt idx="8">
                  <c:v>-0.31075419999999998</c:v>
                </c:pt>
                <c:pt idx="9">
                  <c:v>-1.0005109999999999</c:v>
                </c:pt>
                <c:pt idx="10">
                  <c:v>-1.1060399999999999</c:v>
                </c:pt>
                <c:pt idx="11">
                  <c:v>-0.5875108</c:v>
                </c:pt>
                <c:pt idx="12">
                  <c:v>-0.60748519999999995</c:v>
                </c:pt>
                <c:pt idx="13">
                  <c:v>1.5008280000000001</c:v>
                </c:pt>
                <c:pt idx="14">
                  <c:v>1.511825</c:v>
                </c:pt>
                <c:pt idx="15">
                  <c:v>1.8706389999999999</c:v>
                </c:pt>
                <c:pt idx="16">
                  <c:v>2.3629540000000002</c:v>
                </c:pt>
              </c:numCache>
            </c:numRef>
          </c:val>
          <c:smooth val="0"/>
          <c:extLst>
            <c:ext xmlns:c16="http://schemas.microsoft.com/office/drawing/2014/chart" uri="{C3380CC4-5D6E-409C-BE32-E72D297353CC}">
              <c16:uniqueId val="{00000000-A90E-4D86-9696-DD2135284DF2}"/>
            </c:ext>
          </c:extLst>
        </c:ser>
        <c:dLbls>
          <c:showLegendKey val="0"/>
          <c:showVal val="0"/>
          <c:showCatName val="0"/>
          <c:showSerName val="0"/>
          <c:showPercent val="0"/>
          <c:showBubbleSize val="0"/>
        </c:dLbls>
        <c:marker val="1"/>
        <c:smooth val="0"/>
        <c:axId val="672133039"/>
        <c:axId val="672129711"/>
      </c:lineChart>
      <c:catAx>
        <c:axId val="67213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29711"/>
        <c:crosses val="autoZero"/>
        <c:auto val="1"/>
        <c:lblAlgn val="ctr"/>
        <c:lblOffset val="100"/>
        <c:noMultiLvlLbl val="0"/>
      </c:catAx>
      <c:valAx>
        <c:axId val="672129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33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ysClr val="windowText" lastClr="000000"/>
      </a:solidFill>
      <a:round/>
    </a:ln>
    <a:effectLst/>
  </c:spPr>
  <c:txPr>
    <a:bodyPr/>
    <a:lstStyle/>
    <a:p>
      <a:pPr algn="jus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baseline="0">
                <a:solidFill>
                  <a:schemeClr val="accent1"/>
                </a:solidFill>
              </a:rPr>
              <a:t>Trend in Bank Misconduct Data</a:t>
            </a:r>
            <a:endParaRPr lang="en-GB" b="1">
              <a:solidFill>
                <a:schemeClr val="accent1"/>
              </a:solidFill>
            </a:endParaRPr>
          </a:p>
        </c:rich>
      </c:tx>
      <c:layout>
        <c:manualLayout>
          <c:xMode val="edge"/>
          <c:yMode val="edge"/>
          <c:x val="0.21411085177870681"/>
          <c:y val="5.08398465491206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04186588435566"/>
          <c:y val="0.19059609455292911"/>
          <c:w val="0.81855653368162828"/>
          <c:h val="0.57264447159932341"/>
        </c:manualLayout>
      </c:layout>
      <c:lineChart>
        <c:grouping val="standard"/>
        <c:varyColors val="0"/>
        <c:ser>
          <c:idx val="0"/>
          <c:order val="0"/>
          <c:tx>
            <c:v>Amount of Fines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'Violation by Year'!$A$3:$A$19</c:f>
              <c:strCache>
                <c:ptCount val="17"/>
                <c:pt idx="0">
                  <c:v>Y04</c:v>
                </c:pt>
                <c:pt idx="1">
                  <c:v>Y05</c:v>
                </c:pt>
                <c:pt idx="2">
                  <c:v>Y06</c:v>
                </c:pt>
                <c:pt idx="3">
                  <c:v>Y07</c:v>
                </c:pt>
                <c:pt idx="4">
                  <c:v>Y08</c:v>
                </c:pt>
                <c:pt idx="5">
                  <c:v>Y09</c:v>
                </c:pt>
                <c:pt idx="6">
                  <c:v>Y10</c:v>
                </c:pt>
                <c:pt idx="7">
                  <c:v>Y11</c:v>
                </c:pt>
                <c:pt idx="8">
                  <c:v>Y12</c:v>
                </c:pt>
                <c:pt idx="9">
                  <c:v>Y13</c:v>
                </c:pt>
                <c:pt idx="10">
                  <c:v>Y14</c:v>
                </c:pt>
                <c:pt idx="11">
                  <c:v>Y15</c:v>
                </c:pt>
                <c:pt idx="12">
                  <c:v>Y16</c:v>
                </c:pt>
                <c:pt idx="13">
                  <c:v>Y17</c:v>
                </c:pt>
                <c:pt idx="14">
                  <c:v>Y18</c:v>
                </c:pt>
                <c:pt idx="15">
                  <c:v>Y19</c:v>
                </c:pt>
                <c:pt idx="16">
                  <c:v>Y20</c:v>
                </c:pt>
              </c:strCache>
            </c:strRef>
          </c:cat>
          <c:val>
            <c:numRef>
              <c:f>'Violation by Year'!$B$3:$B$19</c:f>
              <c:numCache>
                <c:formatCode>General</c:formatCode>
                <c:ptCount val="17"/>
                <c:pt idx="0">
                  <c:v>23100000</c:v>
                </c:pt>
                <c:pt idx="1">
                  <c:v>12400000</c:v>
                </c:pt>
                <c:pt idx="2">
                  <c:v>13200000</c:v>
                </c:pt>
                <c:pt idx="3">
                  <c:v>2948900</c:v>
                </c:pt>
                <c:pt idx="4">
                  <c:v>455000000</c:v>
                </c:pt>
                <c:pt idx="5">
                  <c:v>39900000</c:v>
                </c:pt>
                <c:pt idx="6">
                  <c:v>78800000</c:v>
                </c:pt>
                <c:pt idx="7">
                  <c:v>72400000</c:v>
                </c:pt>
                <c:pt idx="8">
                  <c:v>517000000</c:v>
                </c:pt>
                <c:pt idx="9">
                  <c:v>624000000</c:v>
                </c:pt>
                <c:pt idx="10">
                  <c:v>627000000</c:v>
                </c:pt>
                <c:pt idx="11">
                  <c:v>99900000</c:v>
                </c:pt>
                <c:pt idx="12">
                  <c:v>53200000</c:v>
                </c:pt>
                <c:pt idx="13">
                  <c:v>22000000</c:v>
                </c:pt>
                <c:pt idx="14">
                  <c:v>81100000</c:v>
                </c:pt>
                <c:pt idx="15">
                  <c:v>5396293</c:v>
                </c:pt>
                <c:pt idx="16">
                  <c:v>94600000</c:v>
                </c:pt>
              </c:numCache>
            </c:numRef>
          </c:val>
          <c:smooth val="0"/>
          <c:extLst>
            <c:ext xmlns:c16="http://schemas.microsoft.com/office/drawing/2014/chart" uri="{C3380CC4-5D6E-409C-BE32-E72D297353CC}">
              <c16:uniqueId val="{00000000-1C8A-42CF-B634-42F5157BE21B}"/>
            </c:ext>
          </c:extLst>
        </c:ser>
        <c:dLbls>
          <c:showLegendKey val="0"/>
          <c:showVal val="0"/>
          <c:showCatName val="0"/>
          <c:showSerName val="0"/>
          <c:showPercent val="0"/>
          <c:showBubbleSize val="0"/>
        </c:dLbls>
        <c:marker val="1"/>
        <c:smooth val="0"/>
        <c:axId val="810399871"/>
        <c:axId val="810402367"/>
      </c:lineChart>
      <c:catAx>
        <c:axId val="81039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402367"/>
        <c:crosses val="autoZero"/>
        <c:auto val="1"/>
        <c:lblAlgn val="ctr"/>
        <c:lblOffset val="100"/>
        <c:noMultiLvlLbl val="0"/>
      </c:catAx>
      <c:valAx>
        <c:axId val="81040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9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ysClr val="windowText" lastClr="000000"/>
      </a:solidFill>
      <a:round/>
    </a:ln>
    <a:effectLst/>
  </c:spPr>
  <c:txPr>
    <a:bodyPr/>
    <a:lstStyle/>
    <a:p>
      <a:pPr algn="jus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baseline="0">
                <a:solidFill>
                  <a:schemeClr val="accent1"/>
                </a:solidFill>
              </a:rPr>
              <a:t>Trend </a:t>
            </a:r>
            <a:r>
              <a:rPr lang="en-GB" b="1">
                <a:solidFill>
                  <a:schemeClr val="accent1"/>
                </a:solidFill>
              </a:rPr>
              <a:t>Bank</a:t>
            </a:r>
            <a:r>
              <a:rPr lang="en-GB" b="1" baseline="0">
                <a:solidFill>
                  <a:schemeClr val="accent1"/>
                </a:solidFill>
              </a:rPr>
              <a:t> Misconduct ($) by Type</a:t>
            </a:r>
            <a:endParaRPr lang="en-GB" b="1">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[Averages.ods]Sheet8!$J$3</c:f>
              <c:strCache>
                <c:ptCount val="1"/>
                <c:pt idx="0">
                  <c:v>Banking </c:v>
                </c:pt>
              </c:strCache>
            </c:strRef>
          </c:tx>
          <c:spPr>
            <a:ln w="28575" cap="rnd">
              <a:solidFill>
                <a:schemeClr val="accent1"/>
              </a:solidFill>
              <a:round/>
            </a:ln>
            <a:effectLst/>
          </c:spPr>
          <c:marker>
            <c:symbol val="none"/>
          </c:marker>
          <c:cat>
            <c:numRef>
              <c:f>[Averages.ods]Sheet8!$I$4:$I$20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[Averages.ods]Sheet8!$J$4:$J$20</c:f>
              <c:numCache>
                <c:formatCode>General</c:formatCode>
                <c:ptCount val="17"/>
                <c:pt idx="0">
                  <c:v>12638000</c:v>
                </c:pt>
                <c:pt idx="1">
                  <c:v>11800000</c:v>
                </c:pt>
                <c:pt idx="2">
                  <c:v>97796</c:v>
                </c:pt>
                <c:pt idx="3">
                  <c:v>4910479.166666667</c:v>
                </c:pt>
                <c:pt idx="4">
                  <c:v>66716</c:v>
                </c:pt>
                <c:pt idx="5">
                  <c:v>122615807.85714285</c:v>
                </c:pt>
                <c:pt idx="6">
                  <c:v>31351546.666666668</c:v>
                </c:pt>
                <c:pt idx="7">
                  <c:v>1693274.3333333333</c:v>
                </c:pt>
                <c:pt idx="8">
                  <c:v>2761236875</c:v>
                </c:pt>
                <c:pt idx="9">
                  <c:v>378377646.66666669</c:v>
                </c:pt>
                <c:pt idx="10">
                  <c:v>25900000</c:v>
                </c:pt>
                <c:pt idx="11">
                  <c:v>23679771.666666668</c:v>
                </c:pt>
                <c:pt idx="12">
                  <c:v>6488300</c:v>
                </c:pt>
                <c:pt idx="13">
                  <c:v>4571333.333333333</c:v>
                </c:pt>
                <c:pt idx="14">
                  <c:v>174000000</c:v>
                </c:pt>
                <c:pt idx="15">
                  <c:v>893093</c:v>
                </c:pt>
                <c:pt idx="16">
                  <c:v>44364554</c:v>
                </c:pt>
              </c:numCache>
            </c:numRef>
          </c:val>
          <c:smooth val="0"/>
          <c:extLst>
            <c:ext xmlns:c16="http://schemas.microsoft.com/office/drawing/2014/chart" uri="{C3380CC4-5D6E-409C-BE32-E72D297353CC}">
              <c16:uniqueId val="{00000000-05AC-4B2F-96E9-D1BDB1065FB3}"/>
            </c:ext>
          </c:extLst>
        </c:ser>
        <c:ser>
          <c:idx val="1"/>
          <c:order val="1"/>
          <c:tx>
            <c:strRef>
              <c:f>[Averages.ods]Sheet8!$K$3</c:f>
              <c:strCache>
                <c:ptCount val="1"/>
                <c:pt idx="0">
                  <c:v>Economic</c:v>
                </c:pt>
              </c:strCache>
            </c:strRef>
          </c:tx>
          <c:spPr>
            <a:ln w="28575" cap="rnd">
              <a:solidFill>
                <a:schemeClr val="accent2"/>
              </a:solidFill>
              <a:round/>
            </a:ln>
            <a:effectLst/>
          </c:spPr>
          <c:marker>
            <c:symbol val="none"/>
          </c:marker>
          <c:cat>
            <c:numRef>
              <c:f>[Averages.ods]Sheet8!$I$4:$I$20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[Averages.ods]Sheet8!$K$4:$K$20</c:f>
              <c:numCache>
                <c:formatCode>General</c:formatCode>
                <c:ptCount val="17"/>
                <c:pt idx="0">
                  <c:v>76591</c:v>
                </c:pt>
                <c:pt idx="1">
                  <c:v>19120213.5</c:v>
                </c:pt>
                <c:pt idx="2">
                  <c:v>0</c:v>
                </c:pt>
                <c:pt idx="3">
                  <c:v>47555000</c:v>
                </c:pt>
                <c:pt idx="4">
                  <c:v>7500</c:v>
                </c:pt>
                <c:pt idx="6">
                  <c:v>288000000</c:v>
                </c:pt>
                <c:pt idx="7">
                  <c:v>312089192</c:v>
                </c:pt>
                <c:pt idx="9">
                  <c:v>3460000000</c:v>
                </c:pt>
                <c:pt idx="10">
                  <c:v>0</c:v>
                </c:pt>
                <c:pt idx="11">
                  <c:v>0</c:v>
                </c:pt>
                <c:pt idx="12">
                  <c:v>0</c:v>
                </c:pt>
                <c:pt idx="13">
                  <c:v>300000000</c:v>
                </c:pt>
                <c:pt idx="14">
                  <c:v>0</c:v>
                </c:pt>
                <c:pt idx="15">
                  <c:v>411697</c:v>
                </c:pt>
                <c:pt idx="16">
                  <c:v>0</c:v>
                </c:pt>
              </c:numCache>
            </c:numRef>
          </c:val>
          <c:smooth val="0"/>
          <c:extLst>
            <c:ext xmlns:c16="http://schemas.microsoft.com/office/drawing/2014/chart" uri="{C3380CC4-5D6E-409C-BE32-E72D297353CC}">
              <c16:uniqueId val="{00000001-05AC-4B2F-96E9-D1BDB1065FB3}"/>
            </c:ext>
          </c:extLst>
        </c:ser>
        <c:ser>
          <c:idx val="2"/>
          <c:order val="2"/>
          <c:tx>
            <c:strRef>
              <c:f>[Averages.ods]Sheet8!$L$3</c:f>
              <c:strCache>
                <c:ptCount val="1"/>
                <c:pt idx="0">
                  <c:v>Market</c:v>
                </c:pt>
              </c:strCache>
            </c:strRef>
          </c:tx>
          <c:spPr>
            <a:ln w="28575" cap="rnd">
              <a:solidFill>
                <a:schemeClr val="accent3"/>
              </a:solidFill>
              <a:round/>
            </a:ln>
            <a:effectLst/>
          </c:spPr>
          <c:marker>
            <c:symbol val="none"/>
          </c:marker>
          <c:cat>
            <c:numRef>
              <c:f>[Averages.ods]Sheet8!$I$4:$I$20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[Averages.ods]Sheet8!$L$4:$L$20</c:f>
              <c:numCache>
                <c:formatCode>General</c:formatCode>
                <c:ptCount val="17"/>
                <c:pt idx="0">
                  <c:v>258823750</c:v>
                </c:pt>
                <c:pt idx="1">
                  <c:v>146477223.33333334</c:v>
                </c:pt>
                <c:pt idx="2">
                  <c:v>149400000</c:v>
                </c:pt>
                <c:pt idx="3">
                  <c:v>34950000</c:v>
                </c:pt>
                <c:pt idx="4">
                  <c:v>4699251666.666667</c:v>
                </c:pt>
                <c:pt idx="5">
                  <c:v>498319619.33333331</c:v>
                </c:pt>
                <c:pt idx="6">
                  <c:v>769536339.66666663</c:v>
                </c:pt>
                <c:pt idx="7">
                  <c:v>998975000</c:v>
                </c:pt>
                <c:pt idx="8">
                  <c:v>10193333333.333334</c:v>
                </c:pt>
                <c:pt idx="9">
                  <c:v>5492786928.5714283</c:v>
                </c:pt>
                <c:pt idx="10">
                  <c:v>7998240000</c:v>
                </c:pt>
                <c:pt idx="11">
                  <c:v>476282906.76923078</c:v>
                </c:pt>
                <c:pt idx="12">
                  <c:v>433822840</c:v>
                </c:pt>
                <c:pt idx="13">
                  <c:v>104400000</c:v>
                </c:pt>
                <c:pt idx="14">
                  <c:v>763207889.33333337</c:v>
                </c:pt>
                <c:pt idx="15">
                  <c:v>28703937.199999999</c:v>
                </c:pt>
                <c:pt idx="16">
                  <c:v>1254663601</c:v>
                </c:pt>
              </c:numCache>
            </c:numRef>
          </c:val>
          <c:smooth val="0"/>
          <c:extLst>
            <c:ext xmlns:c16="http://schemas.microsoft.com/office/drawing/2014/chart" uri="{C3380CC4-5D6E-409C-BE32-E72D297353CC}">
              <c16:uniqueId val="{00000002-05AC-4B2F-96E9-D1BDB1065FB3}"/>
            </c:ext>
          </c:extLst>
        </c:ser>
        <c:ser>
          <c:idx val="3"/>
          <c:order val="3"/>
          <c:tx>
            <c:strRef>
              <c:f>[Averages.ods]Sheet8!$M$3</c:f>
              <c:strCache>
                <c:ptCount val="1"/>
                <c:pt idx="0">
                  <c:v>Admin</c:v>
                </c:pt>
              </c:strCache>
            </c:strRef>
          </c:tx>
          <c:spPr>
            <a:ln w="28575" cap="rnd">
              <a:solidFill>
                <a:schemeClr val="accent4"/>
              </a:solidFill>
              <a:round/>
            </a:ln>
            <a:effectLst/>
          </c:spPr>
          <c:marker>
            <c:symbol val="none"/>
          </c:marker>
          <c:cat>
            <c:numRef>
              <c:f>[Averages.ods]Sheet8!$I$4:$I$20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[Averages.ods]Sheet8!$M$4:$M$20</c:f>
              <c:numCache>
                <c:formatCode>General</c:formatCode>
                <c:ptCount val="17"/>
                <c:pt idx="0">
                  <c:v>59351049.142857142</c:v>
                </c:pt>
                <c:pt idx="1">
                  <c:v>9661350.8000000007</c:v>
                </c:pt>
                <c:pt idx="2">
                  <c:v>27211540</c:v>
                </c:pt>
                <c:pt idx="3">
                  <c:v>701679.33333333337</c:v>
                </c:pt>
                <c:pt idx="4">
                  <c:v>10413369.5</c:v>
                </c:pt>
                <c:pt idx="5">
                  <c:v>20655224.5</c:v>
                </c:pt>
                <c:pt idx="6">
                  <c:v>55233699</c:v>
                </c:pt>
                <c:pt idx="7">
                  <c:v>51865516.833333336</c:v>
                </c:pt>
                <c:pt idx="8">
                  <c:v>8326928.7999999998</c:v>
                </c:pt>
                <c:pt idx="9">
                  <c:v>25959055.300000001</c:v>
                </c:pt>
                <c:pt idx="10">
                  <c:v>173517168.63636363</c:v>
                </c:pt>
                <c:pt idx="11">
                  <c:v>37534335.714285716</c:v>
                </c:pt>
                <c:pt idx="12">
                  <c:v>69924229.714285716</c:v>
                </c:pt>
                <c:pt idx="13">
                  <c:v>56812696.666666664</c:v>
                </c:pt>
                <c:pt idx="14">
                  <c:v>54203327.833333336</c:v>
                </c:pt>
                <c:pt idx="15">
                  <c:v>25728806.800000001</c:v>
                </c:pt>
                <c:pt idx="16">
                  <c:v>51500000</c:v>
                </c:pt>
              </c:numCache>
            </c:numRef>
          </c:val>
          <c:smooth val="0"/>
          <c:extLst>
            <c:ext xmlns:c16="http://schemas.microsoft.com/office/drawing/2014/chart" uri="{C3380CC4-5D6E-409C-BE32-E72D297353CC}">
              <c16:uniqueId val="{00000003-05AC-4B2F-96E9-D1BDB1065FB3}"/>
            </c:ext>
          </c:extLst>
        </c:ser>
        <c:dLbls>
          <c:showLegendKey val="0"/>
          <c:showVal val="0"/>
          <c:showCatName val="0"/>
          <c:showSerName val="0"/>
          <c:showPercent val="0"/>
          <c:showBubbleSize val="0"/>
        </c:dLbls>
        <c:smooth val="0"/>
        <c:axId val="2109231599"/>
        <c:axId val="2109232847"/>
      </c:lineChart>
      <c:catAx>
        <c:axId val="210923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232847"/>
        <c:crosses val="autoZero"/>
        <c:auto val="1"/>
        <c:lblAlgn val="ctr"/>
        <c:lblOffset val="100"/>
        <c:noMultiLvlLbl val="0"/>
      </c:catAx>
      <c:valAx>
        <c:axId val="2109232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23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AB9E9-D613-4A6E-B963-380BD4FC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58849</Words>
  <Characters>335442</Characters>
  <Application>Microsoft Office Word</Application>
  <DocSecurity>0</DocSecurity>
  <Lines>2795</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Ramshah Rashid Lone</dc:creator>
  <cp:keywords/>
  <dc:description/>
  <cp:lastModifiedBy>Ramsha Rashid Lone</cp:lastModifiedBy>
  <cp:revision>2</cp:revision>
  <cp:lastPrinted>2023-04-18T11:58:00Z</cp:lastPrinted>
  <dcterms:created xsi:type="dcterms:W3CDTF">2023-11-09T13:48:00Z</dcterms:created>
  <dcterms:modified xsi:type="dcterms:W3CDTF">2023-11-09T13:48:00Z</dcterms:modified>
</cp:coreProperties>
</file>